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List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jc w:val="center"/>
        <w:textAlignment w:val="auto"/>
        <w:rPr>
          <w:rFonts w:ascii="楷体" w:eastAsia="楷体" w:hAnsi="楷体" w:cs="楷体" w:hint="eastAsia"/>
          <w:b/>
          <w:bCs/>
          <w:color w:val="FF0000"/>
          <w:sz w:val="30"/>
          <w:szCs w:val="30"/>
          <w:lang w:val="en-US" w:eastAsia="zh-CN"/>
        </w:rPr>
      </w:pPr>
      <w:r>
        <w:rPr>
          <w:rFonts w:ascii="楷体" w:eastAsia="楷体" w:hAnsi="楷体" w:cs="楷体" w:hint="eastAsia"/>
          <w:b/>
          <w:bCs/>
          <w:color w:val="FF0000"/>
          <w:sz w:val="30"/>
          <w:szCs w:val="30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11036300</wp:posOffset>
            </wp:positionH>
            <wp:positionV relativeFrom="topMargin">
              <wp:posOffset>11544300</wp:posOffset>
            </wp:positionV>
            <wp:extent cx="406400" cy="317500"/>
            <wp:wrapNone/>
            <wp:docPr id="10016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6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eastAsia="楷体" w:hAnsi="楷体" w:cs="楷体" w:hint="eastAsia"/>
          <w:b/>
          <w:bCs/>
          <w:color w:val="FF0000"/>
          <w:sz w:val="30"/>
          <w:szCs w:val="30"/>
        </w:rPr>
        <w:t>第</w:t>
      </w:r>
      <w:r>
        <w:rPr>
          <w:rFonts w:ascii="楷体" w:eastAsia="楷体" w:hAnsi="楷体" w:cs="楷体" w:hint="eastAsia"/>
          <w:b/>
          <w:bCs/>
          <w:color w:val="FF0000"/>
          <w:sz w:val="30"/>
          <w:szCs w:val="30"/>
          <w:lang w:val="en-US" w:eastAsia="zh-CN"/>
        </w:rPr>
        <w:t>二</w:t>
      </w:r>
      <w:r>
        <w:rPr>
          <w:rFonts w:ascii="楷体" w:eastAsia="楷体" w:hAnsi="楷体" w:cs="楷体" w:hint="eastAsia"/>
          <w:b/>
          <w:bCs/>
          <w:color w:val="FF0000"/>
          <w:sz w:val="30"/>
          <w:szCs w:val="30"/>
        </w:rPr>
        <w:t xml:space="preserve">单元 </w:t>
      </w:r>
      <w:r>
        <w:rPr>
          <w:rFonts w:ascii="楷体" w:eastAsia="楷体" w:hAnsi="楷体" w:cs="楷体" w:hint="eastAsia"/>
          <w:b/>
          <w:bCs/>
          <w:color w:val="FF0000"/>
          <w:sz w:val="30"/>
          <w:szCs w:val="30"/>
          <w:lang w:val="en-US" w:eastAsia="zh-CN"/>
        </w:rPr>
        <w:t>圆柱和圆锥</w:t>
      </w:r>
      <w:bookmarkStart w:id="0" w:name="_GoBack"/>
      <w:bookmarkEnd w:id="0"/>
      <w:r>
        <w:rPr>
          <w:rFonts w:ascii="楷体" w:eastAsia="楷体" w:hAnsi="楷体" w:cs="楷体" w:hint="eastAsia"/>
          <w:b/>
          <w:bCs/>
          <w:color w:val="FF0000"/>
          <w:sz w:val="30"/>
          <w:szCs w:val="30"/>
          <w:lang w:val="en-US" w:eastAsia="zh-CN"/>
        </w:rPr>
        <w:t>（知识清单）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leftChars="0" w:firstLineChars="0"/>
        <w:jc w:val="center"/>
        <w:textAlignment w:val="auto"/>
        <w:rPr>
          <w:rFonts w:ascii="楷体" w:eastAsia="楷体" w:hAnsi="楷体" w:cs="楷体" w:hint="eastAsia"/>
          <w:b/>
          <w:bCs/>
          <w:color w:val="FF0000"/>
          <w:sz w:val="30"/>
          <w:szCs w:val="30"/>
        </w:rPr>
      </w:pPr>
      <w:r>
        <w:rPr>
          <w:rFonts w:ascii="楷体" w:eastAsia="楷体" w:hAnsi="楷体" w:cs="楷体" w:hint="eastAsia"/>
          <w:b/>
          <w:bCs/>
          <w:color w:val="FF0000"/>
          <w:sz w:val="30"/>
          <w:szCs w:val="30"/>
        </w:rPr>
        <w:t>（思维导图+知识</w:t>
      </w:r>
      <w:r>
        <w:rPr>
          <w:rFonts w:ascii="楷体" w:eastAsia="楷体" w:hAnsi="楷体" w:cs="楷体" w:hint="eastAsia"/>
          <w:b/>
          <w:bCs/>
          <w:color w:val="FF0000"/>
          <w:sz w:val="30"/>
          <w:szCs w:val="30"/>
          <w:lang w:val="en-US" w:eastAsia="zh-CN"/>
        </w:rPr>
        <w:t>盘点</w:t>
      </w:r>
      <w:r>
        <w:rPr>
          <w:rFonts w:ascii="楷体" w:eastAsia="楷体" w:hAnsi="楷体" w:cs="楷体" w:hint="eastAsia"/>
          <w:b/>
          <w:bCs/>
          <w:color w:val="FF0000"/>
          <w:sz w:val="30"/>
          <w:szCs w:val="30"/>
        </w:rPr>
        <w:t>+</w:t>
      </w:r>
      <w:r>
        <w:rPr>
          <w:rFonts w:ascii="楷体" w:eastAsia="楷体" w:hAnsi="楷体" w:cs="楷体" w:hint="eastAsia"/>
          <w:b/>
          <w:bCs/>
          <w:color w:val="FF0000"/>
          <w:sz w:val="30"/>
          <w:szCs w:val="30"/>
          <w:lang w:val="en-US" w:eastAsia="zh-CN"/>
        </w:rPr>
        <w:t>易错攻略+</w:t>
      </w:r>
      <w:r>
        <w:rPr>
          <w:rFonts w:ascii="楷体" w:eastAsia="楷体" w:hAnsi="楷体" w:cs="楷体" w:hint="eastAsia"/>
          <w:b/>
          <w:bCs/>
          <w:color w:val="FF0000"/>
          <w:sz w:val="30"/>
          <w:szCs w:val="30"/>
        </w:rPr>
        <w:t>典</w:t>
      </w:r>
      <w:r>
        <w:rPr>
          <w:rFonts w:ascii="楷体" w:eastAsia="楷体" w:hAnsi="楷体" w:cs="楷体" w:hint="eastAsia"/>
          <w:b/>
          <w:bCs/>
          <w:color w:val="FF0000"/>
          <w:sz w:val="30"/>
          <w:szCs w:val="30"/>
          <w:lang w:val="en-US" w:eastAsia="zh-CN"/>
        </w:rPr>
        <w:t>例</w:t>
      </w:r>
      <w:r>
        <w:rPr>
          <w:rFonts w:ascii="楷体" w:eastAsia="楷体" w:hAnsi="楷体" w:cs="楷体" w:hint="eastAsia"/>
          <w:b/>
          <w:bCs/>
          <w:color w:val="FF0000"/>
          <w:sz w:val="30"/>
          <w:szCs w:val="30"/>
        </w:rPr>
        <w:t>精讲+巩固培优）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leftChars="0" w:firstLineChars="0"/>
        <w:jc w:val="center"/>
        <w:textAlignment w:val="auto"/>
        <w:rPr>
          <w:rFonts w:ascii="楷体" w:eastAsia="楷体" w:hAnsi="楷体" w:cs="楷体" w:hint="eastAsia"/>
        </w:rPr>
      </w:pPr>
      <w:r>
        <w:rPr>
          <w:rFonts w:ascii="楷体" w:eastAsia="楷体" w:hAnsi="楷体" w:cs="楷体" w:hint="eastAsia"/>
        </w:rPr>
        <w:drawing>
          <wp:inline distT="0" distB="0" distL="114300" distR="114300">
            <wp:extent cx="2182495" cy="488950"/>
            <wp:effectExtent l="0" t="0" r="8255" b="6350"/>
            <wp:docPr id="50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82495" cy="48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leftChars="0" w:firstLineChars="0"/>
        <w:jc w:val="center"/>
        <w:textAlignment w:val="auto"/>
        <w:rPr>
          <w:rFonts w:ascii="楷体" w:eastAsia="楷体" w:hAnsi="楷体" w:cs="楷体" w:hint="eastAsia"/>
        </w:rPr>
      </w:pPr>
      <w:r>
        <w:rPr>
          <w:rFonts w:ascii="楷体" w:eastAsia="楷体" w:hAnsi="楷体" w:cs="楷体" w:hint="eastAsia"/>
        </w:rPr>
        <w:drawing>
          <wp:inline distT="0" distB="0" distL="114300" distR="114300">
            <wp:extent cx="3990975" cy="3337560"/>
            <wp:effectExtent l="0" t="0" r="9525" b="1524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rcRect l="3415" t="4059" r="2823" b="3090"/>
                    <a:stretch>
                      <a:fillRect/>
                    </a:stretch>
                  </pic:blipFill>
                  <pic:spPr>
                    <a:xfrm>
                      <a:off x="0" y="0"/>
                      <a:ext cx="3990975" cy="3337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leftChars="0" w:firstLineChars="0"/>
        <w:jc w:val="center"/>
        <w:textAlignment w:val="auto"/>
        <w:rPr>
          <w:rFonts w:ascii="楷体" w:eastAsia="楷体" w:hAnsi="楷体" w:cs="楷体" w:hint="eastAsia"/>
        </w:rPr>
      </w:pPr>
      <w:r>
        <w:rPr>
          <w:rFonts w:ascii="楷体" w:eastAsia="楷体" w:hAnsi="楷体" w:cs="楷体" w:hint="eastAsia"/>
        </w:rPr>
        <w:drawing>
          <wp:inline distT="0" distB="0" distL="114300" distR="114300">
            <wp:extent cx="2068830" cy="452755"/>
            <wp:effectExtent l="0" t="0" r="7620" b="4445"/>
            <wp:docPr id="51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68830" cy="452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楷体" w:eastAsia="楷体" w:hAnsi="楷体" w:cs="楷体" w:hint="eastAsia"/>
          <w:b/>
          <w:bCs/>
          <w:color w:val="FF0000"/>
          <w:sz w:val="24"/>
          <w:szCs w:val="24"/>
          <w:highlight w:val="green"/>
        </w:rPr>
      </w:pPr>
      <w:r>
        <w:rPr>
          <w:rFonts w:ascii="楷体" w:eastAsia="楷体" w:hAnsi="楷体" w:cs="楷体" w:hint="eastAsia"/>
          <w:b/>
          <w:bCs/>
          <w:color w:val="FF0000"/>
          <w:sz w:val="24"/>
          <w:szCs w:val="24"/>
          <w:highlight w:val="green"/>
          <w:lang w:val="en-US" w:eastAsia="zh-CN"/>
        </w:rPr>
        <w:t>知识点一：圆柱和圆锥的认识和特征</w:t>
      </w:r>
    </w:p>
    <w:p>
      <w:pPr>
        <w:pStyle w:val="List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rPr>
          <w:rFonts w:ascii="楷体" w:eastAsia="楷体" w:hAnsi="楷体" w:cs="楷体" w:hint="eastAsia"/>
          <w:b/>
          <w:bCs/>
          <w:color w:val="FF0000"/>
          <w:sz w:val="24"/>
          <w:szCs w:val="24"/>
          <w:lang w:val="en-US" w:eastAsia="zh-CN"/>
        </w:rPr>
      </w:pPr>
      <w:r>
        <w:rPr>
          <w:rFonts w:ascii="楷体" w:eastAsia="楷体" w:hAnsi="楷体" w:cs="楷体" w:hint="eastAsia"/>
          <w:b/>
          <w:bCs/>
          <w:color w:val="FF0000"/>
          <w:sz w:val="24"/>
          <w:szCs w:val="24"/>
          <w:lang w:val="en-US" w:eastAsia="zh-CN"/>
        </w:rPr>
        <w:t>1、圆柱的特征。</w:t>
      </w:r>
    </w:p>
    <w:p>
      <w:pPr>
        <w:pStyle w:val="List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rPr>
          <w:rFonts w:ascii="楷体" w:eastAsia="楷体" w:hAnsi="楷体" w:cs="楷体" w:hint="eastAsia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ascii="楷体" w:eastAsia="楷体" w:hAnsi="楷体" w:cs="楷体" w:hint="eastAsia"/>
          <w:b/>
          <w:bCs/>
          <w:kern w:val="2"/>
          <w:sz w:val="24"/>
          <w:szCs w:val="24"/>
          <w:lang w:val="en-US" w:eastAsia="zh-CN" w:bidi="ar-SA"/>
        </w:rPr>
        <w:t>（1）圆柱从上到下一样粗；圆柱上、下两个面是完全相同的圆。</w:t>
      </w:r>
    </w:p>
    <w:p>
      <w:pPr>
        <w:pStyle w:val="List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rPr>
          <w:rFonts w:ascii="楷体" w:eastAsia="楷体" w:hAnsi="楷体" w:cs="楷体" w:hint="eastAsia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ascii="楷体" w:eastAsia="楷体" w:hAnsi="楷体" w:cs="楷体" w:hint="eastAsia"/>
          <w:b/>
          <w:bCs/>
          <w:kern w:val="2"/>
          <w:sz w:val="24"/>
          <w:szCs w:val="24"/>
          <w:lang w:val="en-US" w:eastAsia="zh-CN" w:bidi="ar-SA"/>
        </w:rPr>
        <w:t>（2）圆柱的上、下两个面叫作底面；围成圆柱的曲面叫作侧面；两个底面之间的距离叫作高，圆柱有无数条高，且每条高都相等。</w:t>
      </w:r>
    </w:p>
    <w:p>
      <w:pPr>
        <w:pStyle w:val="List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rPr>
          <w:rFonts w:ascii="楷体" w:eastAsia="楷体" w:hAnsi="楷体" w:cs="楷体" w:hint="eastAsia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ascii="楷体" w:eastAsia="楷体" w:hAnsi="楷体" w:cs="楷体" w:hint="eastAsia"/>
          <w:b/>
          <w:bCs/>
          <w:kern w:val="2"/>
          <w:sz w:val="24"/>
          <w:szCs w:val="24"/>
          <w:lang w:val="en-US" w:eastAsia="zh-CN" w:bidi="ar-SA"/>
        </w:rPr>
        <w:t>（3）圆柱是由两个底面和一个侧面三部分组成的。</w:t>
      </w:r>
    </w:p>
    <w:p>
      <w:pPr>
        <w:pStyle w:val="List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rPr>
          <w:rFonts w:ascii="楷体" w:eastAsia="楷体" w:hAnsi="楷体" w:cs="楷体" w:hint="eastAsia"/>
          <w:b/>
          <w:bCs/>
          <w:color w:val="FF0000"/>
          <w:sz w:val="24"/>
          <w:szCs w:val="24"/>
          <w:lang w:val="en-US" w:eastAsia="zh-CN"/>
        </w:rPr>
      </w:pPr>
      <w:r>
        <w:rPr>
          <w:rFonts w:ascii="楷体" w:eastAsia="楷体" w:hAnsi="楷体" w:cs="楷体" w:hint="eastAsia"/>
          <w:b/>
          <w:bCs/>
          <w:color w:val="FF0000"/>
          <w:sz w:val="24"/>
          <w:szCs w:val="24"/>
          <w:lang w:val="en-US" w:eastAsia="zh-CN"/>
        </w:rPr>
        <w:t>2、圆锥各部分的名称及特征。</w:t>
      </w:r>
    </w:p>
    <w:p>
      <w:pPr>
        <w:pStyle w:val="List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rPr>
          <w:rFonts w:ascii="楷体" w:eastAsia="楷体" w:hAnsi="楷体" w:cs="楷体" w:hint="eastAsia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ascii="楷体" w:eastAsia="楷体" w:hAnsi="楷体" w:cs="楷体" w:hint="eastAsia"/>
          <w:b/>
          <w:bCs/>
          <w:kern w:val="2"/>
          <w:sz w:val="24"/>
          <w:szCs w:val="24"/>
          <w:lang w:val="en-US" w:eastAsia="zh-CN" w:bidi="ar-SA"/>
        </w:rPr>
        <w:t>圆锥有一个顶点；圆锥的底面是一个圆，圆锥有一个底面；从圆锥的顶点到底面圆心的距离是圆锥的高，圆锥只有一条高。</w:t>
      </w:r>
    </w:p>
    <w:p>
      <w:pPr>
        <w:pStyle w:val="List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rPr>
          <w:rFonts w:ascii="楷体" w:eastAsia="楷体" w:hAnsi="楷体" w:cs="楷体" w:hint="eastAsia"/>
          <w:b/>
          <w:bCs/>
          <w:color w:val="FF0000"/>
          <w:sz w:val="24"/>
          <w:szCs w:val="24"/>
          <w:lang w:val="en-US" w:eastAsia="zh-CN"/>
        </w:rPr>
      </w:pPr>
      <w:r>
        <w:rPr>
          <w:rFonts w:ascii="楷体" w:eastAsia="楷体" w:hAnsi="楷体" w:cs="楷体" w:hint="eastAsia"/>
          <w:b/>
          <w:bCs/>
          <w:color w:val="FF0000"/>
          <w:sz w:val="24"/>
          <w:szCs w:val="24"/>
          <w:lang w:val="en-US" w:eastAsia="zh-CN"/>
        </w:rPr>
        <w:t>3、圆柱和圆锥的不同点和相同点。</w:t>
      </w:r>
    </w:p>
    <w:p>
      <w:pPr>
        <w:pStyle w:val="List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rPr>
          <w:rFonts w:ascii="楷体" w:eastAsia="楷体" w:hAnsi="楷体" w:cs="楷体" w:hint="eastAsia"/>
          <w:b/>
          <w:bCs/>
          <w:kern w:val="2"/>
          <w:sz w:val="24"/>
          <w:szCs w:val="24"/>
          <w:lang w:val="en-US" w:eastAsia="zh-CN" w:bidi="ar-SA"/>
        </w:rPr>
        <w:sectPr>
          <w:pgSz w:w="11906" w:h="16838"/>
          <w:pgMar w:top="1440" w:right="1080" w:bottom="1440" w:left="1080" w:header="851" w:footer="340" w:gutter="0"/>
          <w:cols w:num="1" w:space="425"/>
          <w:docGrid w:type="lines" w:linePitch="312" w:charSpace="0"/>
        </w:sectPr>
      </w:pPr>
      <w:r>
        <w:rPr>
          <w:rFonts w:ascii="楷体" w:eastAsia="楷体" w:hAnsi="楷体" w:cs="楷体" w:hint="eastAsia"/>
          <w:b/>
          <w:bCs/>
          <w:kern w:val="2"/>
          <w:sz w:val="24"/>
          <w:szCs w:val="24"/>
          <w:lang w:val="en-US" w:eastAsia="zh-CN" w:bidi="ar-SA"/>
        </w:rPr>
        <w:t>相同点：（1）圆柱和圆锥都是立体图形；（2）圆柱和圆锥的底面都是圆。</w:t>
      </w:r>
    </w:p>
    <w:p>
      <w:pPr>
        <w:pStyle w:val="List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rPr>
          <w:rFonts w:ascii="楷体" w:eastAsia="楷体" w:hAnsi="楷体" w:cs="楷体" w:hint="eastAsia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ascii="楷体" w:eastAsia="楷体" w:hAnsi="楷体" w:cs="楷体" w:hint="eastAsia"/>
          <w:b/>
          <w:bCs/>
          <w:kern w:val="2"/>
          <w:sz w:val="24"/>
          <w:szCs w:val="24"/>
          <w:lang w:val="en-US" w:eastAsia="zh-CN" w:bidi="ar-SA"/>
        </w:rPr>
        <w:t>不同点：</w:t>
      </w:r>
    </w:p>
    <w:p>
      <w:pPr>
        <w:pStyle w:val="List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rPr>
          <w:rFonts w:ascii="楷体" w:eastAsia="楷体" w:hAnsi="楷体" w:cs="楷体" w:hint="eastAsia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ascii="楷体" w:eastAsia="楷体" w:hAnsi="楷体" w:cs="楷体" w:hint="eastAsia"/>
          <w:b/>
          <w:bCs/>
          <w:kern w:val="2"/>
          <w:sz w:val="24"/>
          <w:szCs w:val="24"/>
          <w:lang w:val="en-US" w:eastAsia="zh-CN" w:bidi="ar-SA"/>
        </w:rPr>
        <w:t>（1）顶点：圆柱没有顶点，圆锥有一个顶点；</w:t>
      </w:r>
    </w:p>
    <w:p>
      <w:pPr>
        <w:pStyle w:val="List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rPr>
          <w:rFonts w:ascii="楷体" w:eastAsia="楷体" w:hAnsi="楷体" w:cs="楷体" w:hint="eastAsia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ascii="楷体" w:eastAsia="楷体" w:hAnsi="楷体" w:cs="楷体" w:hint="eastAsia"/>
          <w:b/>
          <w:bCs/>
          <w:kern w:val="2"/>
          <w:sz w:val="24"/>
          <w:szCs w:val="24"/>
          <w:lang w:val="en-US" w:eastAsia="zh-CN" w:bidi="ar-SA"/>
        </w:rPr>
        <w:t>（2）面：圆柱有两个底面，一个侧面，圆锥有一个底面，一个侧面；</w:t>
      </w:r>
    </w:p>
    <w:p>
      <w:pPr>
        <w:pStyle w:val="List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</w:pPr>
      <w:r>
        <w:rPr>
          <w:rFonts w:ascii="楷体" w:eastAsia="楷体" w:hAnsi="楷体" w:cs="楷体" w:hint="eastAsia"/>
          <w:b/>
          <w:bCs/>
          <w:kern w:val="2"/>
          <w:sz w:val="24"/>
          <w:szCs w:val="24"/>
          <w:lang w:val="en-US" w:eastAsia="zh-CN" w:bidi="ar-SA"/>
        </w:rPr>
        <w:t>（3）高：两个底面之间的距离叫作高，圆柱有无数条高，且每条高都相等；从圆锥的顶点到底面圆心的距离是圆锥的高，圆锥只有一条高。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楷体" w:eastAsia="楷体" w:hAnsi="楷体" w:cs="楷体" w:hint="eastAsia"/>
          <w:b/>
          <w:bCs/>
          <w:color w:val="FF0000"/>
          <w:sz w:val="24"/>
          <w:szCs w:val="24"/>
          <w:highlight w:val="green"/>
        </w:rPr>
      </w:pPr>
      <w:r>
        <w:rPr>
          <w:rFonts w:ascii="楷体" w:eastAsia="楷体" w:hAnsi="楷体" w:cs="楷体" w:hint="eastAsia"/>
          <w:b/>
          <w:bCs/>
          <w:color w:val="FF0000"/>
          <w:sz w:val="24"/>
          <w:szCs w:val="24"/>
          <w:highlight w:val="green"/>
          <w:lang w:val="en-US" w:eastAsia="zh-CN"/>
        </w:rPr>
        <w:t>知识点二：圆柱的侧面积和表面积</w:t>
      </w:r>
    </w:p>
    <w:p>
      <w:pPr>
        <w:pStyle w:val="List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rPr>
          <w:rFonts w:ascii="楷体" w:eastAsia="楷体" w:hAnsi="楷体" w:cs="楷体" w:hint="eastAsia"/>
          <w:b/>
          <w:bCs/>
          <w:color w:val="FF0000"/>
          <w:sz w:val="24"/>
          <w:szCs w:val="24"/>
          <w:lang w:val="en-US" w:eastAsia="zh-CN"/>
        </w:rPr>
      </w:pPr>
      <w:r>
        <w:rPr>
          <w:rFonts w:ascii="楷体" w:eastAsia="楷体" w:hAnsi="楷体" w:cs="楷体" w:hint="eastAsia"/>
          <w:b/>
          <w:bCs/>
          <w:color w:val="FF0000"/>
          <w:sz w:val="24"/>
          <w:szCs w:val="24"/>
          <w:lang w:val="en-US" w:eastAsia="zh-CN"/>
        </w:rPr>
        <w:t>1、圆柱侧面积。</w:t>
      </w:r>
    </w:p>
    <w:p>
      <w:pPr>
        <w:pStyle w:val="List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rPr>
          <w:rFonts w:ascii="楷体" w:eastAsia="楷体" w:hAnsi="楷体" w:cs="楷体" w:hint="eastAsia"/>
          <w:b/>
          <w:bCs/>
          <w:color w:val="auto"/>
          <w:sz w:val="24"/>
          <w:szCs w:val="24"/>
          <w:lang w:val="en-US" w:eastAsia="zh-CN"/>
        </w:rPr>
      </w:pPr>
      <w:r>
        <w:rPr>
          <w:rFonts w:ascii="楷体" w:eastAsia="楷体" w:hAnsi="楷体" w:cs="楷体" w:hint="eastAsia"/>
          <w:b/>
          <w:bCs/>
          <w:color w:val="auto"/>
          <w:sz w:val="24"/>
          <w:szCs w:val="24"/>
          <w:lang w:val="en-US" w:eastAsia="zh-CN"/>
        </w:rPr>
        <w:t>（1）圆柱的侧面沿高展开图是一个长方形，长方形的长等于圆柱的底面周长，宽等于圆柱的高。</w:t>
      </w:r>
    </w:p>
    <w:p>
      <w:pPr>
        <w:pStyle w:val="List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rPr>
          <w:rFonts w:ascii="楷体" w:eastAsia="楷体" w:hAnsi="楷体" w:cs="楷体" w:hint="eastAsia"/>
          <w:b/>
          <w:bCs/>
          <w:color w:val="auto"/>
          <w:sz w:val="24"/>
          <w:szCs w:val="24"/>
          <w:lang w:val="en-US" w:eastAsia="zh-CN"/>
        </w:rPr>
      </w:pPr>
      <w:r>
        <w:rPr>
          <w:rFonts w:ascii="楷体" w:eastAsia="楷体" w:hAnsi="楷体" w:cs="楷体" w:hint="eastAsia"/>
          <w:b/>
          <w:bCs/>
          <w:color w:val="auto"/>
          <w:sz w:val="24"/>
          <w:szCs w:val="24"/>
          <w:lang w:val="en-US" w:eastAsia="zh-CN"/>
        </w:rPr>
        <w:t>（2）圆柱的侧面积=长方形的面积=长×宽=圆柱的底面周长×高</w:t>
      </w:r>
    </w:p>
    <w:p>
      <w:pPr>
        <w:pStyle w:val="List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rPr>
          <w:rFonts w:ascii="楷体" w:eastAsia="楷体" w:hAnsi="楷体" w:cs="楷体" w:hint="eastAsia"/>
          <w:b/>
          <w:bCs/>
          <w:color w:val="auto"/>
          <w:sz w:val="24"/>
          <w:szCs w:val="24"/>
          <w:lang w:val="en-US" w:eastAsia="zh-CN"/>
        </w:rPr>
      </w:pPr>
      <w:r>
        <w:rPr>
          <w:rFonts w:ascii="楷体" w:eastAsia="楷体" w:hAnsi="楷体" w:cs="楷体" w:hint="eastAsia"/>
          <w:b/>
          <w:bCs/>
          <w:color w:val="auto"/>
          <w:sz w:val="24"/>
          <w:szCs w:val="24"/>
          <w:lang w:val="en-US" w:eastAsia="zh-CN"/>
        </w:rPr>
        <w:t>S侧=Ch=πdh=2πrh</w:t>
      </w:r>
    </w:p>
    <w:p>
      <w:pPr>
        <w:pStyle w:val="List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rPr>
          <w:rFonts w:ascii="楷体" w:eastAsia="楷体" w:hAnsi="楷体" w:cs="楷体" w:hint="eastAsia"/>
          <w:b/>
          <w:bCs/>
          <w:color w:val="FF0000"/>
          <w:sz w:val="24"/>
          <w:szCs w:val="24"/>
          <w:lang w:val="en-US" w:eastAsia="zh-CN"/>
        </w:rPr>
      </w:pPr>
      <w:r>
        <w:rPr>
          <w:rFonts w:ascii="楷体" w:eastAsia="楷体" w:hAnsi="楷体" w:cs="楷体" w:hint="eastAsia"/>
          <w:b/>
          <w:bCs/>
          <w:color w:val="FF0000"/>
          <w:sz w:val="24"/>
          <w:szCs w:val="24"/>
          <w:lang w:val="en-US" w:eastAsia="zh-CN"/>
        </w:rPr>
        <w:t>2、圆柱表面积。</w:t>
      </w:r>
    </w:p>
    <w:p>
      <w:pPr>
        <w:pStyle w:val="List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rPr>
          <w:rFonts w:ascii="楷体" w:eastAsia="楷体" w:hAnsi="楷体" w:cs="楷体" w:hint="eastAsia"/>
          <w:b/>
          <w:bCs/>
          <w:color w:val="auto"/>
          <w:sz w:val="24"/>
          <w:szCs w:val="24"/>
          <w:lang w:val="en-US" w:eastAsia="zh-CN"/>
        </w:rPr>
      </w:pPr>
      <w:r>
        <w:rPr>
          <w:rFonts w:ascii="楷体" w:eastAsia="楷体" w:hAnsi="楷体" w:cs="楷体" w:hint="eastAsia"/>
          <w:b/>
          <w:bCs/>
          <w:color w:val="auto"/>
          <w:sz w:val="24"/>
          <w:szCs w:val="24"/>
          <w:lang w:val="en-US" w:eastAsia="zh-CN"/>
        </w:rPr>
        <w:t>圆柱的侧面积与两个底面积的和，叫作圆柱的表面积。</w:t>
      </w:r>
    </w:p>
    <w:p>
      <w:pPr>
        <w:pStyle w:val="List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</w:pP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圆柱的底面积=πr</w:t>
      </w:r>
      <w:r>
        <w:rPr>
          <w:rFonts w:ascii="楷体" w:eastAsia="楷体" w:hAnsi="楷体" w:cs="楷体" w:hint="eastAsia"/>
          <w:b/>
          <w:bCs/>
          <w:sz w:val="24"/>
          <w:szCs w:val="24"/>
          <w:vertAlign w:val="superscript"/>
          <w:lang w:val="en-US" w:eastAsia="zh-CN"/>
        </w:rPr>
        <w:t>2</w:t>
      </w:r>
    </w:p>
    <w:p>
      <w:pPr>
        <w:pStyle w:val="List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</w:pP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圆柱的表面积=圆柱的侧面积+底面积×2</w:t>
      </w:r>
    </w:p>
    <w:p>
      <w:pPr>
        <w:pStyle w:val="List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rPr>
          <w:rFonts w:ascii="楷体" w:eastAsia="楷体" w:hAnsi="楷体" w:cs="楷体" w:hint="eastAsia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圆柱表面积的字母公式是S表=S侧+2S底=2πrh+2πr</w:t>
      </w:r>
      <w:r>
        <w:rPr>
          <w:rFonts w:ascii="楷体" w:eastAsia="楷体" w:hAnsi="楷体" w:cs="楷体" w:hint="eastAsia"/>
          <w:b/>
          <w:bCs/>
          <w:sz w:val="24"/>
          <w:szCs w:val="24"/>
          <w:vertAlign w:val="superscript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楷体" w:eastAsia="楷体" w:hAnsi="楷体" w:cs="楷体" w:hint="eastAsia"/>
          <w:b/>
          <w:bCs/>
          <w:color w:val="FF0000"/>
          <w:sz w:val="24"/>
          <w:szCs w:val="24"/>
          <w:highlight w:val="green"/>
        </w:rPr>
      </w:pPr>
      <w:r>
        <w:rPr>
          <w:rFonts w:ascii="楷体" w:eastAsia="楷体" w:hAnsi="楷体" w:cs="楷体" w:hint="eastAsia"/>
          <w:b/>
          <w:bCs/>
          <w:color w:val="FF0000"/>
          <w:sz w:val="24"/>
          <w:szCs w:val="24"/>
          <w:highlight w:val="green"/>
          <w:lang w:val="en-US" w:eastAsia="zh-CN"/>
        </w:rPr>
        <w:t>知识点三：圆柱的体积</w:t>
      </w:r>
    </w:p>
    <w:p>
      <w:pPr>
        <w:pStyle w:val="List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rPr>
          <w:rFonts w:ascii="楷体" w:eastAsia="楷体" w:hAnsi="楷体" w:cs="楷体" w:hint="eastAsia"/>
          <w:b/>
          <w:bCs/>
          <w:color w:val="FF0000"/>
          <w:sz w:val="24"/>
          <w:szCs w:val="24"/>
          <w:lang w:val="en-US" w:eastAsia="zh-CN"/>
        </w:rPr>
      </w:pPr>
      <w:r>
        <w:rPr>
          <w:rFonts w:ascii="楷体" w:eastAsia="楷体" w:hAnsi="楷体" w:cs="楷体" w:hint="eastAsia"/>
          <w:b/>
          <w:bCs/>
          <w:color w:val="FF0000"/>
          <w:sz w:val="24"/>
          <w:szCs w:val="24"/>
          <w:lang w:val="en-US" w:eastAsia="zh-CN"/>
        </w:rPr>
        <w:t>1、圆柱体积计算公式的推导。</w:t>
      </w:r>
    </w:p>
    <w:p>
      <w:pPr>
        <w:pStyle w:val="List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rPr>
          <w:rFonts w:ascii="楷体" w:eastAsia="楷体" w:hAnsi="楷体" w:cs="楷体" w:hint="eastAsia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ascii="楷体" w:eastAsia="楷体" w:hAnsi="楷体" w:cs="楷体" w:hint="eastAsia"/>
          <w:b/>
          <w:bCs/>
          <w:kern w:val="2"/>
          <w:sz w:val="24"/>
          <w:szCs w:val="24"/>
          <w:lang w:val="en-US" w:eastAsia="zh-CN" w:bidi="ar-SA"/>
        </w:rPr>
        <w:t>圆柱的体积和拼成的长方体的体积相等，长方体的底面积等于圆柱的底面积，长方体的高等于圆柱的高。</w:t>
      </w:r>
    </w:p>
    <w:p>
      <w:pPr>
        <w:pStyle w:val="List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rPr>
          <w:rFonts w:ascii="楷体" w:eastAsia="楷体" w:hAnsi="楷体" w:cs="楷体" w:hint="eastAsia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ascii="楷体" w:eastAsia="楷体" w:hAnsi="楷体" w:cs="楷体" w:hint="eastAsia"/>
          <w:b/>
          <w:bCs/>
          <w:kern w:val="2"/>
          <w:sz w:val="24"/>
          <w:szCs w:val="24"/>
          <w:lang w:val="en-US" w:eastAsia="zh-CN" w:bidi="ar-SA"/>
        </w:rPr>
        <w:t>长方体的体积=底面积×高</w:t>
      </w:r>
    </w:p>
    <w:p>
      <w:pPr>
        <w:pStyle w:val="List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rPr>
          <w:rFonts w:ascii="楷体" w:eastAsia="楷体" w:hAnsi="楷体" w:cs="楷体" w:hint="eastAsia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ascii="楷体" w:eastAsia="楷体" w:hAnsi="楷体" w:cs="楷体" w:hint="eastAsia"/>
          <w:b/>
          <w:bCs/>
          <w:kern w:val="2"/>
          <w:sz w:val="24"/>
          <w:szCs w:val="24"/>
          <w:lang w:val="en-US" w:eastAsia="zh-CN" w:bidi="ar-SA"/>
        </w:rPr>
        <w:t>圆柱的体积=底面积×高</w:t>
      </w:r>
    </w:p>
    <w:p>
      <w:pPr>
        <w:pStyle w:val="List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rPr>
          <w:rFonts w:ascii="楷体" w:eastAsia="楷体" w:hAnsi="楷体" w:cs="楷体" w:hint="eastAsia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ascii="楷体" w:eastAsia="楷体" w:hAnsi="楷体" w:cs="楷体" w:hint="eastAsia"/>
          <w:b/>
          <w:bCs/>
          <w:kern w:val="2"/>
          <w:sz w:val="24"/>
          <w:szCs w:val="24"/>
          <w:lang w:val="en-US" w:eastAsia="zh-CN" w:bidi="ar-SA"/>
        </w:rPr>
        <w:t>如果V表示圆柱的体积，S表示圆柱的底面积，h表示圆柱的高，那么圆柱的体积计算公式用字母表示是V=Sh。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楷体" w:eastAsia="楷体" w:hAnsi="楷体" w:cs="楷体" w:hint="eastAsia"/>
          <w:b/>
          <w:bCs/>
          <w:color w:val="FF0000"/>
          <w:sz w:val="24"/>
          <w:szCs w:val="24"/>
          <w:highlight w:val="green"/>
        </w:rPr>
      </w:pPr>
      <w:r>
        <w:rPr>
          <w:rFonts w:ascii="楷体" w:eastAsia="楷体" w:hAnsi="楷体" w:cs="楷体" w:hint="eastAsia"/>
          <w:b/>
          <w:bCs/>
          <w:color w:val="FF0000"/>
          <w:sz w:val="24"/>
          <w:szCs w:val="24"/>
          <w:highlight w:val="green"/>
          <w:lang w:val="en-US" w:eastAsia="zh-CN"/>
        </w:rPr>
        <w:t>知识点四：圆锥的体积</w:t>
      </w:r>
    </w:p>
    <w:p>
      <w:pPr>
        <w:pStyle w:val="List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rPr>
          <w:rFonts w:ascii="楷体" w:eastAsia="楷体" w:hAnsi="楷体" w:cs="楷体" w:hint="eastAsia"/>
          <w:b/>
          <w:bCs/>
          <w:color w:val="FF0000"/>
          <w:sz w:val="24"/>
          <w:szCs w:val="24"/>
          <w:lang w:val="en-US" w:eastAsia="zh-CN"/>
        </w:rPr>
      </w:pPr>
      <w:r>
        <w:rPr>
          <w:rFonts w:ascii="楷体" w:eastAsia="楷体" w:hAnsi="楷体" w:cs="楷体" w:hint="eastAsia"/>
          <w:b/>
          <w:bCs/>
          <w:color w:val="FF0000"/>
          <w:sz w:val="24"/>
          <w:szCs w:val="24"/>
          <w:lang w:val="en-US" w:eastAsia="zh-CN"/>
        </w:rPr>
        <w:t>1、圆锥的体积计算公式。</w:t>
      </w:r>
    </w:p>
    <w:p>
      <w:pPr>
        <w:pStyle w:val="List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</w:pP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圆锥的体积=底面积×高×</w:t>
      </w:r>
      <w:r>
        <w:rPr>
          <w:rFonts w:ascii="楷体" w:eastAsia="楷体" w:hAnsi="楷体" w:cs="楷体" w:hint="eastAsia"/>
          <w:b/>
          <w:bCs/>
          <w:position w:val="-24"/>
          <w:sz w:val="24"/>
          <w:szCs w:val="24"/>
          <w:lang w:val="en-US" w:eastAsia="zh-CN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pt;height:31pt" o:ole="" coordsize="21600,21600" o:preferrelative="t" filled="f" stroked="f">
            <v:imagedata r:id="rId9" o:title=""/>
            <o:lock v:ext="edit" aspectratio="t"/>
            <w10:anchorlock/>
          </v:shape>
          <o:OLEObject Type="Embed" ProgID="Equation.KSEE3" ShapeID="_x0000_i1025" DrawAspect="Content" ObjectID="_1468075725" r:id="rId10"/>
        </w:object>
      </w:r>
      <w:r>
        <w:rPr>
          <w:rFonts w:ascii="楷体" w:eastAsia="楷体" w:hAnsi="楷体" w:cs="楷体" w:hint="eastAsia"/>
          <w:b/>
          <w:bCs/>
          <w:i w:val="0"/>
          <w:sz w:val="24"/>
          <w:szCs w:val="24"/>
          <w:lang w:val="en-US" w:eastAsia="zh-CN"/>
        </w:rPr>
        <w:t>，</w:t>
      </w: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圆锥的体积计算公式用字母表示是V=</w:t>
      </w:r>
      <w:r>
        <w:rPr>
          <w:rFonts w:ascii="楷体" w:eastAsia="楷体" w:hAnsi="楷体" w:cs="楷体" w:hint="eastAsia"/>
          <w:b/>
          <w:bCs/>
          <w:position w:val="-24"/>
          <w:sz w:val="24"/>
          <w:szCs w:val="24"/>
          <w:lang w:val="en-US" w:eastAsia="zh-CN"/>
        </w:rPr>
        <w:object>
          <v:shape id="_x0000_i1026" type="#_x0000_t75" style="width:11pt;height:31pt" o:ole="" coordsize="21600,21600" o:preferrelative="t" filled="f" stroked="f">
            <v:imagedata r:id="rId9" o:title=""/>
            <o:lock v:ext="edit" aspectratio="t"/>
            <w10:anchorlock/>
          </v:shape>
          <o:OLEObject Type="Embed" ProgID="Equation.KSEE3" ShapeID="_x0000_i1026" DrawAspect="Content" ObjectID="_1468075726" r:id="rId11"/>
        </w:object>
      </w: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Sh。</w:t>
      </w:r>
    </w:p>
    <w:p>
      <w:pPr>
        <w:pStyle w:val="List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rPr>
          <w:rFonts w:ascii="楷体" w:eastAsia="楷体" w:hAnsi="楷体" w:cs="楷体" w:hint="eastAsia"/>
          <w:b/>
          <w:bCs/>
          <w:color w:val="FF0000"/>
          <w:sz w:val="24"/>
          <w:szCs w:val="24"/>
          <w:lang w:val="en-US" w:eastAsia="zh-CN"/>
        </w:rPr>
      </w:pPr>
      <w:r>
        <w:rPr>
          <w:rFonts w:ascii="楷体" w:eastAsia="楷体" w:hAnsi="楷体" w:cs="楷体" w:hint="eastAsia"/>
          <w:b/>
          <w:bCs/>
          <w:color w:val="FF0000"/>
          <w:sz w:val="24"/>
          <w:szCs w:val="24"/>
          <w:lang w:val="en-US" w:eastAsia="zh-CN"/>
        </w:rPr>
        <w:t>2、圆柱和圆锥的关系。</w:t>
      </w:r>
    </w:p>
    <w:p>
      <w:pPr>
        <w:pStyle w:val="List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sectPr>
          <w:type w:val="nextPage"/>
          <w:pgSz w:w="11906" w:h="16838"/>
          <w:pgMar w:top="1440" w:right="1080" w:bottom="1440" w:left="1080" w:header="851" w:footer="340" w:gutter="0"/>
          <w:pgNumType w:start="2"/>
          <w:cols w:num="1" w:space="425"/>
          <w:titlePg w:val="0"/>
          <w:docGrid w:type="lines" w:linePitch="312" w:charSpace="0"/>
        </w:sectPr>
      </w:pPr>
    </w:p>
    <w:p>
      <w:pPr>
        <w:pStyle w:val="List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</w:pP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（1）等底等高的圆柱与圆锥的体积比是3∶1，即圆柱的体积比圆锥的体积多2倍，也可以说圆锥的体积比圆柱的体积</w:t>
      </w:r>
      <w:r>
        <w:rPr>
          <w:rFonts w:ascii="楷体" w:eastAsia="楷体" w:hAnsi="楷体" w:cs="楷体" w:hint="eastAsia"/>
          <w:b/>
          <w:bCs/>
          <w:position w:val="-24"/>
          <w:sz w:val="24"/>
          <w:szCs w:val="24"/>
          <w:lang w:val="en-US" w:eastAsia="zh-CN"/>
        </w:rPr>
        <w:object>
          <v:shape id="_x0000_i1027" type="#_x0000_t75" style="width:12pt;height:31pt" o:ole="" coordsize="21600,21600" o:preferrelative="t" filled="f" stroked="f">
            <v:imagedata r:id="rId12" o:title=""/>
            <o:lock v:ext="edit" aspectratio="t"/>
            <w10:anchorlock/>
          </v:shape>
          <o:OLEObject Type="Embed" ProgID="Equation.KSEE3" ShapeID="_x0000_i1027" DrawAspect="Content" ObjectID="_1468075727" r:id="rId13"/>
        </w:object>
      </w: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。</w:t>
      </w:r>
    </w:p>
    <w:p>
      <w:pPr>
        <w:pStyle w:val="List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</w:pP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（2）等体积等高的圆柱与圆锥的底面积的比是1∶3。</w:t>
      </w:r>
    </w:p>
    <w:p>
      <w:pPr>
        <w:pStyle w:val="List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</w:pP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（3）等体积等底面积的圆柱与圆锥的高的比是1∶3。</w:t>
      </w:r>
    </w:p>
    <w:p>
      <w:pPr>
        <w:pStyle w:val="ListParagraph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rPr>
          <w:rFonts w:ascii="楷体" w:eastAsia="楷体" w:hAnsi="楷体" w:cs="楷体" w:hint="eastAsia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掌握好圆柱体积和圆锥体积的关系，能够相互运用求其中一个。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leftChars="0" w:firstLineChars="0"/>
        <w:jc w:val="center"/>
        <w:textAlignment w:val="auto"/>
        <w:rPr>
          <w:rFonts w:ascii="楷体" w:eastAsia="楷体" w:hAnsi="楷体" w:cs="楷体" w:hint="eastAsia"/>
        </w:rPr>
      </w:pPr>
      <w:r>
        <w:rPr>
          <w:rFonts w:ascii="楷体" w:eastAsia="楷体" w:hAnsi="楷体" w:cs="楷体" w:hint="eastAsia"/>
        </w:rPr>
        <w:drawing>
          <wp:inline distT="0" distB="0" distL="114300" distR="114300">
            <wp:extent cx="2056765" cy="445770"/>
            <wp:effectExtent l="0" t="0" r="635" b="11430"/>
            <wp:docPr id="52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56765" cy="445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center"/>
        <w:rPr>
          <w:rFonts w:ascii="楷体" w:eastAsia="楷体" w:hAnsi="楷体" w:cs="楷体" w:hint="eastAsia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</w:rPr>
        <w:t>1</w:t>
      </w:r>
      <w:r>
        <w:rPr>
          <w:rFonts w:ascii="楷体" w:eastAsia="楷体" w:hAnsi="楷体" w:cs="楷体" w:hint="eastAsia"/>
          <w:b/>
          <w:bCs/>
          <w:sz w:val="24"/>
          <w:szCs w:val="24"/>
          <w:lang w:eastAsia="zh-CN"/>
        </w:rPr>
        <w:t>、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圆柱上、下两个底面是完全相同的两个圆，不是椭圆。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center"/>
        <w:rPr>
          <w:rFonts w:ascii="楷体" w:eastAsia="楷体" w:hAnsi="楷体" w:cs="楷体" w:hint="eastAsia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</w:rPr>
        <w:t>2</w:t>
      </w:r>
      <w:r>
        <w:rPr>
          <w:rFonts w:ascii="楷体" w:eastAsia="楷体" w:hAnsi="楷体" w:cs="楷体" w:hint="eastAsia"/>
          <w:b/>
          <w:bCs/>
          <w:sz w:val="24"/>
          <w:szCs w:val="24"/>
          <w:lang w:eastAsia="zh-CN"/>
        </w:rPr>
        <w:t>、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圆锥的高是指从圆锥的顶点到底面圆心的距离。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center"/>
        <w:rPr>
          <w:rFonts w:ascii="楷体" w:eastAsia="楷体" w:hAnsi="楷体" w:cs="楷体" w:hint="eastAsia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</w:rPr>
        <w:t>3</w:t>
      </w:r>
      <w:r>
        <w:rPr>
          <w:rFonts w:ascii="楷体" w:eastAsia="楷体" w:hAnsi="楷体" w:cs="楷体" w:hint="eastAsia"/>
          <w:b/>
          <w:bCs/>
          <w:sz w:val="24"/>
          <w:szCs w:val="24"/>
          <w:lang w:eastAsia="zh-CN"/>
        </w:rPr>
        <w:t>、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圆柱有无数条高，圆锥只有一条高。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center"/>
        <w:rPr>
          <w:rFonts w:ascii="楷体" w:eastAsia="楷体" w:hAnsi="楷体" w:cs="楷体" w:hint="eastAsia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</w:rPr>
        <w:t>4</w:t>
      </w:r>
      <w:r>
        <w:rPr>
          <w:rFonts w:ascii="楷体" w:eastAsia="楷体" w:hAnsi="楷体" w:cs="楷体" w:hint="eastAsia"/>
          <w:b/>
          <w:bCs/>
          <w:sz w:val="24"/>
          <w:szCs w:val="24"/>
          <w:lang w:eastAsia="zh-CN"/>
        </w:rPr>
        <w:t>、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圆柱的侧面只有沿高剪开时，其展开图才是一个长方形（或正方形）。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center"/>
        <w:rPr>
          <w:rFonts w:ascii="楷体" w:eastAsia="楷体" w:hAnsi="楷体" w:cs="楷体" w:hint="eastAsia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</w:rPr>
        <w:t>5</w:t>
      </w:r>
      <w:r>
        <w:rPr>
          <w:rFonts w:ascii="楷体" w:eastAsia="楷体" w:hAnsi="楷体" w:cs="楷体" w:hint="eastAsia"/>
          <w:b/>
          <w:bCs/>
          <w:sz w:val="24"/>
          <w:szCs w:val="24"/>
          <w:lang w:eastAsia="zh-CN"/>
        </w:rPr>
        <w:t>、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圆柱的侧面展开图如果是正方形，那么圆柱的高和底面周长相等。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center"/>
        <w:rPr>
          <w:rFonts w:ascii="楷体" w:eastAsia="楷体" w:hAnsi="楷体" w:cs="楷体" w:hint="eastAsia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</w:rPr>
        <w:t>6</w:t>
      </w:r>
      <w:r>
        <w:rPr>
          <w:rFonts w:ascii="楷体" w:eastAsia="楷体" w:hAnsi="楷体" w:cs="楷体" w:hint="eastAsia"/>
          <w:b/>
          <w:bCs/>
          <w:sz w:val="24"/>
          <w:szCs w:val="24"/>
          <w:lang w:eastAsia="zh-CN"/>
        </w:rPr>
        <w:t>、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半圆能围成圆锥，但整个圆不能围成圆锥。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7、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求通风管、下水管、烟囱这类圆柱形物体的表面积其实就是求它们的侧面积。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8、知道把圆柱的侧面沿高展开后是长方形，但不知道长方形的长和宽分别是什么。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9、圆柱有两个底面，计算时容易漏掉一个。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10、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圆柱的高不变，若底面半径、直径或周长扩大到原来的n倍，则体积扩大到原来的n</w:t>
      </w:r>
      <w:r>
        <w:rPr>
          <w:rFonts w:ascii="楷体" w:eastAsia="楷体" w:hAnsi="楷体" w:cs="楷体" w:hint="eastAsia"/>
          <w:b/>
          <w:bCs/>
          <w:sz w:val="24"/>
          <w:szCs w:val="24"/>
          <w:vertAlign w:val="superscript"/>
        </w:rPr>
        <w:t>2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倍；若底面半径、直径或周长缩小到原来的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drawing>
          <wp:inline distT="0" distB="0" distL="114300" distR="114300">
            <wp:extent cx="133350" cy="476250"/>
            <wp:effectExtent l="0" t="0" r="0" b="0"/>
            <wp:docPr id="6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b/>
          <w:bCs/>
          <w:sz w:val="24"/>
          <w:szCs w:val="24"/>
        </w:rPr>
        <w:t>，则体积缩小到原来的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drawing>
          <wp:inline distT="0" distB="0" distL="114300" distR="114300">
            <wp:extent cx="228600" cy="476250"/>
            <wp:effectExtent l="0" t="0" r="0" b="0"/>
            <wp:docPr id="7" name="图片 4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 descr="IMG_2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b/>
          <w:bCs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11、不要误认为把圆柱切割后拼成长方体，体积不变，表面积也不变。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12、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瓶子倒置前后，瓶中水的体积不变，所以无水部分的体积也不变。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当把一个物体完全浸没在一个盛水的容器中时（水未溢出），上升的水的体积就是这个物体的体积。反之，取出时下降的水的体积就是这个物体的体积。同时，该体积是由水的变化算出的，与物体的形状无关。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13、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运用圆锥体积的计算公式时不要忘记乘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drawing>
          <wp:inline distT="0" distB="0" distL="114300" distR="114300">
            <wp:extent cx="152400" cy="476250"/>
            <wp:effectExtent l="0" t="0" r="0" b="0"/>
            <wp:docPr id="11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b/>
          <w:bCs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14、不是任何一个圆锥的体积都是圆柱的三分之一，</w:t>
      </w:r>
      <w:r>
        <w:rPr>
          <w:rFonts w:ascii="楷体" w:eastAsia="楷体" w:hAnsi="楷体" w:cs="楷体" w:hint="eastAsia"/>
          <w:b/>
          <w:bCs/>
          <w:sz w:val="24"/>
          <w:szCs w:val="24"/>
        </w:rPr>
        <w:t>只有等底等高的圆柱和圆锥的体积才存在3倍的关系。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b/>
          <w:bCs/>
        </w:rPr>
        <w:sectPr>
          <w:type w:val="nextPage"/>
          <w:pgSz w:w="11906" w:h="16838"/>
          <w:pgMar w:top="1440" w:right="1080" w:bottom="1440" w:left="1080" w:header="851" w:footer="340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15、明确等体积变化的问题，解决此类问题注意体积不变，只是形状发生了改变。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leftChars="0" w:firstLineChars="0"/>
        <w:jc w:val="center"/>
        <w:textAlignment w:val="auto"/>
        <w:rPr>
          <w:rFonts w:ascii="楷体" w:eastAsia="楷体" w:hAnsi="楷体" w:cs="楷体" w:hint="eastAsia"/>
        </w:rPr>
      </w:pPr>
      <w:r>
        <w:rPr>
          <w:rFonts w:ascii="楷体" w:eastAsia="楷体" w:hAnsi="楷体" w:cs="楷体" w:hint="eastAsia"/>
        </w:rPr>
        <w:drawing>
          <wp:inline distT="0" distB="0" distL="114300" distR="114300">
            <wp:extent cx="2044700" cy="431165"/>
            <wp:effectExtent l="0" t="0" r="12700" b="6985"/>
            <wp:docPr id="53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楷体" w:eastAsia="楷体" w:hAnsi="楷体" w:cs="楷体" w:hint="eastAsia"/>
          <w:b/>
          <w:bCs/>
          <w:color w:val="FF0000"/>
          <w:sz w:val="24"/>
          <w:szCs w:val="24"/>
          <w:highlight w:val="green"/>
        </w:rPr>
      </w:pPr>
      <w:r>
        <w:rPr>
          <w:rFonts w:ascii="楷体" w:eastAsia="楷体" w:hAnsi="楷体" w:cs="楷体" w:hint="eastAsia"/>
          <w:b/>
          <w:bCs/>
          <w:color w:val="FF0000"/>
          <w:sz w:val="24"/>
          <w:szCs w:val="24"/>
          <w:highlight w:val="green"/>
          <w:lang w:val="en-US" w:eastAsia="zh-CN"/>
        </w:rPr>
        <w:t>考点一：圆柱和圆锥的认识和特征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b/>
          <w:bCs/>
          <w:color w:val="FF0000"/>
          <w:sz w:val="24"/>
          <w:szCs w:val="24"/>
          <w:lang w:eastAsia="zh-CN"/>
        </w:rPr>
        <w:t>【</w:t>
      </w:r>
      <w:r>
        <w:rPr>
          <w:rFonts w:ascii="楷体" w:eastAsia="楷体" w:hAnsi="楷体" w:cs="楷体" w:hint="eastAsia"/>
          <w:b/>
          <w:bCs/>
          <w:color w:val="FF0000"/>
          <w:sz w:val="24"/>
          <w:szCs w:val="24"/>
          <w:lang w:val="en-US" w:eastAsia="zh-CN"/>
        </w:rPr>
        <w:t>典例一</w:t>
      </w:r>
      <w:r>
        <w:rPr>
          <w:rFonts w:ascii="楷体" w:eastAsia="楷体" w:hAnsi="楷体" w:cs="楷体" w:hint="eastAsia"/>
          <w:b/>
          <w:bCs/>
          <w:color w:val="FF0000"/>
          <w:sz w:val="24"/>
          <w:szCs w:val="24"/>
          <w:lang w:eastAsia="zh-CN"/>
        </w:rPr>
        <w:t>】</w:t>
      </w:r>
      <w:r>
        <w:rPr>
          <w:rFonts w:ascii="楷体" w:eastAsia="楷体" w:hAnsi="楷体" w:cs="楷体" w:hint="eastAsia"/>
          <w:sz w:val="21"/>
          <w:szCs w:val="21"/>
        </w:rPr>
        <w:t>下图中甲是用20个硬币堆成的，底面是个圆形，面积是5.4cm</w:t>
      </w:r>
      <w:r>
        <w:rPr>
          <w:rFonts w:ascii="楷体" w:eastAsia="楷体" w:hAnsi="楷体" w:cs="楷体" w:hint="eastAsia"/>
          <w:sz w:val="21"/>
          <w:szCs w:val="21"/>
          <w:vertAlign w:val="superscript"/>
        </w:rPr>
        <w:t>2</w:t>
      </w:r>
      <w:r>
        <w:rPr>
          <w:rFonts w:ascii="楷体" w:eastAsia="楷体" w:hAnsi="楷体" w:cs="楷体" w:hint="eastAsia"/>
          <w:sz w:val="21"/>
          <w:szCs w:val="21"/>
        </w:rPr>
        <w:t>，它的高度是4cm；再用这20个硬币重新堆成乙图，乙的高度（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1171575" cy="904875"/>
            <wp:effectExtent l="0" t="0" r="9525" b="9525"/>
            <wp:docPr id="100003" name="图片 100003" descr="@@@46e77b4b-d9ac-40d3-b999-75d3f43b8b9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46e77b4b-d9ac-40d3-b999-75d3f43b8b9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A．大于4cm</w:t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B．等于4cm</w:t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C．小于4cn</w:t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D．无法判断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【分析】甲乙两图都是由20个硬币堆成的，厚度一样，所以乙的高等于甲的高。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【详解】因为两个图形的高都有20个硬币，所以乙图的高等于甲图的高；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乙的高度是4cm。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故答案为：B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b/>
          <w:bCs/>
          <w:color w:val="FF0000"/>
          <w:sz w:val="24"/>
          <w:szCs w:val="24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【点睛】解答此题关键是理解两个图形的高就是硬币的厚度和。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b/>
          <w:bCs/>
          <w:color w:val="FF0000"/>
          <w:sz w:val="24"/>
          <w:szCs w:val="24"/>
          <w:lang w:eastAsia="zh-CN"/>
        </w:rPr>
        <w:t>【</w:t>
      </w:r>
      <w:r>
        <w:rPr>
          <w:rFonts w:ascii="楷体" w:eastAsia="楷体" w:hAnsi="楷体" w:cs="楷体" w:hint="eastAsia"/>
          <w:b/>
          <w:bCs/>
          <w:color w:val="FF0000"/>
          <w:sz w:val="24"/>
          <w:szCs w:val="24"/>
          <w:lang w:val="en-US" w:eastAsia="zh-CN"/>
        </w:rPr>
        <w:t>典例二</w:t>
      </w:r>
      <w:r>
        <w:rPr>
          <w:rFonts w:ascii="楷体" w:eastAsia="楷体" w:hAnsi="楷体" w:cs="楷体" w:hint="eastAsia"/>
          <w:b/>
          <w:bCs/>
          <w:color w:val="FF0000"/>
          <w:sz w:val="24"/>
          <w:szCs w:val="24"/>
          <w:lang w:eastAsia="zh-CN"/>
        </w:rPr>
        <w:t>】</w:t>
      </w:r>
      <w:r>
        <w:rPr>
          <w:rFonts w:ascii="楷体" w:eastAsia="楷体" w:hAnsi="楷体" w:cs="楷体" w:hint="eastAsia"/>
          <w:sz w:val="21"/>
          <w:szCs w:val="21"/>
        </w:rPr>
        <w:t>用塑料绳捆扎一个圆柱形的蛋糕盒（如图），打结处正好是底面圆心，打结用去绳子12厘米。扎这个盒子至少用塑料绳多少厘米？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1800225" cy="1171575"/>
            <wp:effectExtent l="0" t="0" r="9525" b="9525"/>
            <wp:docPr id="100025" name="图片 100025" descr="@@@23c120a88beb40aab3db07118fa7a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23c120a88beb40aab3db07118fa7a1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【分析】由图可知：塑料绳的长度等于4条直径＋4条高＋打结用去的长度；据此解答。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【详解】40×4＋20×4＋12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＝160＋80＋12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＝252（厘米）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答：扎这个盒子至少用塑料绳252厘米。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b/>
          <w:bCs/>
          <w:color w:val="FF0000"/>
          <w:sz w:val="24"/>
          <w:szCs w:val="24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【点睛】本题主要考查圆柱的特征，明确有几条直径、几条高是解题的关键。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楷体" w:eastAsia="楷体" w:hAnsi="楷体" w:cs="楷体" w:hint="eastAsia"/>
          <w:b/>
          <w:bCs/>
          <w:color w:val="FF0000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color w:val="FF0000"/>
          <w:sz w:val="24"/>
          <w:szCs w:val="24"/>
          <w:highlight w:val="green"/>
          <w:lang w:val="en-US" w:eastAsia="zh-CN"/>
        </w:rPr>
        <w:t>考点二：圆柱的侧面积和表面积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  <w:sectPr>
          <w:type w:val="nextPage"/>
          <w:pgSz w:w="11906" w:h="16838"/>
          <w:pgMar w:top="1440" w:right="1080" w:bottom="1440" w:left="1080" w:header="851" w:footer="340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 w:hint="eastAsia"/>
          <w:b/>
          <w:bCs/>
          <w:color w:val="FF0000"/>
          <w:sz w:val="24"/>
          <w:szCs w:val="24"/>
          <w:lang w:eastAsia="zh-CN"/>
        </w:rPr>
        <w:t>【</w:t>
      </w:r>
      <w:r>
        <w:rPr>
          <w:rFonts w:ascii="楷体" w:eastAsia="楷体" w:hAnsi="楷体" w:cs="楷体" w:hint="eastAsia"/>
          <w:b/>
          <w:bCs/>
          <w:color w:val="FF0000"/>
          <w:sz w:val="24"/>
          <w:szCs w:val="24"/>
          <w:lang w:val="en-US" w:eastAsia="zh-CN"/>
        </w:rPr>
        <w:t>典例一</w:t>
      </w:r>
      <w:r>
        <w:rPr>
          <w:rFonts w:ascii="楷体" w:eastAsia="楷体" w:hAnsi="楷体" w:cs="楷体" w:hint="eastAsia"/>
          <w:b/>
          <w:bCs/>
          <w:color w:val="FF0000"/>
          <w:sz w:val="24"/>
          <w:szCs w:val="24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塑料大棚是一种用覆盖塑料薄膜搭成的拱形棚，供栽培蔬菜，被誉为中国农产品产量出现革命性增长的主要功臣。下面塑料大棚长20米，两端各是一个直径6米的半圆形，搭建这个塑料大棚大约用了（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  </w:t>
      </w:r>
      <w:r>
        <w:rPr>
          <w:rFonts w:ascii="楷体" w:eastAsia="楷体" w:hAnsi="楷体" w:cs="楷体" w:hint="eastAsia"/>
          <w:sz w:val="21"/>
          <w:szCs w:val="21"/>
        </w:rPr>
        <w:t>）平方米的塑料薄膜。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1190625" cy="419100"/>
            <wp:effectExtent l="0" t="0" r="9525" b="0"/>
            <wp:docPr id="8" name="图片 8" descr="@@@0566f0663fcd42aba12eb19218489e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@@@0566f0663fcd42aba12eb19218489e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2771"/>
          <w:tab w:val="left" w:pos="554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A．216.66</w:t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B．244.92</w:t>
      </w:r>
      <w:r>
        <w:rPr>
          <w:rFonts w:ascii="楷体" w:eastAsia="楷体" w:hAnsi="楷体" w:cs="楷体" w:hint="eastAsia"/>
          <w:sz w:val="21"/>
          <w:szCs w:val="21"/>
        </w:rPr>
        <w:tab/>
      </w:r>
      <w:r>
        <w:rPr>
          <w:rFonts w:ascii="楷体" w:eastAsia="楷体" w:hAnsi="楷体" w:cs="楷体" w:hint="eastAsia"/>
          <w:sz w:val="21"/>
          <w:szCs w:val="21"/>
        </w:rPr>
        <w:t>C．433.32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【分析】求搭建这个塑料大棚用塑料薄膜的面积，就是求直径是6米，高是20米的圆柱形的表面积的一半，根据圆柱的表面积公式：表面积＝底面积×2＋侧面积，代入数据，即可解答。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【详解】[3.14×（6÷2）</w:t>
      </w:r>
      <w:r>
        <w:rPr>
          <w:rFonts w:ascii="楷体" w:eastAsia="楷体" w:hAnsi="楷体" w:cs="楷体" w:hint="eastAsia"/>
          <w:color w:val="FF0000"/>
          <w:sz w:val="21"/>
          <w:szCs w:val="21"/>
          <w:vertAlign w:val="superscript"/>
        </w:rPr>
        <w:t>2</w:t>
      </w:r>
      <w:r>
        <w:rPr>
          <w:rFonts w:ascii="楷体" w:eastAsia="楷体" w:hAnsi="楷体" w:cs="楷体" w:hint="eastAsia"/>
          <w:color w:val="FF0000"/>
          <w:sz w:val="21"/>
          <w:szCs w:val="21"/>
        </w:rPr>
        <w:t>×2＋3.14×6×20]÷2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＝[3.14×9×2＋18.84×20]÷2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＝[28.26×2＋376.8]÷2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＝[56.52＋376.8]÷2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＝433.32÷2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＝244.92（平方米）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塑料大棚是一种用覆盖塑料薄膜搭成的拱形棚，供栽培蔬菜，被誉为中国农产品产量出现革命性增长的主要功臣。下面塑料大棚长20米，两端各是一个直径6米的半圆形，搭建这个塑料大棚大约用了244.92平方米。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strike w:val="0"/>
          <w:color w:val="FF0000"/>
          <w:kern w:val="0"/>
          <w:sz w:val="21"/>
          <w:szCs w:val="21"/>
          <w:u w:val="none"/>
        </w:rPr>
        <w:drawing>
          <wp:inline distT="0" distB="0" distL="114300" distR="114300">
            <wp:extent cx="1190625" cy="419100"/>
            <wp:effectExtent l="0" t="0" r="9525" b="0"/>
            <wp:docPr id="166997296" name="图片 166997296" descr="@@@0566f0663fcd42aba12eb19218489e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997296" name="图片 166997296" descr="@@@0566f0663fcd42aba12eb19218489e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故答案为：B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b/>
          <w:bCs/>
          <w:color w:val="FF0000"/>
          <w:sz w:val="24"/>
          <w:szCs w:val="24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【点睛】熟练掌握圆柱的表面积公式是解答本题的关键。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b/>
          <w:bCs/>
          <w:color w:val="FF0000"/>
          <w:sz w:val="24"/>
          <w:szCs w:val="24"/>
          <w:lang w:eastAsia="zh-CN"/>
        </w:rPr>
        <w:t>【</w:t>
      </w:r>
      <w:r>
        <w:rPr>
          <w:rFonts w:ascii="楷体" w:eastAsia="楷体" w:hAnsi="楷体" w:cs="楷体" w:hint="eastAsia"/>
          <w:b/>
          <w:bCs/>
          <w:color w:val="FF0000"/>
          <w:sz w:val="24"/>
          <w:szCs w:val="24"/>
          <w:lang w:val="en-US" w:eastAsia="zh-CN"/>
        </w:rPr>
        <w:t>典例二</w:t>
      </w:r>
      <w:r>
        <w:rPr>
          <w:rFonts w:ascii="楷体" w:eastAsia="楷体" w:hAnsi="楷体" w:cs="楷体" w:hint="eastAsia"/>
          <w:b/>
          <w:bCs/>
          <w:color w:val="FF0000"/>
          <w:sz w:val="24"/>
          <w:szCs w:val="24"/>
          <w:lang w:eastAsia="zh-CN"/>
        </w:rPr>
        <w:t>】</w:t>
      </w:r>
      <w:r>
        <w:rPr>
          <w:rFonts w:ascii="楷体" w:eastAsia="楷体" w:hAnsi="楷体" w:cs="楷体" w:hint="eastAsia"/>
          <w:sz w:val="21"/>
          <w:szCs w:val="21"/>
        </w:rPr>
        <w:t>小菲做了一个圆柱形灯罩，底面直径是16厘米，高是20厘米。她想给灯罩的侧面和上底面贴上彩纸，至少需要</w:t>
      </w:r>
      <w:r>
        <w:rPr>
          <w:rFonts w:ascii="楷体" w:eastAsia="楷体" w:hAnsi="楷体" w:cs="楷体" w:hint="eastAsia"/>
          <w:sz w:val="21"/>
          <w:szCs w:val="21"/>
          <w:lang w:eastAsia="zh-CN"/>
        </w:rPr>
        <w:t>（</w:t>
      </w:r>
      <w:r>
        <w:rPr>
          <w:rFonts w:ascii="楷体" w:eastAsia="楷体" w:hAnsi="楷体" w:cs="楷体" w:hint="eastAsia"/>
          <w:sz w:val="21"/>
          <w:szCs w:val="21"/>
        </w:rPr>
        <w:t xml:space="preserve">        </w:t>
      </w:r>
      <w:r>
        <w:rPr>
          <w:rFonts w:ascii="楷体" w:eastAsia="楷体" w:hAnsi="楷体" w:cs="楷体" w:hint="eastAsia"/>
          <w:sz w:val="21"/>
          <w:szCs w:val="21"/>
          <w:lang w:eastAsia="zh-CN"/>
        </w:rPr>
        <w:t>）</w:t>
      </w:r>
      <w:r>
        <w:rPr>
          <w:rFonts w:ascii="楷体" w:eastAsia="楷体" w:hAnsi="楷体" w:cs="楷体" w:hint="eastAsia"/>
          <w:sz w:val="21"/>
          <w:szCs w:val="21"/>
        </w:rPr>
        <w:t>平方厘米的彩纸。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【分析】求至少需要彩纸的面积，就是求这个圆柱形底面和侧面的面积和，根据圆柱的表面积公式：表面积＝底面积＋侧面积，代入数据，即可解答。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【详解】3.14×（16÷2）</w:t>
      </w:r>
      <w:r>
        <w:rPr>
          <w:rFonts w:ascii="楷体" w:eastAsia="楷体" w:hAnsi="楷体" w:cs="楷体" w:hint="eastAsia"/>
          <w:color w:val="FF0000"/>
          <w:sz w:val="21"/>
          <w:szCs w:val="21"/>
          <w:vertAlign w:val="superscript"/>
        </w:rPr>
        <w:t>2</w:t>
      </w:r>
      <w:r>
        <w:rPr>
          <w:rFonts w:ascii="楷体" w:eastAsia="楷体" w:hAnsi="楷体" w:cs="楷体" w:hint="eastAsia"/>
          <w:color w:val="FF0000"/>
          <w:sz w:val="21"/>
          <w:szCs w:val="21"/>
        </w:rPr>
        <w:t>＋3.14×16×20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＝3.14×64＋50.24×20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＝200.96＋1004.8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＝1205.76（平方厘米）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color w:val="FF0000"/>
          <w:szCs w:val="21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小菲做了一个圆柱形灯罩，底面直径是16厘米，高是20厘米。她想给灯罩的侧面和上底面贴上彩纸，至少需要1205.76平方厘米的彩纸。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b/>
          <w:bCs/>
          <w:color w:val="FF0000"/>
          <w:sz w:val="24"/>
          <w:szCs w:val="24"/>
        </w:rPr>
      </w:pPr>
      <w:r>
        <w:rPr>
          <w:rFonts w:ascii="楷体" w:eastAsia="楷体" w:hAnsi="楷体" w:cs="楷体" w:hint="eastAsia"/>
          <w:color w:val="FF0000"/>
          <w:sz w:val="21"/>
          <w:szCs w:val="21"/>
        </w:rPr>
        <w:t>【点睛】熟练掌握圆柱的表面积公式是解答本题的关键。</w:t>
      </w:r>
      <w:r>
        <w:rPr>
          <w:rFonts w:ascii="楷体" w:eastAsia="楷体" w:hAnsi="楷体" w:cs="楷体" w:hint="eastAsia"/>
          <w:b/>
          <w:bCs/>
          <w:color w:val="FF0000"/>
          <w:sz w:val="24"/>
          <w:szCs w:val="24"/>
        </w:rPr>
        <w:br/>
      </w:r>
      <w:r>
        <w:rPr>
          <w:rFonts w:ascii="楷体" w:eastAsia="楷体" w:hAnsi="楷体" w:cs="楷体" w:hint="eastAsia"/>
          <w:b/>
          <w:bCs/>
          <w:color w:val="FF0000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https://d.book118.com/118047030073006035</w:t>
        </w:r>
      </w:hyperlink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楷体" w:eastAsia="楷体" w:hAnsi="楷体" w:cs="楷体" w:hint="eastAsia"/>
          <w:b/>
          <w:bCs/>
          <w:color w:val="FF0000"/>
          <w:sz w:val="24"/>
          <w:szCs w:val="24"/>
        </w:rPr>
      </w:pPr>
    </w:p>
    <w:sectPr>
      <w:type w:val="nextPage"/>
      <w:pgSz w:w="11906" w:h="16838"/>
      <w:pgMar w:top="1440" w:right="1080" w:bottom="1440" w:left="1080" w:header="851" w:footer="340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variable"/>
    <w:sig w:usb0="E0002EFF" w:usb1="C000785B" w:usb2="00000009" w:usb3="00000000" w:csb0="400401FF" w:csb1="FFFF0000"/>
  </w:font>
  <w:font w:name="宋体">
    <w:altName w:val="SimSun"/>
    <w:panose1 w:val="02010600030101010101"/>
    <w:charset w:val="7A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8"/>
    <w:multiLevelType w:val="multilevel"/>
    <w:tmpl w:val="00000008"/>
    <w:lvl w:ilvl="0">
      <w:start w:val="1"/>
      <w:numFmt w:val="decimal"/>
      <w:pStyle w:val="Heading4"/>
      <w:lvlText w:val="【例%1】"/>
      <w:lvlJc w:val="left"/>
      <w:pPr>
        <w:tabs>
          <w:tab w:val="left" w:pos="420"/>
        </w:tabs>
        <w:ind w:left="420" w:hanging="420"/>
      </w:pPr>
      <w:rPr>
        <w:rFonts w:ascii="Times New Roman" w:hAnsi="Times New Roman" w:cs="Times New Roman" w:hint="default"/>
        <w:b/>
        <w:i w:val="0"/>
        <w:sz w:val="21"/>
        <w:szCs w:val="21"/>
      </w:rPr>
    </w:lvl>
    <w:lvl w:ilvl="1">
      <w:start w:val="1"/>
      <w:numFmt w:val="decimal"/>
      <w:lvlText w:val="练%2."/>
      <w:lvlJc w:val="left"/>
      <w:pPr>
        <w:tabs>
          <w:tab w:val="left" w:pos="840"/>
        </w:tabs>
        <w:ind w:left="840" w:hanging="420"/>
      </w:pPr>
      <w:rPr>
        <w:rFonts w:hint="eastAsia"/>
        <w:b/>
        <w:i w:val="0"/>
        <w:sz w:val="24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6CF409B5"/>
    <w:multiLevelType w:val="multilevel"/>
    <w:tmpl w:val="6CF409B5"/>
    <w:lvl w:ilvl="0">
      <w:start w:val="1"/>
      <w:numFmt w:val="decimal"/>
      <w:pStyle w:val="Heading5"/>
      <w:lvlText w:val="%1."/>
      <w:lvlJc w:val="left"/>
      <w:pPr>
        <w:ind w:left="420" w:hanging="420"/>
      </w:pPr>
      <w:rPr>
        <w:rFonts w:ascii="Times New Roman" w:hAnsi="Times New Roman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F63"/>
    <w:rsid w:val="00030B58"/>
    <w:rsid w:val="000C3824"/>
    <w:rsid w:val="00143AA9"/>
    <w:rsid w:val="001D0117"/>
    <w:rsid w:val="00266905"/>
    <w:rsid w:val="003B531C"/>
    <w:rsid w:val="004151FC"/>
    <w:rsid w:val="004406E8"/>
    <w:rsid w:val="004D5F63"/>
    <w:rsid w:val="005828E2"/>
    <w:rsid w:val="005861B6"/>
    <w:rsid w:val="005B6051"/>
    <w:rsid w:val="00620A9F"/>
    <w:rsid w:val="00735CBE"/>
    <w:rsid w:val="00737B13"/>
    <w:rsid w:val="00AD4B16"/>
    <w:rsid w:val="00BF6B0E"/>
    <w:rsid w:val="00C02FC6"/>
    <w:rsid w:val="00C069E7"/>
    <w:rsid w:val="00C262F5"/>
    <w:rsid w:val="00C60690"/>
    <w:rsid w:val="00DA6A96"/>
    <w:rsid w:val="00DF5F69"/>
    <w:rsid w:val="00E73841"/>
    <w:rsid w:val="00F13100"/>
    <w:rsid w:val="010B5AD8"/>
    <w:rsid w:val="02303FE6"/>
    <w:rsid w:val="06AD15F5"/>
    <w:rsid w:val="07B55D37"/>
    <w:rsid w:val="09C75EB7"/>
    <w:rsid w:val="0D092489"/>
    <w:rsid w:val="127D5B92"/>
    <w:rsid w:val="19B142B2"/>
    <w:rsid w:val="263055A4"/>
    <w:rsid w:val="29A7676B"/>
    <w:rsid w:val="29DB6414"/>
    <w:rsid w:val="3A3F02FA"/>
    <w:rsid w:val="3BB07701"/>
    <w:rsid w:val="41E20B9E"/>
    <w:rsid w:val="4529481A"/>
    <w:rsid w:val="48B63E7D"/>
    <w:rsid w:val="4C861458"/>
    <w:rsid w:val="5D395350"/>
    <w:rsid w:val="657650E9"/>
    <w:rsid w:val="664E68C1"/>
    <w:rsid w:val="6E0E0DEF"/>
    <w:rsid w:val="7134681E"/>
    <w:rsid w:val="743747C6"/>
    <w:rsid w:val="7590541F"/>
    <w:rsid w:val="7C896BD7"/>
    <w:rsid w:val="7F752B43"/>
  </w:rsids>
  <w:docVars>
    <w:docVar w:name="commondata" w:val="eyJoZGlkIjoiYTY2NWM0YjEzYzM2YTI2MzczNjFjOWZmZWE0MDRlND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9" w:qFormat="1"/>
    <w:lsdException w:name="heading 4" w:semiHidden="0" w:uiPriority="0" w:unhideWhenUsed="0" w:qFormat="1"/>
    <w:lsdException w:name="heading 5" w:semiHidden="0" w:uiPriority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semiHidden="0" w:uiPriority="0" w:unhideWhenUsed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ind w:left="420" w:hanging="420"/>
      <w:jc w:val="center"/>
      <w:textAlignment w:val="center"/>
      <w:outlineLvl w:val="0"/>
    </w:pPr>
    <w:rPr>
      <w:rFonts w:eastAsia="黑体"/>
      <w:sz w:val="32"/>
      <w:szCs w:val="32"/>
    </w:rPr>
  </w:style>
  <w:style w:type="paragraph" w:styleId="Heading2">
    <w:name w:val="heading 2"/>
    <w:basedOn w:val="Normal"/>
    <w:next w:val="Normal"/>
    <w:autoRedefine/>
    <w:qFormat/>
    <w:pPr>
      <w:ind w:left="420" w:hanging="420"/>
      <w:textAlignment w:val="center"/>
      <w:outlineLvl w:val="1"/>
    </w:pPr>
    <w:rPr>
      <w:rFonts w:eastAsia="楷体"/>
      <w:b/>
      <w:sz w:val="24"/>
    </w:rPr>
  </w:style>
  <w:style w:type="paragraph" w:styleId="Heading4">
    <w:name w:val="heading 4"/>
    <w:basedOn w:val="Normal"/>
    <w:next w:val="Normal"/>
    <w:autoRedefine/>
    <w:qFormat/>
    <w:pPr>
      <w:numPr>
        <w:ilvl w:val="0"/>
        <w:numId w:val="1"/>
      </w:numPr>
      <w:tabs>
        <w:tab w:val="left" w:pos="1050"/>
        <w:tab w:val="left" w:pos="2100"/>
        <w:tab w:val="left" w:pos="3780"/>
        <w:tab w:val="left" w:pos="5460"/>
      </w:tabs>
      <w:snapToGrid w:val="0"/>
      <w:outlineLvl w:val="3"/>
    </w:pPr>
  </w:style>
  <w:style w:type="paragraph" w:styleId="Heading5">
    <w:name w:val="heading 5"/>
    <w:basedOn w:val="Heading4"/>
    <w:next w:val="Normal"/>
    <w:autoRedefine/>
    <w:qFormat/>
    <w:pPr>
      <w:numPr>
        <w:numId w:val="2"/>
      </w:numPr>
      <w:outlineLvl w:val="4"/>
    </w:pPr>
    <w:rPr>
      <w:szCs w:val="21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a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table" w:styleId="TableGrid">
    <w:name w:val="Table Grid"/>
    <w:basedOn w:val="TableNormal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styleId="ListParagraph">
    <w:name w:val="List Paragraph"/>
    <w:basedOn w:val="Normal"/>
    <w:autoRedefine/>
    <w:uiPriority w:val="99"/>
    <w:unhideWhenUsed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1.bin" /><Relationship Id="rId11" Type="http://schemas.openxmlformats.org/officeDocument/2006/relationships/oleObject" Target="embeddings/oleObject2.bin" /><Relationship Id="rId12" Type="http://schemas.openxmlformats.org/officeDocument/2006/relationships/image" Target="media/image6.wmf" /><Relationship Id="rId13" Type="http://schemas.openxmlformats.org/officeDocument/2006/relationships/oleObject" Target="embeddings/oleObject3.bin" /><Relationship Id="rId14" Type="http://schemas.openxmlformats.org/officeDocument/2006/relationships/image" Target="media/image7.png" /><Relationship Id="rId15" Type="http://schemas.openxmlformats.org/officeDocument/2006/relationships/image" Target="media/image8.jpeg" /><Relationship Id="rId16" Type="http://schemas.openxmlformats.org/officeDocument/2006/relationships/image" Target="media/image9.jpeg" /><Relationship Id="rId17" Type="http://schemas.openxmlformats.org/officeDocument/2006/relationships/image" Target="media/image10.jpeg" /><Relationship Id="rId18" Type="http://schemas.openxmlformats.org/officeDocument/2006/relationships/image" Target="media/image11.png" /><Relationship Id="rId19" Type="http://schemas.openxmlformats.org/officeDocument/2006/relationships/image" Target="media/image12.png" /><Relationship Id="rId2" Type="http://schemas.openxmlformats.org/officeDocument/2006/relationships/webSettings" Target="webSettings.xml" /><Relationship Id="rId20" Type="http://schemas.openxmlformats.org/officeDocument/2006/relationships/image" Target="media/image13.png" /><Relationship Id="rId21" Type="http://schemas.openxmlformats.org/officeDocument/2006/relationships/image" Target="media/image14.png" /><Relationship Id="rId22" Type="http://schemas.openxmlformats.org/officeDocument/2006/relationships/hyperlink" Target="https://d.book118.com/118047030073006035" TargetMode="External" /><Relationship Id="rId23" Type="http://schemas.openxmlformats.org/officeDocument/2006/relationships/theme" Target="theme/theme1.xml" /><Relationship Id="rId24" Type="http://schemas.openxmlformats.org/officeDocument/2006/relationships/numbering" Target="numbering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1026"/>
    <customShpInfo spid="_x0000_s4098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422</Words>
  <Characters>2408</Characters>
  <Application>Microsoft Office Word</Application>
  <DocSecurity>0</DocSecurity>
  <Lines>20</Lines>
  <Paragraphs>5</Paragraphs>
  <ScaleCrop>false</ScaleCrop>
  <Company/>
  <LinksUpToDate>false</LinksUpToDate>
  <CharactersWithSpaces>2825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文小语</dc:creator>
  <cp:lastModifiedBy>傲世风云</cp:lastModifiedBy>
  <cp:revision>14</cp:revision>
  <dcterms:created xsi:type="dcterms:W3CDTF">2022-07-14T00:56:00Z</dcterms:created>
  <dcterms:modified xsi:type="dcterms:W3CDTF">2024-01-23T14:42:18Z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