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tabs>
          <w:tab w:val="left" w:pos="4620"/>
        </w:tabs>
        <w:spacing w:line="360" w:lineRule="auto"/>
        <w:jc w:val="center"/>
        <w:rPr>
          <w:rFonts w:ascii="宋体" w:hAnsi="宋体"/>
          <w:spacing w:val="-20"/>
          <w:sz w:val="52"/>
          <w:szCs w:val="52"/>
        </w:rPr>
      </w:pPr>
    </w:p>
    <w:p>
      <w:pPr>
        <w:widowControl/>
        <w:spacing w:line="360" w:lineRule="auto"/>
        <w:jc w:val="center"/>
        <w:rPr>
          <w:rFonts w:ascii="宋体" w:hAnsi="宋体" w:cs="宋体"/>
          <w:b/>
          <w:bCs/>
          <w:kern w:val="0"/>
          <w:sz w:val="36"/>
          <w:szCs w:val="36"/>
        </w:rPr>
      </w:pPr>
      <w:r>
        <w:rPr>
          <w:rFonts w:ascii="宋体" w:hAnsi="宋体" w:cs="宋体" w:hint="eastAsia"/>
          <w:b/>
          <w:bCs/>
          <w:kern w:val="0"/>
          <w:sz w:val="96"/>
          <w:szCs w:val="96"/>
        </w:rPr>
        <w:t>竞争性谈判</w:t>
      </w:r>
      <w:r>
        <w:rPr>
          <w:rFonts w:ascii="宋体" w:hAnsi="宋体" w:cs="宋体"/>
          <w:b/>
          <w:bCs/>
          <w:kern w:val="0"/>
          <w:sz w:val="96"/>
          <w:szCs w:val="96"/>
        </w:rPr>
        <w:t>文件</w:t>
      </w:r>
    </w:p>
    <w:p>
      <w:pPr>
        <w:widowControl/>
        <w:spacing w:line="360" w:lineRule="auto"/>
        <w:jc w:val="left"/>
        <w:rPr>
          <w:rFonts w:ascii="宋体" w:hAnsi="宋体" w:cs="宋体"/>
          <w:bCs/>
          <w:kern w:val="0"/>
          <w:sz w:val="27"/>
          <w:szCs w:val="27"/>
        </w:rPr>
      </w:pPr>
    </w:p>
    <w:p>
      <w:pPr>
        <w:widowControl/>
        <w:spacing w:line="360" w:lineRule="auto"/>
        <w:ind w:firstLine="270" w:firstLineChars="100"/>
        <w:jc w:val="left"/>
        <w:rPr>
          <w:rFonts w:ascii="宋体" w:hAnsi="宋体" w:cs="宋体"/>
          <w:bCs/>
          <w:kern w:val="0"/>
          <w:sz w:val="27"/>
          <w:szCs w:val="27"/>
        </w:rPr>
      </w:pPr>
    </w:p>
    <w:p>
      <w:pPr>
        <w:widowControl/>
        <w:spacing w:line="600" w:lineRule="exact"/>
        <w:ind w:firstLine="1600" w:firstLineChars="400"/>
        <w:rPr>
          <w:rFonts w:ascii="宋体" w:hAnsi="宋体" w:cs="宋体"/>
          <w:b/>
          <w:kern w:val="0"/>
          <w:sz w:val="40"/>
          <w:szCs w:val="40"/>
        </w:rPr>
      </w:pPr>
      <w:r>
        <w:rPr>
          <w:rFonts w:ascii="宋体" w:hAnsi="宋体" w:cs="宋体"/>
          <w:b/>
          <w:kern w:val="0"/>
          <w:sz w:val="40"/>
          <w:szCs w:val="40"/>
        </w:rPr>
        <w:t>项目名称：</w:t>
      </w:r>
      <w:r>
        <w:rPr>
          <w:rFonts w:ascii="宋体" w:hAnsi="宋体" w:cs="宋体" w:hint="eastAsia"/>
          <w:b/>
          <w:kern w:val="0"/>
          <w:sz w:val="40"/>
          <w:szCs w:val="40"/>
        </w:rPr>
        <w:t>网络视听中心机房环控采购项目</w:t>
      </w:r>
    </w:p>
    <w:p>
      <w:pPr>
        <w:widowControl/>
        <w:spacing w:line="600" w:lineRule="exact"/>
        <w:ind w:firstLine="1900" w:firstLineChars="475"/>
        <w:rPr>
          <w:rFonts w:ascii="宋体" w:hAnsi="宋体" w:cs="宋体"/>
          <w:b/>
          <w:kern w:val="0"/>
          <w:sz w:val="40"/>
          <w:szCs w:val="40"/>
        </w:rPr>
      </w:pPr>
    </w:p>
    <w:p>
      <w:pPr>
        <w:widowControl/>
        <w:spacing w:line="600" w:lineRule="exact"/>
        <w:ind w:firstLine="1600" w:firstLineChars="400"/>
        <w:rPr>
          <w:rFonts w:ascii="宋体" w:hAnsi="宋体" w:cs="宋体"/>
          <w:b/>
          <w:kern w:val="0"/>
          <w:sz w:val="40"/>
          <w:szCs w:val="40"/>
        </w:rPr>
      </w:pPr>
      <w:r>
        <w:rPr>
          <w:rFonts w:ascii="宋体" w:hAnsi="宋体" w:cs="宋体" w:hint="eastAsia"/>
          <w:b/>
          <w:kern w:val="0"/>
          <w:sz w:val="40"/>
          <w:szCs w:val="40"/>
        </w:rPr>
        <w:t>项目编号：JXGBDST-ZB-20220704-001</w:t>
      </w:r>
    </w:p>
    <w:p>
      <w:pPr>
        <w:widowControl/>
        <w:spacing w:line="360" w:lineRule="auto"/>
        <w:jc w:val="center"/>
        <w:rPr>
          <w:sz w:val="52"/>
          <w:szCs w:val="52"/>
        </w:rPr>
      </w:pPr>
    </w:p>
    <w:p>
      <w:pPr>
        <w:widowControl/>
        <w:spacing w:line="360" w:lineRule="auto"/>
        <w:rPr>
          <w:b/>
          <w:bCs/>
          <w:sz w:val="52"/>
          <w:szCs w:val="52"/>
        </w:rPr>
      </w:pPr>
    </w:p>
    <w:p>
      <w:pPr>
        <w:widowControl/>
        <w:spacing w:line="360" w:lineRule="auto"/>
        <w:rPr>
          <w:b/>
          <w:bCs/>
          <w:sz w:val="52"/>
          <w:szCs w:val="52"/>
        </w:rPr>
      </w:pPr>
    </w:p>
    <w:p>
      <w:pPr>
        <w:widowControl/>
        <w:spacing w:line="360" w:lineRule="auto"/>
        <w:rPr>
          <w:b/>
          <w:bCs/>
          <w:sz w:val="52"/>
          <w:szCs w:val="52"/>
        </w:rPr>
      </w:pPr>
    </w:p>
    <w:p>
      <w:pPr>
        <w:widowControl/>
        <w:spacing w:line="360" w:lineRule="auto"/>
        <w:jc w:val="center"/>
        <w:rPr>
          <w:rFonts w:ascii="宋体" w:hAnsi="宋体" w:cs="宋体"/>
          <w:b/>
          <w:bCs/>
          <w:kern w:val="0"/>
          <w:sz w:val="32"/>
          <w:szCs w:val="32"/>
        </w:rPr>
      </w:pPr>
      <w:r>
        <w:rPr>
          <w:rFonts w:hint="eastAsia"/>
          <w:b/>
          <w:bCs/>
          <w:sz w:val="36"/>
          <w:szCs w:val="36"/>
        </w:rPr>
        <w:t>江西广播电视台</w:t>
      </w:r>
    </w:p>
    <w:p>
      <w:pPr>
        <w:widowControl/>
        <w:spacing w:line="360" w:lineRule="auto"/>
        <w:jc w:val="center"/>
        <w:rPr>
          <w:b/>
          <w:bCs/>
          <w:sz w:val="48"/>
          <w:szCs w:val="48"/>
        </w:rPr>
      </w:pPr>
      <w:r>
        <w:rPr>
          <w:rFonts w:ascii="宋体" w:hAnsi="宋体" w:cs="宋体"/>
          <w:b/>
          <w:bCs/>
          <w:kern w:val="0"/>
          <w:sz w:val="32"/>
          <w:szCs w:val="32"/>
        </w:rPr>
        <w:t>二0</w:t>
      </w:r>
      <w:r>
        <w:rPr>
          <w:rFonts w:ascii="宋体" w:hAnsi="宋体" w:cs="宋体" w:hint="eastAsia"/>
          <w:b/>
          <w:bCs/>
          <w:kern w:val="0"/>
          <w:sz w:val="32"/>
          <w:szCs w:val="32"/>
        </w:rPr>
        <w:t>二二</w:t>
      </w:r>
      <w:r>
        <w:rPr>
          <w:rFonts w:ascii="宋体" w:hAnsi="宋体" w:cs="宋体"/>
          <w:b/>
          <w:bCs/>
          <w:kern w:val="0"/>
          <w:sz w:val="32"/>
          <w:szCs w:val="32"/>
        </w:rPr>
        <w:t>年</w:t>
      </w:r>
    </w:p>
    <w:p>
      <w:pPr>
        <w:spacing w:line="360" w:lineRule="auto"/>
        <w:rPr>
          <w:sz w:val="36"/>
          <w:szCs w:val="36"/>
        </w:rPr>
        <w:sectPr>
          <w:footerReference w:type="default" r:id="rId5"/>
          <w:footerReference w:type="first" r:id="rId6"/>
          <w:pgSz w:w="11906" w:h="16838"/>
          <w:pgMar w:top="1440" w:right="1080" w:bottom="1440" w:left="1080" w:header="851" w:footer="992" w:gutter="0"/>
          <w:pgNumType w:start="1"/>
          <w:cols w:num="1" w:space="720"/>
          <w:titlePg/>
          <w:docGrid w:linePitch="312" w:charSpace="0"/>
        </w:sectPr>
      </w:pPr>
    </w:p>
    <w:p>
      <w:pPr>
        <w:spacing w:line="360" w:lineRule="auto"/>
        <w:rPr>
          <w:sz w:val="36"/>
          <w:szCs w:val="36"/>
        </w:rPr>
      </w:pPr>
    </w:p>
    <w:p>
      <w:pPr>
        <w:spacing w:line="360" w:lineRule="auto"/>
        <w:rPr>
          <w:sz w:val="36"/>
          <w:szCs w:val="36"/>
        </w:rPr>
      </w:pPr>
    </w:p>
    <w:p>
      <w:pPr>
        <w:spacing w:line="360" w:lineRule="auto"/>
        <w:rPr>
          <w:sz w:val="36"/>
          <w:szCs w:val="36"/>
        </w:rPr>
      </w:pPr>
    </w:p>
    <w:p>
      <w:pPr>
        <w:spacing w:line="360" w:lineRule="auto"/>
        <w:rPr>
          <w:sz w:val="36"/>
          <w:szCs w:val="36"/>
        </w:rPr>
      </w:pPr>
    </w:p>
    <w:p>
      <w:pPr>
        <w:spacing w:line="400" w:lineRule="exact"/>
        <w:jc w:val="center"/>
        <w:rPr>
          <w:sz w:val="40"/>
          <w:szCs w:val="48"/>
        </w:rPr>
      </w:pPr>
      <w:r>
        <w:rPr>
          <w:rFonts w:hint="eastAsia"/>
          <w:sz w:val="40"/>
          <w:szCs w:val="48"/>
        </w:rPr>
        <w:t>目   录</w:t>
      </w:r>
    </w:p>
    <w:p>
      <w:pPr>
        <w:pStyle w:val="TOC1"/>
        <w:tabs>
          <w:tab w:val="right" w:leader="dot" w:pos="9736"/>
        </w:tabs>
        <w:rPr>
          <w:rFonts w:asciiTheme="minorHAnsi" w:eastAsiaTheme="minorEastAsia" w:hAnsiTheme="minorHAnsi" w:cstheme="minorBidi"/>
          <w:b w:val="0"/>
          <w:bCs w:val="0"/>
          <w:sz w:val="21"/>
          <w:szCs w:val="22"/>
        </w:rPr>
      </w:pPr>
      <w:bookmarkStart w:id="0" w:name="_Toc414959371"/>
      <w:r>
        <w:rPr>
          <w:rFonts w:ascii="宋体" w:hAnsi="宋体"/>
          <w:b w:val="0"/>
          <w:color w:val="000000" w:themeColor="text1"/>
          <w:kern w:val="36"/>
          <w:sz w:val="21"/>
          <w:szCs w:val="21"/>
          <w14:textFill>
            <w14:solidFill>
              <w14:schemeClr w14:val="tx1"/>
            </w14:solidFill>
          </w14:textFill>
        </w:rPr>
        <w:fldChar w:fldCharType="begin"/>
      </w:r>
      <w:r>
        <w:rPr>
          <w:rFonts w:ascii="宋体" w:hAnsi="宋体"/>
          <w:b w:val="0"/>
          <w:color w:val="000000" w:themeColor="text1"/>
          <w:kern w:val="36"/>
          <w:sz w:val="21"/>
          <w:szCs w:val="21"/>
          <w14:textFill>
            <w14:solidFill>
              <w14:schemeClr w14:val="tx1"/>
            </w14:solidFill>
          </w14:textFill>
        </w:rPr>
        <w:instrText xml:space="preserve"> </w:instrText>
      </w:r>
      <w:r>
        <w:rPr>
          <w:rFonts w:ascii="宋体" w:hAnsi="宋体" w:hint="eastAsia"/>
          <w:b w:val="0"/>
          <w:color w:val="000000" w:themeColor="text1"/>
          <w:kern w:val="36"/>
          <w:sz w:val="21"/>
          <w:szCs w:val="21"/>
          <w14:textFill>
            <w14:solidFill>
              <w14:schemeClr w14:val="tx1"/>
            </w14:solidFill>
          </w14:textFill>
        </w:rPr>
        <w:instrText>TOC \o "1-2" \u</w:instrText>
      </w:r>
      <w:r>
        <w:rPr>
          <w:rFonts w:ascii="宋体" w:hAnsi="宋体"/>
          <w:b w:val="0"/>
          <w:color w:val="000000" w:themeColor="text1"/>
          <w:kern w:val="36"/>
          <w:sz w:val="21"/>
          <w:szCs w:val="21"/>
          <w14:textFill>
            <w14:solidFill>
              <w14:schemeClr w14:val="tx1"/>
            </w14:solidFill>
          </w14:textFill>
        </w:rPr>
        <w:instrText xml:space="preserve"> </w:instrText>
      </w:r>
      <w:r>
        <w:rPr>
          <w:rFonts w:ascii="宋体" w:hAnsi="宋体"/>
          <w:b w:val="0"/>
          <w:color w:val="000000" w:themeColor="text1"/>
          <w:kern w:val="36"/>
          <w:sz w:val="21"/>
          <w:szCs w:val="21"/>
          <w14:textFill>
            <w14:solidFill>
              <w14:schemeClr w14:val="tx1"/>
            </w14:solidFill>
          </w14:textFill>
        </w:rPr>
        <w:fldChar w:fldCharType="separate"/>
      </w:r>
      <w:r>
        <w:rPr>
          <w:rFonts w:ascii="Times New Roman" w:hAnsi="Times New Roman"/>
          <w:kern w:val="36"/>
        </w:rPr>
        <w:t>第一章、采购文件</w:t>
      </w:r>
      <w:r>
        <w:tab/>
      </w:r>
      <w:r>
        <w:fldChar w:fldCharType="begin"/>
      </w:r>
      <w:r>
        <w:instrText xml:space="preserve"> PAGEREF _Toc54871717 \h </w:instrText>
      </w:r>
      <w:r>
        <w:fldChar w:fldCharType="separate"/>
      </w:r>
      <w:r>
        <w:t>3</w:t>
      </w:r>
      <w:r>
        <w:fldChar w:fldCharType="end"/>
      </w:r>
    </w:p>
    <w:p>
      <w:pPr>
        <w:pStyle w:val="TOC2"/>
        <w:rPr>
          <w:rFonts w:asciiTheme="minorHAnsi" w:eastAsiaTheme="minorEastAsia" w:hAnsiTheme="minorHAnsi" w:cstheme="minorBidi"/>
          <w:iCs w:val="0"/>
          <w:color w:val="auto"/>
          <w:kern w:val="2"/>
          <w:szCs w:val="22"/>
        </w:rPr>
      </w:pPr>
      <w:r>
        <w:rPr>
          <w:color w:val="auto"/>
        </w:rPr>
        <w:t>一、谈判邀请</w:t>
      </w:r>
      <w:r>
        <w:rPr>
          <w:color w:val="auto"/>
        </w:rPr>
        <w:tab/>
      </w:r>
      <w:r>
        <w:rPr>
          <w:color w:val="auto"/>
        </w:rPr>
        <w:fldChar w:fldCharType="begin"/>
      </w:r>
      <w:r>
        <w:rPr>
          <w:color w:val="auto"/>
        </w:rPr>
        <w:instrText xml:space="preserve"> PAGEREF _Toc54871718 \h </w:instrText>
      </w:r>
      <w:r>
        <w:rPr>
          <w:color w:val="auto"/>
        </w:rPr>
        <w:fldChar w:fldCharType="separate"/>
      </w:r>
      <w:r>
        <w:rPr>
          <w:color w:val="auto"/>
        </w:rPr>
        <w:t>3</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二、谈判须知</w:t>
      </w:r>
      <w:r>
        <w:rPr>
          <w:color w:val="auto"/>
        </w:rPr>
        <w:tab/>
      </w:r>
      <w:r>
        <w:rPr>
          <w:color w:val="auto"/>
        </w:rPr>
        <w:fldChar w:fldCharType="begin"/>
      </w:r>
      <w:r>
        <w:rPr>
          <w:color w:val="auto"/>
        </w:rPr>
        <w:instrText xml:space="preserve"> PAGEREF _Toc54871719 \h </w:instrText>
      </w:r>
      <w:r>
        <w:rPr>
          <w:color w:val="auto"/>
        </w:rPr>
        <w:fldChar w:fldCharType="separate"/>
      </w:r>
      <w:r>
        <w:rPr>
          <w:color w:val="auto"/>
        </w:rPr>
        <w:t>5</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（一）总  则</w:t>
      </w:r>
      <w:r>
        <w:rPr>
          <w:color w:val="auto"/>
        </w:rPr>
        <w:tab/>
      </w:r>
      <w:r>
        <w:rPr>
          <w:color w:val="auto"/>
        </w:rPr>
        <w:fldChar w:fldCharType="begin"/>
      </w:r>
      <w:r>
        <w:rPr>
          <w:color w:val="auto"/>
        </w:rPr>
        <w:instrText xml:space="preserve"> PAGEREF _Toc54871720 \h </w:instrText>
      </w:r>
      <w:r>
        <w:rPr>
          <w:color w:val="auto"/>
        </w:rPr>
        <w:fldChar w:fldCharType="separate"/>
      </w:r>
      <w:r>
        <w:rPr>
          <w:color w:val="auto"/>
        </w:rPr>
        <w:t>5</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（二）谈判文件</w:t>
      </w:r>
      <w:r>
        <w:rPr>
          <w:color w:val="auto"/>
        </w:rPr>
        <w:tab/>
      </w:r>
      <w:r>
        <w:rPr>
          <w:color w:val="auto"/>
        </w:rPr>
        <w:fldChar w:fldCharType="begin"/>
      </w:r>
      <w:r>
        <w:rPr>
          <w:color w:val="auto"/>
        </w:rPr>
        <w:instrText xml:space="preserve"> PAGEREF _Toc54871721 \h </w:instrText>
      </w:r>
      <w:r>
        <w:rPr>
          <w:color w:val="auto"/>
        </w:rPr>
        <w:fldChar w:fldCharType="separate"/>
      </w:r>
      <w:r>
        <w:rPr>
          <w:color w:val="auto"/>
        </w:rPr>
        <w:t>7</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（三）竞谈响应文件的编制</w:t>
      </w:r>
      <w:r>
        <w:rPr>
          <w:color w:val="auto"/>
        </w:rPr>
        <w:tab/>
      </w:r>
      <w:r>
        <w:rPr>
          <w:color w:val="auto"/>
        </w:rPr>
        <w:fldChar w:fldCharType="begin"/>
      </w:r>
      <w:r>
        <w:rPr>
          <w:color w:val="auto"/>
        </w:rPr>
        <w:instrText xml:space="preserve"> PAGEREF _Toc54871722 \h </w:instrText>
      </w:r>
      <w:r>
        <w:rPr>
          <w:color w:val="auto"/>
        </w:rPr>
        <w:fldChar w:fldCharType="separate"/>
      </w:r>
      <w:r>
        <w:rPr>
          <w:color w:val="auto"/>
        </w:rPr>
        <w:t>8</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（四）竞谈响应文件的递交</w:t>
      </w:r>
      <w:r>
        <w:rPr>
          <w:color w:val="auto"/>
        </w:rPr>
        <w:tab/>
      </w:r>
      <w:r>
        <w:rPr>
          <w:color w:val="auto"/>
        </w:rPr>
        <w:fldChar w:fldCharType="begin"/>
      </w:r>
      <w:r>
        <w:rPr>
          <w:color w:val="auto"/>
        </w:rPr>
        <w:instrText xml:space="preserve"> PAGEREF _Toc54871723 \h </w:instrText>
      </w:r>
      <w:r>
        <w:rPr>
          <w:color w:val="auto"/>
        </w:rPr>
        <w:fldChar w:fldCharType="separate"/>
      </w:r>
      <w:r>
        <w:rPr>
          <w:color w:val="auto"/>
        </w:rPr>
        <w:t>9</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（五）开启与评审</w:t>
      </w:r>
      <w:r>
        <w:rPr>
          <w:color w:val="auto"/>
        </w:rPr>
        <w:tab/>
      </w:r>
      <w:r>
        <w:rPr>
          <w:color w:val="auto"/>
        </w:rPr>
        <w:fldChar w:fldCharType="begin"/>
      </w:r>
      <w:r>
        <w:rPr>
          <w:color w:val="auto"/>
        </w:rPr>
        <w:instrText xml:space="preserve"> PAGEREF _Toc54871724 \h </w:instrText>
      </w:r>
      <w:r>
        <w:rPr>
          <w:color w:val="auto"/>
        </w:rPr>
        <w:fldChar w:fldCharType="separate"/>
      </w:r>
      <w:r>
        <w:rPr>
          <w:color w:val="auto"/>
        </w:rPr>
        <w:t>10</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（六）成交与签订合同</w:t>
      </w:r>
      <w:r>
        <w:rPr>
          <w:color w:val="auto"/>
        </w:rPr>
        <w:tab/>
      </w:r>
      <w:r>
        <w:rPr>
          <w:color w:val="auto"/>
        </w:rPr>
        <w:fldChar w:fldCharType="begin"/>
      </w:r>
      <w:r>
        <w:rPr>
          <w:color w:val="auto"/>
        </w:rPr>
        <w:instrText xml:space="preserve"> PAGEREF _Toc54871725 \h </w:instrText>
      </w:r>
      <w:r>
        <w:rPr>
          <w:color w:val="auto"/>
        </w:rPr>
        <w:fldChar w:fldCharType="separate"/>
      </w:r>
      <w:r>
        <w:rPr>
          <w:color w:val="auto"/>
        </w:rPr>
        <w:t>14</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（七）询问和质疑</w:t>
      </w:r>
      <w:r>
        <w:rPr>
          <w:color w:val="auto"/>
        </w:rPr>
        <w:tab/>
      </w:r>
      <w:r>
        <w:rPr>
          <w:color w:val="auto"/>
        </w:rPr>
        <w:fldChar w:fldCharType="begin"/>
      </w:r>
      <w:r>
        <w:rPr>
          <w:color w:val="auto"/>
        </w:rPr>
        <w:instrText xml:space="preserve"> PAGEREF _Toc54871726 \h </w:instrText>
      </w:r>
      <w:r>
        <w:rPr>
          <w:color w:val="auto"/>
        </w:rPr>
        <w:fldChar w:fldCharType="separate"/>
      </w:r>
      <w:r>
        <w:rPr>
          <w:color w:val="auto"/>
        </w:rPr>
        <w:t>15</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（八）附则</w:t>
      </w:r>
      <w:r>
        <w:rPr>
          <w:color w:val="auto"/>
        </w:rPr>
        <w:tab/>
      </w:r>
      <w:r>
        <w:rPr>
          <w:color w:val="auto"/>
        </w:rPr>
        <w:fldChar w:fldCharType="begin"/>
      </w:r>
      <w:r>
        <w:rPr>
          <w:color w:val="auto"/>
        </w:rPr>
        <w:instrText xml:space="preserve"> PAGEREF _Toc54871727 \h </w:instrText>
      </w:r>
      <w:r>
        <w:rPr>
          <w:color w:val="auto"/>
        </w:rPr>
        <w:fldChar w:fldCharType="separate"/>
      </w:r>
      <w:r>
        <w:rPr>
          <w:color w:val="auto"/>
        </w:rPr>
        <w:t>16</w:t>
      </w:r>
      <w:r>
        <w:rPr>
          <w:color w:val="auto"/>
        </w:rPr>
        <w:fldChar w:fldCharType="end"/>
      </w:r>
    </w:p>
    <w:p>
      <w:pPr>
        <w:pStyle w:val="TOC1"/>
        <w:tabs>
          <w:tab w:val="right" w:leader="dot" w:pos="9736"/>
        </w:tabs>
        <w:ind w:firstLine="200" w:firstLineChars="100"/>
        <w:rPr>
          <w:rFonts w:asciiTheme="minorHAnsi" w:eastAsiaTheme="minorEastAsia" w:hAnsiTheme="minorHAnsi" w:cstheme="minorBidi"/>
          <w:b w:val="0"/>
          <w:bCs w:val="0"/>
          <w:sz w:val="21"/>
          <w:szCs w:val="22"/>
        </w:rPr>
      </w:pPr>
      <w:r>
        <w:rPr>
          <w:kern w:val="0"/>
        </w:rPr>
        <w:t>采购项目需求</w:t>
      </w:r>
      <w:r>
        <w:tab/>
      </w:r>
      <w:r>
        <w:fldChar w:fldCharType="begin"/>
      </w:r>
      <w:r>
        <w:instrText xml:space="preserve"> PAGEREF _Toc54871728 \h </w:instrText>
      </w:r>
      <w:r>
        <w:fldChar w:fldCharType="separate"/>
      </w:r>
      <w:r>
        <w:t>16</w:t>
      </w:r>
      <w:r>
        <w:fldChar w:fldCharType="end"/>
      </w:r>
    </w:p>
    <w:p>
      <w:pPr>
        <w:pStyle w:val="TOC1"/>
        <w:tabs>
          <w:tab w:val="right" w:leader="dot" w:pos="9736"/>
        </w:tabs>
        <w:rPr>
          <w:rFonts w:asciiTheme="minorHAnsi" w:eastAsiaTheme="minorEastAsia" w:hAnsiTheme="minorHAnsi" w:cstheme="minorBidi"/>
          <w:b w:val="0"/>
          <w:bCs w:val="0"/>
          <w:sz w:val="21"/>
          <w:szCs w:val="22"/>
        </w:rPr>
      </w:pPr>
      <w:r>
        <w:t>第二章   响 应 文 件　（格式 ）</w:t>
      </w:r>
      <w:r>
        <w:tab/>
      </w:r>
      <w:r>
        <w:fldChar w:fldCharType="begin"/>
      </w:r>
      <w:r>
        <w:instrText xml:space="preserve"> PAGEREF _Toc54871729 \h </w:instrText>
      </w:r>
      <w:r>
        <w:fldChar w:fldCharType="separate"/>
      </w:r>
      <w:r>
        <w:t>24</w:t>
      </w:r>
      <w:r>
        <w:fldChar w:fldCharType="end"/>
      </w:r>
    </w:p>
    <w:p>
      <w:pPr>
        <w:pStyle w:val="TOC2"/>
        <w:rPr>
          <w:rFonts w:asciiTheme="minorHAnsi" w:eastAsiaTheme="minorEastAsia" w:hAnsiTheme="minorHAnsi" w:cstheme="minorBidi"/>
          <w:iCs w:val="0"/>
          <w:color w:val="auto"/>
          <w:kern w:val="2"/>
          <w:szCs w:val="22"/>
        </w:rPr>
      </w:pPr>
      <w:r>
        <w:rPr>
          <w:color w:val="auto"/>
        </w:rPr>
        <w:t>一、谈判响应文件</w:t>
      </w:r>
      <w:r>
        <w:rPr>
          <w:color w:val="auto"/>
        </w:rPr>
        <w:tab/>
      </w:r>
      <w:r>
        <w:rPr>
          <w:color w:val="auto"/>
        </w:rPr>
        <w:fldChar w:fldCharType="begin"/>
      </w:r>
      <w:r>
        <w:rPr>
          <w:color w:val="auto"/>
        </w:rPr>
        <w:instrText xml:space="preserve"> PAGEREF _Toc54871730 \h </w:instrText>
      </w:r>
      <w:r>
        <w:rPr>
          <w:color w:val="auto"/>
        </w:rPr>
        <w:fldChar w:fldCharType="separate"/>
      </w:r>
      <w:r>
        <w:rPr>
          <w:color w:val="auto"/>
        </w:rPr>
        <w:t>24</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二、响应函（格式）</w:t>
      </w:r>
      <w:r>
        <w:rPr>
          <w:color w:val="auto"/>
        </w:rPr>
        <w:tab/>
      </w:r>
      <w:r>
        <w:rPr>
          <w:color w:val="auto"/>
        </w:rPr>
        <w:fldChar w:fldCharType="begin"/>
      </w:r>
      <w:r>
        <w:rPr>
          <w:color w:val="auto"/>
        </w:rPr>
        <w:instrText xml:space="preserve"> PAGEREF _Toc54871731 \h </w:instrText>
      </w:r>
      <w:r>
        <w:rPr>
          <w:color w:val="auto"/>
        </w:rPr>
        <w:fldChar w:fldCharType="separate"/>
      </w:r>
      <w:r>
        <w:rPr>
          <w:color w:val="auto"/>
        </w:rPr>
        <w:t>25</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三、报价一览表（格式）</w:t>
      </w:r>
      <w:r>
        <w:rPr>
          <w:color w:val="auto"/>
        </w:rPr>
        <w:tab/>
      </w:r>
      <w:r>
        <w:rPr>
          <w:color w:val="auto"/>
        </w:rPr>
        <w:fldChar w:fldCharType="begin"/>
      </w:r>
      <w:r>
        <w:rPr>
          <w:color w:val="auto"/>
        </w:rPr>
        <w:instrText xml:space="preserve"> PAGEREF _Toc54871732 \h </w:instrText>
      </w:r>
      <w:r>
        <w:rPr>
          <w:color w:val="auto"/>
        </w:rPr>
        <w:fldChar w:fldCharType="separate"/>
      </w:r>
      <w:r>
        <w:rPr>
          <w:color w:val="auto"/>
        </w:rPr>
        <w:t>26</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四、技术规格偏离表（格式）</w:t>
      </w:r>
      <w:r>
        <w:rPr>
          <w:color w:val="auto"/>
        </w:rPr>
        <w:tab/>
      </w:r>
      <w:r>
        <w:rPr>
          <w:color w:val="auto"/>
        </w:rPr>
        <w:fldChar w:fldCharType="begin"/>
      </w:r>
      <w:r>
        <w:rPr>
          <w:color w:val="auto"/>
        </w:rPr>
        <w:instrText xml:space="preserve"> PAGEREF _Toc54871733 \h </w:instrText>
      </w:r>
      <w:r>
        <w:rPr>
          <w:color w:val="auto"/>
        </w:rPr>
        <w:fldChar w:fldCharType="separate"/>
      </w:r>
      <w:r>
        <w:rPr>
          <w:color w:val="auto"/>
        </w:rPr>
        <w:t>27</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五、商务条款响应及偏离表（格式）</w:t>
      </w:r>
      <w:r>
        <w:rPr>
          <w:color w:val="auto"/>
        </w:rPr>
        <w:tab/>
      </w:r>
      <w:r>
        <w:rPr>
          <w:color w:val="auto"/>
        </w:rPr>
        <w:fldChar w:fldCharType="begin"/>
      </w:r>
      <w:r>
        <w:rPr>
          <w:color w:val="auto"/>
        </w:rPr>
        <w:instrText xml:space="preserve"> PAGEREF _Toc54871734 \h </w:instrText>
      </w:r>
      <w:r>
        <w:rPr>
          <w:color w:val="auto"/>
        </w:rPr>
        <w:fldChar w:fldCharType="separate"/>
      </w:r>
      <w:r>
        <w:rPr>
          <w:color w:val="auto"/>
        </w:rPr>
        <w:t>28</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六、技术文件</w:t>
      </w:r>
      <w:r>
        <w:rPr>
          <w:color w:val="auto"/>
        </w:rPr>
        <w:tab/>
      </w:r>
      <w:r>
        <w:rPr>
          <w:color w:val="auto"/>
        </w:rPr>
        <w:fldChar w:fldCharType="begin"/>
      </w:r>
      <w:r>
        <w:rPr>
          <w:color w:val="auto"/>
        </w:rPr>
        <w:instrText xml:space="preserve"> PAGEREF _Toc54871735 \h </w:instrText>
      </w:r>
      <w:r>
        <w:rPr>
          <w:color w:val="auto"/>
        </w:rPr>
        <w:fldChar w:fldCharType="separate"/>
      </w:r>
      <w:r>
        <w:rPr>
          <w:color w:val="auto"/>
        </w:rPr>
        <w:t>29</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七、资格证明文件</w:t>
      </w:r>
      <w:r>
        <w:rPr>
          <w:color w:val="auto"/>
        </w:rPr>
        <w:tab/>
      </w:r>
      <w:r>
        <w:rPr>
          <w:color w:val="auto"/>
        </w:rPr>
        <w:fldChar w:fldCharType="begin"/>
      </w:r>
      <w:r>
        <w:rPr>
          <w:color w:val="auto"/>
        </w:rPr>
        <w:instrText xml:space="preserve"> PAGEREF _Toc54871736 \h </w:instrText>
      </w:r>
      <w:r>
        <w:rPr>
          <w:color w:val="auto"/>
        </w:rPr>
        <w:fldChar w:fldCharType="separate"/>
      </w:r>
      <w:r>
        <w:rPr>
          <w:color w:val="auto"/>
        </w:rPr>
        <w:t>30</w:t>
      </w:r>
      <w:r>
        <w:rPr>
          <w:color w:val="auto"/>
        </w:rPr>
        <w:fldChar w:fldCharType="end"/>
      </w:r>
    </w:p>
    <w:p>
      <w:pPr>
        <w:pStyle w:val="TOC2"/>
        <w:rPr>
          <w:rFonts w:asciiTheme="minorHAnsi" w:eastAsiaTheme="minorEastAsia" w:hAnsiTheme="minorHAnsi" w:cstheme="minorBidi"/>
          <w:iCs w:val="0"/>
          <w:color w:val="auto"/>
          <w:kern w:val="2"/>
          <w:szCs w:val="22"/>
        </w:rPr>
        <w:sectPr>
          <w:footerReference w:type="default" r:id="rId7"/>
          <w:footerReference w:type="first" r:id="rId8"/>
          <w:type w:val="nextPage"/>
          <w:pgSz w:w="11906" w:h="16838"/>
          <w:pgMar w:top="1440" w:right="1080" w:bottom="1440" w:left="1080" w:header="851" w:footer="992" w:gutter="0"/>
          <w:pgNumType w:start="2"/>
          <w:cols w:num="1" w:space="720"/>
          <w:titlePg w:val="0"/>
          <w:docGrid w:linePitch="312" w:charSpace="0"/>
        </w:sectPr>
      </w:pPr>
      <w:r>
        <w:rPr>
          <w:color w:val="auto"/>
        </w:rPr>
        <w:t>7-1营业执照、银行开户许可证</w:t>
      </w:r>
      <w:r>
        <w:rPr>
          <w:color w:val="auto"/>
        </w:rPr>
        <w:tab/>
      </w:r>
      <w:r>
        <w:rPr>
          <w:color w:val="auto"/>
        </w:rPr>
        <w:fldChar w:fldCharType="begin"/>
      </w:r>
      <w:r>
        <w:rPr>
          <w:color w:val="auto"/>
        </w:rPr>
        <w:instrText xml:space="preserve"> PAGEREF _Toc54871737 \h </w:instrText>
      </w:r>
      <w:r>
        <w:rPr>
          <w:color w:val="auto"/>
        </w:rPr>
        <w:fldChar w:fldCharType="separate"/>
      </w:r>
      <w:r>
        <w:rPr>
          <w:color w:val="auto"/>
        </w:rPr>
        <w:t>31</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7-2财务报告或银行资信证明或担保函</w:t>
      </w:r>
      <w:r>
        <w:rPr>
          <w:color w:val="auto"/>
        </w:rPr>
        <w:tab/>
      </w:r>
      <w:r>
        <w:rPr>
          <w:color w:val="auto"/>
        </w:rPr>
        <w:fldChar w:fldCharType="begin"/>
      </w:r>
      <w:r>
        <w:rPr>
          <w:color w:val="auto"/>
        </w:rPr>
        <w:instrText xml:space="preserve"> PAGEREF _Toc54871738 \h </w:instrText>
      </w:r>
      <w:r>
        <w:rPr>
          <w:color w:val="auto"/>
        </w:rPr>
        <w:fldChar w:fldCharType="separate"/>
      </w:r>
      <w:r>
        <w:rPr>
          <w:color w:val="auto"/>
        </w:rPr>
        <w:t>31</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7-3依法缴纳税收证明或税收完税证明或免税证明</w:t>
      </w:r>
      <w:r>
        <w:rPr>
          <w:color w:val="auto"/>
        </w:rPr>
        <w:tab/>
      </w:r>
      <w:r>
        <w:rPr>
          <w:color w:val="auto"/>
        </w:rPr>
        <w:fldChar w:fldCharType="begin"/>
      </w:r>
      <w:r>
        <w:rPr>
          <w:color w:val="auto"/>
        </w:rPr>
        <w:instrText xml:space="preserve"> PAGEREF _Toc54871739 \h </w:instrText>
      </w:r>
      <w:r>
        <w:rPr>
          <w:color w:val="auto"/>
        </w:rPr>
        <w:fldChar w:fldCharType="separate"/>
      </w:r>
      <w:r>
        <w:rPr>
          <w:color w:val="auto"/>
        </w:rPr>
        <w:t>31</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7-4依法缴纳社会保障资金的相关材料（格式）</w:t>
      </w:r>
      <w:r>
        <w:rPr>
          <w:color w:val="auto"/>
        </w:rPr>
        <w:tab/>
      </w:r>
      <w:r>
        <w:rPr>
          <w:color w:val="auto"/>
        </w:rPr>
        <w:fldChar w:fldCharType="begin"/>
      </w:r>
      <w:r>
        <w:rPr>
          <w:color w:val="auto"/>
        </w:rPr>
        <w:instrText xml:space="preserve"> PAGEREF _Toc54871740 \h </w:instrText>
      </w:r>
      <w:r>
        <w:rPr>
          <w:color w:val="auto"/>
        </w:rPr>
        <w:fldChar w:fldCharType="separate"/>
      </w:r>
      <w:r>
        <w:rPr>
          <w:color w:val="auto"/>
        </w:rPr>
        <w:t>31</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7-5供应商具备履行采购合同所必需的设备书面承诺函（格式）</w:t>
      </w:r>
      <w:r>
        <w:rPr>
          <w:color w:val="auto"/>
        </w:rPr>
        <w:tab/>
      </w:r>
      <w:r>
        <w:rPr>
          <w:color w:val="auto"/>
        </w:rPr>
        <w:fldChar w:fldCharType="begin"/>
      </w:r>
      <w:r>
        <w:rPr>
          <w:color w:val="auto"/>
        </w:rPr>
        <w:instrText xml:space="preserve"> PAGEREF _Toc54871741 \h </w:instrText>
      </w:r>
      <w:r>
        <w:rPr>
          <w:color w:val="auto"/>
        </w:rPr>
        <w:fldChar w:fldCharType="separate"/>
      </w:r>
      <w:r>
        <w:rPr>
          <w:color w:val="auto"/>
        </w:rPr>
        <w:t>32</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7-6供应商具备履行采购合同所具有专业技术能力书面承诺函（格式）</w:t>
      </w:r>
      <w:r>
        <w:rPr>
          <w:color w:val="auto"/>
        </w:rPr>
        <w:tab/>
      </w:r>
      <w:r>
        <w:rPr>
          <w:color w:val="auto"/>
        </w:rPr>
        <w:fldChar w:fldCharType="begin"/>
      </w:r>
      <w:r>
        <w:rPr>
          <w:color w:val="auto"/>
        </w:rPr>
        <w:instrText xml:space="preserve"> PAGEREF _Toc54871742 \h </w:instrText>
      </w:r>
      <w:r>
        <w:rPr>
          <w:color w:val="auto"/>
        </w:rPr>
        <w:fldChar w:fldCharType="separate"/>
      </w:r>
      <w:r>
        <w:rPr>
          <w:color w:val="auto"/>
        </w:rPr>
        <w:t>33</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7-7谈判文件要求的其它资格证明文件</w:t>
      </w:r>
      <w:r>
        <w:rPr>
          <w:color w:val="auto"/>
        </w:rPr>
        <w:tab/>
      </w:r>
      <w:r>
        <w:rPr>
          <w:color w:val="auto"/>
        </w:rPr>
        <w:fldChar w:fldCharType="begin"/>
      </w:r>
      <w:r>
        <w:rPr>
          <w:color w:val="auto"/>
        </w:rPr>
        <w:instrText xml:space="preserve"> PAGEREF _Toc54871743 \h </w:instrText>
      </w:r>
      <w:r>
        <w:rPr>
          <w:color w:val="auto"/>
        </w:rPr>
        <w:fldChar w:fldCharType="separate"/>
      </w:r>
      <w:r>
        <w:rPr>
          <w:color w:val="auto"/>
        </w:rPr>
        <w:t>34</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7-8法定代表人授权书（格式）</w:t>
      </w:r>
      <w:r>
        <w:rPr>
          <w:color w:val="auto"/>
        </w:rPr>
        <w:tab/>
      </w:r>
      <w:r>
        <w:rPr>
          <w:color w:val="auto"/>
        </w:rPr>
        <w:fldChar w:fldCharType="begin"/>
      </w:r>
      <w:r>
        <w:rPr>
          <w:color w:val="auto"/>
        </w:rPr>
        <w:instrText xml:space="preserve"> PAGEREF _Toc54871744 \h </w:instrText>
      </w:r>
      <w:r>
        <w:rPr>
          <w:color w:val="auto"/>
        </w:rPr>
        <w:fldChar w:fldCharType="separate"/>
      </w:r>
      <w:r>
        <w:rPr>
          <w:color w:val="auto"/>
        </w:rPr>
        <w:t>34</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7-9供应商关于资格的声明函（格式）</w:t>
      </w:r>
      <w:r>
        <w:rPr>
          <w:color w:val="auto"/>
        </w:rPr>
        <w:tab/>
      </w:r>
      <w:r>
        <w:rPr>
          <w:color w:val="auto"/>
        </w:rPr>
        <w:fldChar w:fldCharType="begin"/>
      </w:r>
      <w:r>
        <w:rPr>
          <w:color w:val="auto"/>
        </w:rPr>
        <w:instrText xml:space="preserve"> PAGEREF _Toc54871745 \h </w:instrText>
      </w:r>
      <w:r>
        <w:rPr>
          <w:color w:val="auto"/>
        </w:rPr>
        <w:fldChar w:fldCharType="separate"/>
      </w:r>
      <w:r>
        <w:rPr>
          <w:color w:val="auto"/>
        </w:rPr>
        <w:t>35</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7-10供应商关于无重大违法记录书面声明函（格式）</w:t>
      </w:r>
      <w:r>
        <w:rPr>
          <w:color w:val="auto"/>
        </w:rPr>
        <w:tab/>
      </w:r>
      <w:r>
        <w:rPr>
          <w:color w:val="auto"/>
        </w:rPr>
        <w:fldChar w:fldCharType="begin"/>
      </w:r>
      <w:r>
        <w:rPr>
          <w:color w:val="auto"/>
        </w:rPr>
        <w:instrText xml:space="preserve"> PAGEREF _Toc54871746 \h </w:instrText>
      </w:r>
      <w:r>
        <w:rPr>
          <w:color w:val="auto"/>
        </w:rPr>
        <w:fldChar w:fldCharType="separate"/>
      </w:r>
      <w:r>
        <w:rPr>
          <w:color w:val="auto"/>
        </w:rPr>
        <w:t>36</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7-11交纳响应保证金的银行凭证（格式）</w:t>
      </w:r>
      <w:r>
        <w:rPr>
          <w:color w:val="auto"/>
        </w:rPr>
        <w:tab/>
      </w:r>
      <w:r>
        <w:rPr>
          <w:color w:val="auto"/>
        </w:rPr>
        <w:fldChar w:fldCharType="begin"/>
      </w:r>
      <w:r>
        <w:rPr>
          <w:color w:val="auto"/>
        </w:rPr>
        <w:instrText xml:space="preserve"> PAGEREF _Toc54871747 \h </w:instrText>
      </w:r>
      <w:r>
        <w:rPr>
          <w:color w:val="auto"/>
        </w:rPr>
        <w:fldChar w:fldCharType="separate"/>
      </w:r>
      <w:r>
        <w:rPr>
          <w:color w:val="auto"/>
        </w:rPr>
        <w:t>37</w:t>
      </w:r>
      <w:r>
        <w:rPr>
          <w:color w:val="auto"/>
        </w:rPr>
        <w:fldChar w:fldCharType="end"/>
      </w:r>
    </w:p>
    <w:p>
      <w:pPr>
        <w:pStyle w:val="TOC2"/>
        <w:rPr>
          <w:rFonts w:asciiTheme="minorHAnsi" w:eastAsiaTheme="minorEastAsia" w:hAnsiTheme="minorHAnsi" w:cstheme="minorBidi"/>
          <w:iCs w:val="0"/>
          <w:color w:val="auto"/>
          <w:kern w:val="2"/>
          <w:szCs w:val="22"/>
        </w:rPr>
      </w:pPr>
      <w:r>
        <w:rPr>
          <w:color w:val="auto"/>
        </w:rPr>
        <w:t>7-12供应商在响应截止时间前在“信用中国”（www.creditchina.gov.cn）及中国政府采购网（www.ccgp.gov.cn）上无不良信用记录的承诺函</w:t>
      </w:r>
      <w:r>
        <w:rPr>
          <w:color w:val="auto"/>
        </w:rPr>
        <w:tab/>
      </w:r>
      <w:r>
        <w:rPr>
          <w:color w:val="auto"/>
        </w:rPr>
        <w:fldChar w:fldCharType="begin"/>
      </w:r>
      <w:r>
        <w:rPr>
          <w:color w:val="auto"/>
        </w:rPr>
        <w:instrText xml:space="preserve"> PAGEREF _Toc54871748 \h </w:instrText>
      </w:r>
      <w:r>
        <w:rPr>
          <w:color w:val="auto"/>
        </w:rPr>
        <w:fldChar w:fldCharType="separate"/>
      </w:r>
      <w:r>
        <w:rPr>
          <w:color w:val="auto"/>
        </w:rPr>
        <w:t>38</w:t>
      </w:r>
      <w:r>
        <w:rPr>
          <w:color w:val="auto"/>
        </w:rPr>
        <w:fldChar w:fldCharType="end"/>
      </w:r>
    </w:p>
    <w:p>
      <w:pPr>
        <w:pStyle w:val="Heading1"/>
        <w:spacing w:line="240" w:lineRule="auto"/>
        <w:jc w:val="center"/>
        <w:rPr>
          <w:rFonts w:ascii="Times New Roman" w:hAnsi="Times New Roman"/>
          <w:kern w:val="36"/>
        </w:rPr>
      </w:pPr>
      <w:r>
        <w:rPr>
          <w:rFonts w:ascii="宋体" w:hAnsi="宋体"/>
          <w:color w:val="000000" w:themeColor="text1"/>
          <w:kern w:val="36"/>
          <w:szCs w:val="21"/>
          <w14:textFill>
            <w14:solidFill>
              <w14:schemeClr w14:val="tx1"/>
            </w14:solidFill>
          </w14:textFill>
        </w:rPr>
        <w:fldChar w:fldCharType="end"/>
      </w:r>
      <w:bookmarkStart w:id="1" w:name="_Toc54871717"/>
      <w:r>
        <w:rPr>
          <w:rFonts w:ascii="Times New Roman" w:hAnsi="Times New Roman"/>
          <w:kern w:val="36"/>
        </w:rPr>
        <w:t>第一章、采购</w:t>
      </w:r>
      <w:r>
        <w:rPr>
          <w:rFonts w:ascii="Times New Roman" w:hAnsi="Times New Roman" w:hint="eastAsia"/>
          <w:kern w:val="36"/>
        </w:rPr>
        <w:t>文件</w:t>
      </w:r>
      <w:bookmarkEnd w:id="0"/>
      <w:bookmarkEnd w:id="1"/>
    </w:p>
    <w:p>
      <w:pPr>
        <w:pStyle w:val="Heading2"/>
        <w:spacing w:before="140" w:after="140" w:line="360" w:lineRule="auto"/>
        <w:ind w:firstLine="0"/>
        <w:rPr>
          <w:kern w:val="0"/>
        </w:rPr>
      </w:pPr>
      <w:bookmarkStart w:id="2" w:name="_Toc54871718"/>
      <w:bookmarkStart w:id="3" w:name="_Toc414959372"/>
      <w:r>
        <w:rPr>
          <w:kern w:val="0"/>
        </w:rPr>
        <w:t>一、</w:t>
      </w:r>
      <w:r>
        <w:rPr>
          <w:rFonts w:hint="eastAsia"/>
          <w:kern w:val="0"/>
        </w:rPr>
        <w:t>谈判</w:t>
      </w:r>
      <w:r>
        <w:rPr>
          <w:kern w:val="0"/>
        </w:rPr>
        <w:t>邀请</w:t>
      </w:r>
      <w:bookmarkEnd w:id="2"/>
      <w:bookmarkEnd w:id="3"/>
    </w:p>
    <w:p>
      <w:pPr>
        <w:widowControl/>
        <w:spacing w:line="600" w:lineRule="exact"/>
        <w:ind w:firstLine="810" w:firstLineChars="300"/>
        <w:jc w:val="left"/>
        <w:rPr>
          <w:rFonts w:ascii="宋体" w:hAnsi="宋体" w:cs="宋体"/>
          <w:kern w:val="0"/>
          <w:sz w:val="27"/>
          <w:szCs w:val="27"/>
        </w:rPr>
      </w:pPr>
      <w:bookmarkStart w:id="4" w:name="_Hlt509650027"/>
      <w:bookmarkEnd w:id="4"/>
      <w:r>
        <w:rPr>
          <w:rFonts w:ascii="宋体" w:hAnsi="宋体" w:cs="宋体" w:hint="eastAsia"/>
          <w:kern w:val="0"/>
          <w:sz w:val="27"/>
          <w:szCs w:val="27"/>
        </w:rPr>
        <w:t>江西广播电视台对网络视听中心机房采购项目进行</w:t>
      </w:r>
      <w:r>
        <w:rPr>
          <w:rFonts w:ascii="宋体" w:hAnsi="宋体" w:cs="宋体"/>
          <w:kern w:val="0"/>
          <w:sz w:val="27"/>
          <w:szCs w:val="27"/>
        </w:rPr>
        <w:t>竞争性谈判</w:t>
      </w:r>
      <w:r>
        <w:rPr>
          <w:rFonts w:ascii="宋体" w:hAnsi="宋体" w:cs="宋体" w:hint="eastAsia"/>
          <w:kern w:val="0"/>
          <w:sz w:val="27"/>
          <w:szCs w:val="27"/>
        </w:rPr>
        <w:t>采购。现欢迎国内符合资格条件的供应商前来响应。</w:t>
      </w:r>
    </w:p>
    <w:p>
      <w:pPr>
        <w:widowControl/>
        <w:spacing w:line="500" w:lineRule="exact"/>
        <w:jc w:val="left"/>
        <w:rPr>
          <w:rFonts w:ascii="宋体" w:hAnsi="宋体" w:cs="宋体"/>
          <w:kern w:val="0"/>
          <w:sz w:val="24"/>
        </w:rPr>
      </w:pPr>
      <w:r>
        <w:rPr>
          <w:rFonts w:ascii="宋体" w:hAnsi="宋体" w:cs="宋体"/>
          <w:bCs/>
          <w:kern w:val="0"/>
          <w:sz w:val="27"/>
          <w:szCs w:val="27"/>
        </w:rPr>
        <w:t>（一）项目编号：</w:t>
      </w:r>
      <w:r>
        <w:rPr>
          <w:rFonts w:ascii="宋体" w:hAnsi="宋体" w:cs="宋体" w:hint="eastAsia"/>
          <w:bCs/>
          <w:kern w:val="0"/>
          <w:sz w:val="27"/>
          <w:szCs w:val="27"/>
        </w:rPr>
        <w:t>JXGBDST-ZB-20220704-001</w:t>
      </w:r>
    </w:p>
    <w:p>
      <w:pPr>
        <w:widowControl/>
        <w:spacing w:line="500" w:lineRule="exact"/>
        <w:jc w:val="left"/>
        <w:rPr>
          <w:rFonts w:ascii="宋体" w:hAnsi="宋体" w:cs="宋体"/>
          <w:kern w:val="0"/>
          <w:sz w:val="24"/>
        </w:rPr>
      </w:pPr>
      <w:r>
        <w:rPr>
          <w:rFonts w:ascii="宋体" w:hAnsi="宋体" w:cs="宋体"/>
          <w:bCs/>
          <w:kern w:val="0"/>
          <w:sz w:val="27"/>
          <w:szCs w:val="27"/>
        </w:rPr>
        <w:t>（二）采购方式：</w:t>
      </w:r>
      <w:r>
        <w:rPr>
          <w:rFonts w:ascii="宋体" w:hAnsi="宋体" w:cs="宋体"/>
          <w:kern w:val="0"/>
          <w:sz w:val="27"/>
          <w:szCs w:val="27"/>
        </w:rPr>
        <w:t>竞争性谈判</w:t>
      </w:r>
    </w:p>
    <w:p>
      <w:pPr>
        <w:widowControl/>
        <w:spacing w:line="500" w:lineRule="exact"/>
        <w:jc w:val="left"/>
        <w:rPr>
          <w:rFonts w:ascii="宋体" w:hAnsi="宋体" w:cs="宋体"/>
          <w:bCs/>
          <w:kern w:val="0"/>
          <w:sz w:val="27"/>
          <w:szCs w:val="27"/>
        </w:rPr>
      </w:pPr>
      <w:r>
        <w:rPr>
          <w:rFonts w:ascii="宋体" w:hAnsi="宋体" w:cs="宋体"/>
          <w:bCs/>
          <w:kern w:val="0"/>
          <w:sz w:val="27"/>
          <w:szCs w:val="27"/>
        </w:rPr>
        <w:t>（三）采购内容：</w:t>
      </w:r>
    </w:p>
    <w:tbl>
      <w:tblPr>
        <w:tblStyle w:val="TableNormal"/>
        <w:tblW w:w="97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0"/>
        <w:gridCol w:w="4005"/>
        <w:gridCol w:w="765"/>
        <w:gridCol w:w="810"/>
        <w:gridCol w:w="1908"/>
        <w:gridCol w:w="1552"/>
      </w:tblGrid>
      <w:tr>
        <w:tblPrEx>
          <w:tblW w:w="97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88"/>
        </w:trPr>
        <w:tc>
          <w:tcPr>
            <w:tcW w:w="700" w:type="dxa"/>
            <w:vAlign w:val="center"/>
          </w:tcPr>
          <w:p>
            <w:pPr>
              <w:spacing w:before="100" w:after="100" w:line="500" w:lineRule="exact"/>
              <w:jc w:val="center"/>
              <w:rPr>
                <w:rFonts w:ascii="宋体" w:hAnsi="宋体" w:cs="宋体"/>
                <w:b/>
                <w:bCs/>
                <w:kern w:val="0"/>
                <w:sz w:val="22"/>
                <w:szCs w:val="22"/>
              </w:rPr>
            </w:pPr>
            <w:r>
              <w:rPr>
                <w:rFonts w:ascii="宋体" w:hAnsi="宋体" w:cs="宋体" w:hint="eastAsia"/>
                <w:b/>
                <w:bCs/>
                <w:kern w:val="0"/>
                <w:sz w:val="22"/>
                <w:szCs w:val="22"/>
              </w:rPr>
              <w:t>序号</w:t>
            </w:r>
          </w:p>
        </w:tc>
        <w:tc>
          <w:tcPr>
            <w:tcW w:w="4005" w:type="dxa"/>
            <w:vAlign w:val="center"/>
          </w:tcPr>
          <w:p>
            <w:pPr>
              <w:spacing w:before="100" w:after="100" w:line="500" w:lineRule="exact"/>
              <w:jc w:val="center"/>
              <w:rPr>
                <w:rFonts w:ascii="宋体" w:hAnsi="宋体" w:cs="宋体"/>
                <w:b/>
                <w:bCs/>
                <w:kern w:val="0"/>
                <w:sz w:val="22"/>
                <w:szCs w:val="22"/>
              </w:rPr>
            </w:pPr>
            <w:r>
              <w:rPr>
                <w:rFonts w:ascii="宋体" w:hAnsi="宋体" w:cs="宋体" w:hint="eastAsia"/>
                <w:b/>
                <w:bCs/>
                <w:kern w:val="0"/>
                <w:sz w:val="22"/>
                <w:szCs w:val="22"/>
              </w:rPr>
              <w:t>项目名称</w:t>
            </w:r>
          </w:p>
        </w:tc>
        <w:tc>
          <w:tcPr>
            <w:tcW w:w="765" w:type="dxa"/>
            <w:vAlign w:val="center"/>
          </w:tcPr>
          <w:p>
            <w:pPr>
              <w:spacing w:before="100" w:after="100" w:line="500" w:lineRule="exact"/>
              <w:jc w:val="center"/>
              <w:rPr>
                <w:rFonts w:ascii="宋体" w:hAnsi="宋体" w:cs="宋体"/>
                <w:b/>
                <w:bCs/>
                <w:kern w:val="0"/>
                <w:sz w:val="22"/>
                <w:szCs w:val="22"/>
              </w:rPr>
            </w:pPr>
            <w:r>
              <w:rPr>
                <w:rFonts w:ascii="宋体" w:hAnsi="宋体" w:cs="宋体" w:hint="eastAsia"/>
                <w:b/>
                <w:bCs/>
                <w:kern w:val="0"/>
                <w:sz w:val="22"/>
                <w:szCs w:val="22"/>
              </w:rPr>
              <w:t>数量</w:t>
            </w:r>
          </w:p>
        </w:tc>
        <w:tc>
          <w:tcPr>
            <w:tcW w:w="810" w:type="dxa"/>
            <w:vAlign w:val="center"/>
          </w:tcPr>
          <w:p>
            <w:pPr>
              <w:spacing w:line="500" w:lineRule="exact"/>
              <w:jc w:val="center"/>
              <w:rPr>
                <w:rFonts w:ascii="宋体" w:hAnsi="宋体" w:cs="宋体"/>
                <w:b/>
                <w:bCs/>
                <w:kern w:val="0"/>
                <w:sz w:val="22"/>
                <w:szCs w:val="22"/>
              </w:rPr>
            </w:pPr>
            <w:r>
              <w:rPr>
                <w:rFonts w:ascii="宋体" w:hAnsi="宋体" w:cs="宋体" w:hint="eastAsia"/>
                <w:b/>
                <w:bCs/>
                <w:kern w:val="0"/>
                <w:sz w:val="22"/>
                <w:szCs w:val="22"/>
              </w:rPr>
              <w:t>单位</w:t>
            </w:r>
          </w:p>
        </w:tc>
        <w:tc>
          <w:tcPr>
            <w:tcW w:w="1908" w:type="dxa"/>
            <w:vAlign w:val="center"/>
          </w:tcPr>
          <w:p>
            <w:pPr>
              <w:spacing w:before="100" w:after="100" w:line="500" w:lineRule="exact"/>
              <w:jc w:val="center"/>
              <w:rPr>
                <w:rFonts w:ascii="宋体" w:hAnsi="宋体" w:cs="宋体"/>
                <w:b/>
                <w:bCs/>
                <w:kern w:val="0"/>
                <w:sz w:val="22"/>
                <w:szCs w:val="22"/>
              </w:rPr>
            </w:pPr>
            <w:r>
              <w:rPr>
                <w:rFonts w:ascii="宋体" w:hAnsi="宋体" w:cs="宋体" w:hint="eastAsia"/>
                <w:b/>
                <w:bCs/>
                <w:kern w:val="0"/>
                <w:sz w:val="22"/>
                <w:szCs w:val="22"/>
              </w:rPr>
              <w:t>主要服务及要求</w:t>
            </w:r>
          </w:p>
        </w:tc>
        <w:tc>
          <w:tcPr>
            <w:tcW w:w="1552" w:type="dxa"/>
            <w:vAlign w:val="center"/>
          </w:tcPr>
          <w:p>
            <w:pPr>
              <w:spacing w:before="100" w:after="100" w:line="500" w:lineRule="exact"/>
              <w:jc w:val="center"/>
              <w:rPr>
                <w:rFonts w:ascii="宋体" w:hAnsi="宋体" w:cs="宋体"/>
                <w:b/>
                <w:bCs/>
                <w:kern w:val="0"/>
                <w:sz w:val="22"/>
                <w:szCs w:val="22"/>
              </w:rPr>
            </w:pPr>
            <w:r>
              <w:rPr>
                <w:rFonts w:ascii="宋体" w:hAnsi="宋体" w:cs="宋体" w:hint="eastAsia"/>
                <w:b/>
                <w:bCs/>
                <w:kern w:val="0"/>
                <w:sz w:val="22"/>
                <w:szCs w:val="22"/>
              </w:rPr>
              <w:t>预算金额（元）</w:t>
            </w:r>
          </w:p>
        </w:tc>
      </w:tr>
      <w:tr>
        <w:tblPrEx>
          <w:tblW w:w="9740" w:type="dxa"/>
          <w:tblInd w:w="0" w:type="dxa"/>
          <w:tblLayout w:type="fixed"/>
          <w:tblCellMar>
            <w:top w:w="0" w:type="dxa"/>
            <w:left w:w="108" w:type="dxa"/>
            <w:bottom w:w="0" w:type="dxa"/>
            <w:right w:w="108" w:type="dxa"/>
          </w:tblCellMar>
        </w:tblPrEx>
        <w:trPr>
          <w:trHeight w:val="90"/>
        </w:trPr>
        <w:tc>
          <w:tcPr>
            <w:tcW w:w="700" w:type="dxa"/>
            <w:vAlign w:val="center"/>
          </w:tcPr>
          <w:p>
            <w:pPr>
              <w:widowControl/>
              <w:spacing w:line="500" w:lineRule="exact"/>
              <w:jc w:val="center"/>
              <w:rPr>
                <w:rFonts w:ascii="宋体" w:hAnsi="宋体" w:cs="宋体"/>
                <w:kern w:val="0"/>
                <w:sz w:val="27"/>
                <w:szCs w:val="27"/>
              </w:rPr>
            </w:pPr>
            <w:r>
              <w:rPr>
                <w:rFonts w:ascii="宋体" w:hAnsi="宋体" w:cs="宋体" w:hint="eastAsia"/>
                <w:kern w:val="0"/>
                <w:sz w:val="27"/>
                <w:szCs w:val="27"/>
              </w:rPr>
              <w:t>1</w:t>
            </w:r>
          </w:p>
        </w:tc>
        <w:tc>
          <w:tcPr>
            <w:tcW w:w="4005" w:type="dxa"/>
            <w:vAlign w:val="center"/>
          </w:tcPr>
          <w:p>
            <w:pPr>
              <w:widowControl/>
              <w:spacing w:line="500" w:lineRule="exact"/>
              <w:textAlignment w:val="center"/>
              <w:rPr>
                <w:rFonts w:ascii="宋体" w:hAnsi="宋体" w:cs="宋体"/>
                <w:kern w:val="0"/>
                <w:sz w:val="27"/>
                <w:szCs w:val="27"/>
              </w:rPr>
            </w:pPr>
            <w:r>
              <w:rPr>
                <w:rFonts w:ascii="宋体" w:hAnsi="宋体" w:cs="宋体" w:hint="eastAsia"/>
                <w:kern w:val="0"/>
                <w:sz w:val="27"/>
                <w:szCs w:val="27"/>
              </w:rPr>
              <w:t>网络视听中心机房采购项目</w:t>
            </w:r>
          </w:p>
        </w:tc>
        <w:tc>
          <w:tcPr>
            <w:tcW w:w="765" w:type="dxa"/>
            <w:vAlign w:val="center"/>
          </w:tcPr>
          <w:p>
            <w:pPr>
              <w:widowControl/>
              <w:spacing w:line="500" w:lineRule="exact"/>
              <w:jc w:val="center"/>
              <w:rPr>
                <w:rFonts w:ascii="宋体" w:hAnsi="宋体" w:cs="宋体"/>
                <w:kern w:val="0"/>
                <w:sz w:val="27"/>
                <w:szCs w:val="27"/>
              </w:rPr>
            </w:pPr>
            <w:r>
              <w:rPr>
                <w:rFonts w:ascii="宋体" w:hAnsi="宋体" w:cs="宋体" w:hint="eastAsia"/>
                <w:kern w:val="0"/>
                <w:sz w:val="27"/>
                <w:szCs w:val="27"/>
              </w:rPr>
              <w:t>1</w:t>
            </w:r>
          </w:p>
        </w:tc>
        <w:tc>
          <w:tcPr>
            <w:tcW w:w="810" w:type="dxa"/>
            <w:vAlign w:val="center"/>
          </w:tcPr>
          <w:p>
            <w:pPr>
              <w:widowControl/>
              <w:spacing w:line="500" w:lineRule="exact"/>
              <w:ind w:firstLine="135" w:firstLineChars="50"/>
              <w:textAlignment w:val="center"/>
              <w:rPr>
                <w:rFonts w:ascii="宋体" w:hAnsi="宋体" w:cs="宋体"/>
                <w:kern w:val="0"/>
                <w:sz w:val="27"/>
                <w:szCs w:val="27"/>
              </w:rPr>
            </w:pPr>
            <w:r>
              <w:rPr>
                <w:rFonts w:ascii="宋体" w:hAnsi="宋体" w:cs="宋体" w:hint="eastAsia"/>
                <w:kern w:val="0"/>
                <w:sz w:val="27"/>
                <w:szCs w:val="27"/>
              </w:rPr>
              <w:t>项</w:t>
            </w:r>
          </w:p>
        </w:tc>
        <w:tc>
          <w:tcPr>
            <w:tcW w:w="1908" w:type="dxa"/>
            <w:vAlign w:val="center"/>
          </w:tcPr>
          <w:p>
            <w:pPr>
              <w:spacing w:line="500" w:lineRule="exact"/>
              <w:jc w:val="center"/>
              <w:rPr>
                <w:rFonts w:ascii="宋体" w:hAnsi="宋体" w:cs="宋体"/>
                <w:kern w:val="0"/>
                <w:sz w:val="27"/>
                <w:szCs w:val="27"/>
              </w:rPr>
            </w:pPr>
            <w:r>
              <w:rPr>
                <w:rFonts w:ascii="宋体" w:hAnsi="宋体" w:cs="宋体" w:hint="eastAsia"/>
                <w:kern w:val="0"/>
                <w:sz w:val="27"/>
                <w:szCs w:val="27"/>
              </w:rPr>
              <w:t>详见采购需求</w:t>
            </w:r>
          </w:p>
        </w:tc>
        <w:tc>
          <w:tcPr>
            <w:tcW w:w="1552" w:type="dxa"/>
            <w:vAlign w:val="center"/>
          </w:tcPr>
          <w:p>
            <w:pPr>
              <w:spacing w:before="100" w:after="100" w:line="500" w:lineRule="exact"/>
              <w:jc w:val="center"/>
              <w:rPr>
                <w:rFonts w:ascii="宋体" w:hAnsi="宋体" w:cs="宋体" w:hint="default"/>
                <w:kern w:val="0"/>
                <w:sz w:val="27"/>
                <w:szCs w:val="27"/>
              </w:rPr>
            </w:pPr>
            <w:r>
              <w:rPr>
                <w:rFonts w:ascii="宋体" w:hAnsi="宋体" w:cs="宋体" w:hint="eastAsia"/>
                <w:kern w:val="0"/>
                <w:sz w:val="27"/>
                <w:szCs w:val="27"/>
                <w:lang w:val="en-US" w:eastAsia="zh-CN"/>
              </w:rPr>
              <w:t>59280元</w:t>
            </w:r>
          </w:p>
        </w:tc>
      </w:tr>
    </w:tbl>
    <w:p>
      <w:pPr>
        <w:spacing w:line="500" w:lineRule="exact"/>
        <w:rPr>
          <w:rFonts w:ascii="宋体" w:hAnsi="宋体" w:cs="宋体"/>
          <w:bCs/>
          <w:kern w:val="0"/>
          <w:sz w:val="27"/>
          <w:szCs w:val="27"/>
        </w:rPr>
      </w:pPr>
      <w:r>
        <w:rPr>
          <w:rFonts w:ascii="宋体" w:hAnsi="宋体" w:cs="宋体"/>
          <w:kern w:val="0"/>
          <w:sz w:val="27"/>
          <w:szCs w:val="27"/>
        </w:rPr>
        <w:t>（</w:t>
      </w:r>
      <w:r>
        <w:rPr>
          <w:rFonts w:ascii="宋体" w:hAnsi="宋体" w:cs="宋体" w:hint="eastAsia"/>
          <w:kern w:val="0"/>
          <w:sz w:val="27"/>
          <w:szCs w:val="27"/>
        </w:rPr>
        <w:t>四</w:t>
      </w:r>
      <w:r>
        <w:rPr>
          <w:rFonts w:ascii="宋体" w:hAnsi="宋体" w:cs="宋体"/>
          <w:kern w:val="0"/>
          <w:sz w:val="27"/>
          <w:szCs w:val="27"/>
        </w:rPr>
        <w:t>）</w:t>
      </w:r>
      <w:r>
        <w:rPr>
          <w:rFonts w:ascii="宋体" w:hAnsi="宋体" w:cs="宋体" w:hint="eastAsia"/>
          <w:bCs/>
          <w:kern w:val="0"/>
          <w:sz w:val="27"/>
          <w:szCs w:val="27"/>
        </w:rPr>
        <w:t>本</w:t>
      </w:r>
      <w:r>
        <w:rPr>
          <w:rFonts w:ascii="宋体" w:hAnsi="宋体" w:cs="宋体" w:hint="eastAsia"/>
          <w:kern w:val="0"/>
          <w:sz w:val="27"/>
          <w:szCs w:val="27"/>
        </w:rPr>
        <w:t>项目是否接受联合体参加谈判：</w:t>
      </w:r>
      <w:r>
        <w:rPr>
          <w:rFonts w:ascii="宋体" w:hAnsi="宋体" w:cs="宋体" w:hint="eastAsia"/>
          <w:b/>
          <w:bCs/>
          <w:kern w:val="0"/>
          <w:sz w:val="27"/>
          <w:szCs w:val="27"/>
        </w:rPr>
        <w:t>不接受</w:t>
      </w:r>
      <w:r>
        <w:rPr>
          <w:rFonts w:ascii="宋体" w:hAnsi="宋体" w:cs="宋体" w:hint="eastAsia"/>
          <w:kern w:val="0"/>
          <w:sz w:val="27"/>
          <w:szCs w:val="27"/>
        </w:rPr>
        <w:t>。</w:t>
      </w:r>
    </w:p>
    <w:p>
      <w:pPr>
        <w:widowControl/>
        <w:spacing w:line="500" w:lineRule="exact"/>
        <w:jc w:val="left"/>
        <w:rPr>
          <w:rFonts w:ascii="宋体" w:hAnsi="宋体" w:cs="宋体"/>
          <w:bCs/>
          <w:kern w:val="0"/>
          <w:sz w:val="27"/>
          <w:szCs w:val="27"/>
        </w:rPr>
        <w:sectPr>
          <w:footerReference w:type="default" r:id="rId9"/>
          <w:footerReference w:type="first" r:id="rId10"/>
          <w:type w:val="nextPage"/>
          <w:pgSz w:w="11906" w:h="16838"/>
          <w:pgMar w:top="1440" w:right="1080" w:bottom="1440" w:left="1080" w:header="851" w:footer="992" w:gutter="0"/>
          <w:pgNumType w:start="3"/>
          <w:cols w:num="1" w:space="720"/>
          <w:titlePg w:val="0"/>
          <w:docGrid w:linePitch="312" w:charSpace="0"/>
        </w:sectPr>
      </w:pPr>
      <w:r>
        <w:rPr>
          <w:rFonts w:ascii="宋体" w:hAnsi="宋体" w:cs="宋体"/>
          <w:kern w:val="0"/>
          <w:sz w:val="27"/>
          <w:szCs w:val="27"/>
        </w:rPr>
        <w:t>（</w:t>
      </w:r>
      <w:r>
        <w:rPr>
          <w:rFonts w:ascii="宋体" w:hAnsi="宋体" w:cs="宋体" w:hint="eastAsia"/>
          <w:kern w:val="0"/>
          <w:sz w:val="27"/>
          <w:szCs w:val="27"/>
        </w:rPr>
        <w:t>五</w:t>
      </w:r>
      <w:r>
        <w:rPr>
          <w:rFonts w:ascii="宋体" w:hAnsi="宋体" w:cs="宋体"/>
          <w:kern w:val="0"/>
          <w:sz w:val="27"/>
          <w:szCs w:val="27"/>
        </w:rPr>
        <w:t>）</w:t>
      </w:r>
      <w:r>
        <w:rPr>
          <w:rFonts w:ascii="宋体" w:hAnsi="宋体" w:cs="宋体" w:hint="eastAsia"/>
          <w:bCs/>
          <w:kern w:val="0"/>
          <w:sz w:val="27"/>
          <w:szCs w:val="27"/>
        </w:rPr>
        <w:t>供应商</w:t>
      </w:r>
      <w:r>
        <w:rPr>
          <w:rFonts w:ascii="宋体" w:hAnsi="宋体" w:cs="宋体"/>
          <w:bCs/>
          <w:kern w:val="0"/>
          <w:sz w:val="27"/>
          <w:szCs w:val="27"/>
        </w:rPr>
        <w:t>资格要求:</w:t>
      </w:r>
    </w:p>
    <w:p>
      <w:pPr>
        <w:widowControl/>
        <w:spacing w:line="500" w:lineRule="exact"/>
        <w:jc w:val="left"/>
        <w:rPr>
          <w:rFonts w:ascii="宋体" w:hAnsi="宋体" w:cs="宋体"/>
          <w:bCs/>
          <w:kern w:val="0"/>
          <w:sz w:val="27"/>
          <w:szCs w:val="27"/>
        </w:rPr>
      </w:pPr>
      <w:r>
        <w:rPr>
          <w:rFonts w:ascii="宋体" w:hAnsi="宋体" w:cs="宋体" w:hint="eastAsia"/>
          <w:bCs/>
          <w:kern w:val="0"/>
          <w:sz w:val="27"/>
          <w:szCs w:val="27"/>
        </w:rPr>
        <w:t xml:space="preserve">1、具有独立承担民事责任的能力； </w:t>
      </w:r>
    </w:p>
    <w:p>
      <w:pPr>
        <w:widowControl/>
        <w:spacing w:line="500" w:lineRule="exact"/>
        <w:jc w:val="left"/>
        <w:rPr>
          <w:rFonts w:ascii="宋体" w:hAnsi="宋体" w:cs="宋体"/>
          <w:bCs/>
          <w:kern w:val="0"/>
          <w:sz w:val="27"/>
          <w:szCs w:val="27"/>
        </w:rPr>
      </w:pPr>
      <w:r>
        <w:rPr>
          <w:rFonts w:ascii="宋体" w:hAnsi="宋体" w:cs="宋体" w:hint="eastAsia"/>
          <w:bCs/>
          <w:kern w:val="0"/>
          <w:sz w:val="27"/>
          <w:szCs w:val="27"/>
        </w:rPr>
        <w:t>2、具有良好的商业信誉和健全的财务会计制度；</w:t>
      </w:r>
    </w:p>
    <w:p>
      <w:pPr>
        <w:widowControl/>
        <w:spacing w:line="500" w:lineRule="exact"/>
        <w:jc w:val="left"/>
        <w:rPr>
          <w:rFonts w:ascii="宋体" w:hAnsi="宋体" w:cs="宋体"/>
          <w:bCs/>
          <w:kern w:val="0"/>
          <w:sz w:val="27"/>
          <w:szCs w:val="27"/>
        </w:rPr>
      </w:pPr>
      <w:r>
        <w:rPr>
          <w:rFonts w:ascii="宋体" w:hAnsi="宋体" w:cs="宋体" w:hint="eastAsia"/>
          <w:bCs/>
          <w:kern w:val="0"/>
          <w:sz w:val="27"/>
          <w:szCs w:val="27"/>
        </w:rPr>
        <w:t>3、具有履行合同所必需的设备和专业技术能力；</w:t>
      </w:r>
    </w:p>
    <w:p>
      <w:pPr>
        <w:widowControl/>
        <w:spacing w:line="500" w:lineRule="exact"/>
        <w:jc w:val="left"/>
        <w:rPr>
          <w:rFonts w:ascii="宋体" w:hAnsi="宋体" w:cs="宋体"/>
          <w:bCs/>
          <w:kern w:val="0"/>
          <w:sz w:val="27"/>
          <w:szCs w:val="27"/>
        </w:rPr>
      </w:pPr>
      <w:r>
        <w:rPr>
          <w:rFonts w:ascii="宋体" w:hAnsi="宋体" w:cs="宋体" w:hint="eastAsia"/>
          <w:bCs/>
          <w:kern w:val="0"/>
          <w:sz w:val="27"/>
          <w:szCs w:val="27"/>
        </w:rPr>
        <w:t>4、有依法缴纳税收和社会保障</w:t>
      </w:r>
      <w:bookmarkStart w:id="5" w:name="_GoBack"/>
      <w:bookmarkEnd w:id="5"/>
      <w:r>
        <w:rPr>
          <w:rFonts w:ascii="宋体" w:hAnsi="宋体" w:cs="宋体" w:hint="eastAsia"/>
          <w:bCs/>
          <w:kern w:val="0"/>
          <w:sz w:val="27"/>
          <w:szCs w:val="27"/>
        </w:rPr>
        <w:t>资金的良好记录；</w:t>
      </w:r>
    </w:p>
    <w:p>
      <w:pPr>
        <w:widowControl/>
        <w:spacing w:line="500" w:lineRule="exact"/>
        <w:jc w:val="left"/>
        <w:rPr>
          <w:rFonts w:ascii="宋体" w:hAnsi="宋体" w:cs="宋体"/>
          <w:bCs/>
          <w:kern w:val="0"/>
          <w:sz w:val="27"/>
          <w:szCs w:val="27"/>
        </w:rPr>
      </w:pPr>
      <w:r>
        <w:rPr>
          <w:rFonts w:ascii="宋体" w:hAnsi="宋体" w:cs="宋体" w:hint="eastAsia"/>
          <w:bCs/>
          <w:kern w:val="0"/>
          <w:sz w:val="27"/>
          <w:szCs w:val="27"/>
        </w:rPr>
        <w:t>5、参加政府采购活动前三年内，在经营活动中没有重大违法记录；</w:t>
      </w:r>
    </w:p>
    <w:p>
      <w:pPr>
        <w:widowControl/>
        <w:spacing w:line="500" w:lineRule="exact"/>
        <w:jc w:val="left"/>
        <w:rPr>
          <w:rFonts w:ascii="宋体" w:hAnsi="宋体" w:cs="宋体"/>
          <w:bCs/>
          <w:kern w:val="0"/>
          <w:sz w:val="27"/>
          <w:szCs w:val="27"/>
        </w:rPr>
      </w:pPr>
      <w:r>
        <w:rPr>
          <w:rFonts w:ascii="宋体" w:hAnsi="宋体" w:cs="宋体"/>
          <w:bCs/>
          <w:kern w:val="0"/>
          <w:sz w:val="27"/>
          <w:szCs w:val="27"/>
        </w:rPr>
        <w:t>（</w:t>
      </w:r>
      <w:r>
        <w:rPr>
          <w:rFonts w:ascii="宋体" w:hAnsi="宋体" w:cs="宋体" w:hint="eastAsia"/>
          <w:bCs/>
          <w:kern w:val="0"/>
          <w:sz w:val="27"/>
          <w:szCs w:val="27"/>
        </w:rPr>
        <w:t>六</w:t>
      </w:r>
      <w:r>
        <w:rPr>
          <w:rFonts w:ascii="宋体" w:hAnsi="宋体" w:cs="宋体"/>
          <w:bCs/>
          <w:kern w:val="0"/>
          <w:sz w:val="27"/>
          <w:szCs w:val="27"/>
        </w:rPr>
        <w:t>）</w:t>
      </w:r>
      <w:r>
        <w:rPr>
          <w:rFonts w:ascii="宋体" w:hAnsi="宋体" w:cs="宋体" w:hint="eastAsia"/>
          <w:bCs/>
          <w:kern w:val="0"/>
          <w:sz w:val="27"/>
          <w:szCs w:val="27"/>
        </w:rPr>
        <w:t>谈判文件的获取和报名方式：</w:t>
      </w:r>
    </w:p>
    <w:p>
      <w:pPr>
        <w:widowControl/>
        <w:spacing w:line="500" w:lineRule="exact"/>
        <w:ind w:left="105" w:leftChars="50"/>
        <w:jc w:val="left"/>
        <w:rPr>
          <w:rFonts w:ascii="宋体" w:hAnsi="宋体" w:cs="宋体"/>
          <w:bCs/>
          <w:kern w:val="0"/>
          <w:sz w:val="27"/>
          <w:szCs w:val="27"/>
        </w:rPr>
      </w:pPr>
      <w:r>
        <w:rPr>
          <w:rFonts w:ascii="宋体" w:hAnsi="宋体" w:cs="宋体" w:hint="eastAsia"/>
          <w:bCs/>
          <w:kern w:val="0"/>
          <w:sz w:val="27"/>
          <w:szCs w:val="27"/>
        </w:rPr>
        <w:t>1、即日起可在江西广播电视台报名。</w:t>
      </w:r>
    </w:p>
    <w:p>
      <w:pPr>
        <w:widowControl/>
        <w:spacing w:line="500" w:lineRule="exact"/>
        <w:ind w:left="105" w:leftChars="50"/>
        <w:jc w:val="left"/>
        <w:rPr>
          <w:rFonts w:ascii="宋体" w:hAnsi="宋体" w:cs="宋体"/>
          <w:kern w:val="0"/>
          <w:sz w:val="27"/>
          <w:szCs w:val="27"/>
        </w:rPr>
      </w:pPr>
      <w:r>
        <w:rPr>
          <w:rFonts w:ascii="宋体" w:hAnsi="宋体" w:cs="宋体" w:hint="eastAsia"/>
          <w:bCs/>
          <w:kern w:val="0"/>
          <w:sz w:val="27"/>
          <w:szCs w:val="27"/>
        </w:rPr>
        <w:t xml:space="preserve">2、凡有意向的供应商可从2022年 </w:t>
      </w:r>
      <w:r>
        <w:rPr>
          <w:rFonts w:ascii="宋体" w:hAnsi="宋体" w:cs="宋体" w:hint="eastAsia"/>
          <w:bCs/>
          <w:kern w:val="0"/>
          <w:sz w:val="27"/>
          <w:szCs w:val="27"/>
          <w:lang w:val="en-US" w:eastAsia="zh-CN"/>
        </w:rPr>
        <w:t>7</w:t>
      </w:r>
      <w:r>
        <w:rPr>
          <w:rFonts w:ascii="宋体" w:hAnsi="宋体" w:cs="宋体" w:hint="eastAsia"/>
          <w:bCs/>
          <w:kern w:val="0"/>
          <w:sz w:val="27"/>
          <w:szCs w:val="27"/>
        </w:rPr>
        <w:t xml:space="preserve">月 </w:t>
      </w:r>
      <w:r>
        <w:rPr>
          <w:rFonts w:ascii="宋体" w:hAnsi="宋体" w:cs="宋体" w:hint="eastAsia"/>
          <w:bCs/>
          <w:kern w:val="0"/>
          <w:sz w:val="27"/>
          <w:szCs w:val="27"/>
          <w:lang w:val="en-US" w:eastAsia="zh-CN"/>
        </w:rPr>
        <w:t>8</w:t>
      </w:r>
      <w:r>
        <w:rPr>
          <w:rFonts w:ascii="宋体" w:hAnsi="宋体" w:cs="宋体" w:hint="eastAsia"/>
          <w:bCs/>
          <w:kern w:val="0"/>
          <w:sz w:val="27"/>
          <w:szCs w:val="27"/>
        </w:rPr>
        <w:t xml:space="preserve">日至2022年 </w:t>
      </w:r>
      <w:r>
        <w:rPr>
          <w:rFonts w:ascii="宋体" w:hAnsi="宋体" w:cs="宋体" w:hint="eastAsia"/>
          <w:bCs/>
          <w:kern w:val="0"/>
          <w:sz w:val="27"/>
          <w:szCs w:val="27"/>
          <w:lang w:val="en-US" w:eastAsia="zh-CN"/>
        </w:rPr>
        <w:t>7</w:t>
      </w:r>
      <w:r>
        <w:rPr>
          <w:rFonts w:ascii="宋体" w:hAnsi="宋体" w:cs="宋体" w:hint="eastAsia"/>
          <w:bCs/>
          <w:kern w:val="0"/>
          <w:sz w:val="27"/>
          <w:szCs w:val="27"/>
        </w:rPr>
        <w:t xml:space="preserve">月 </w:t>
      </w:r>
      <w:r>
        <w:rPr>
          <w:rFonts w:ascii="宋体" w:hAnsi="宋体" w:cs="宋体" w:hint="eastAsia"/>
          <w:bCs/>
          <w:kern w:val="0"/>
          <w:sz w:val="27"/>
          <w:szCs w:val="27"/>
          <w:lang w:val="en-US" w:eastAsia="zh-CN"/>
        </w:rPr>
        <w:t>14</w:t>
      </w:r>
      <w:r>
        <w:rPr>
          <w:rFonts w:ascii="宋体" w:hAnsi="宋体" w:cs="宋体" w:hint="eastAsia"/>
          <w:bCs/>
          <w:kern w:val="0"/>
          <w:sz w:val="27"/>
          <w:szCs w:val="27"/>
        </w:rPr>
        <w:t xml:space="preserve">日上午08∶30——12∶00，下午14∶30——17∶30，携带公司的营业执照到江西广播电视台网络视听中心登记确认报名或将扫描件（加盖公章）发送到邮箱9707310@qq.com，未登记确认报名的供应商不得参加竞争性谈判。 </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（七）响应截止时间和谈判时间：202</w:t>
      </w:r>
      <w:r>
        <w:rPr>
          <w:rFonts w:ascii="宋体" w:hAnsi="宋体" w:cs="宋体" w:hint="eastAsia"/>
          <w:kern w:val="0"/>
          <w:sz w:val="27"/>
          <w:szCs w:val="27"/>
          <w:lang w:val="en-US" w:eastAsia="zh-CN"/>
        </w:rPr>
        <w:t>2</w:t>
      </w:r>
      <w:r>
        <w:rPr>
          <w:rFonts w:ascii="宋体" w:hAnsi="宋体" w:cs="宋体" w:hint="eastAsia"/>
          <w:kern w:val="0"/>
          <w:sz w:val="27"/>
          <w:szCs w:val="27"/>
        </w:rPr>
        <w:t xml:space="preserve">年 </w:t>
      </w:r>
      <w:r>
        <w:rPr>
          <w:rFonts w:ascii="宋体" w:hAnsi="宋体" w:cs="宋体" w:hint="eastAsia"/>
          <w:kern w:val="0"/>
          <w:sz w:val="27"/>
          <w:szCs w:val="27"/>
          <w:lang w:val="en-US" w:eastAsia="zh-CN"/>
        </w:rPr>
        <w:t>7</w:t>
      </w:r>
      <w:r>
        <w:rPr>
          <w:rFonts w:ascii="宋体" w:hAnsi="宋体" w:cs="宋体" w:hint="eastAsia"/>
          <w:kern w:val="0"/>
          <w:sz w:val="27"/>
          <w:szCs w:val="27"/>
        </w:rPr>
        <w:t xml:space="preserve">月 </w:t>
      </w:r>
      <w:r>
        <w:rPr>
          <w:rFonts w:ascii="宋体" w:hAnsi="宋体" w:cs="宋体" w:hint="eastAsia"/>
          <w:kern w:val="0"/>
          <w:sz w:val="27"/>
          <w:szCs w:val="27"/>
          <w:lang w:val="en-US" w:eastAsia="zh-CN"/>
        </w:rPr>
        <w:t>15</w:t>
      </w:r>
      <w:r>
        <w:rPr>
          <w:rFonts w:ascii="宋体" w:hAnsi="宋体" w:cs="宋体" w:hint="eastAsia"/>
          <w:kern w:val="0"/>
          <w:sz w:val="27"/>
          <w:szCs w:val="27"/>
        </w:rPr>
        <w:t xml:space="preserve"> 日1</w:t>
      </w:r>
      <w:r>
        <w:rPr>
          <w:rFonts w:ascii="宋体" w:hAnsi="宋体" w:cs="宋体" w:hint="eastAsia"/>
          <w:kern w:val="0"/>
          <w:sz w:val="27"/>
          <w:szCs w:val="27"/>
          <w:lang w:val="en-US" w:eastAsia="zh-CN"/>
        </w:rPr>
        <w:t>5</w:t>
      </w:r>
      <w:r>
        <w:rPr>
          <w:rFonts w:ascii="宋体" w:hAnsi="宋体" w:cs="宋体" w:hint="eastAsia"/>
          <w:kern w:val="0"/>
          <w:sz w:val="27"/>
          <w:szCs w:val="27"/>
        </w:rPr>
        <w:t xml:space="preserve"> : </w:t>
      </w:r>
      <w:r>
        <w:rPr>
          <w:rFonts w:ascii="宋体" w:hAnsi="宋体" w:cs="宋体" w:hint="eastAsia"/>
          <w:kern w:val="0"/>
          <w:sz w:val="27"/>
          <w:szCs w:val="27"/>
          <w:lang w:val="en-US" w:eastAsia="zh-CN"/>
        </w:rPr>
        <w:t>0</w:t>
      </w:r>
      <w:r>
        <w:rPr>
          <w:rFonts w:ascii="宋体" w:hAnsi="宋体" w:cs="宋体" w:hint="eastAsia"/>
          <w:kern w:val="0"/>
          <w:sz w:val="27"/>
          <w:szCs w:val="27"/>
        </w:rPr>
        <w:t>0（北京时间）。谈判地点：</w:t>
      </w:r>
      <w:r>
        <w:rPr>
          <w:rFonts w:ascii="宋体" w:hAnsi="宋体" w:cs="宋体" w:hint="eastAsia"/>
          <w:bCs/>
          <w:kern w:val="0"/>
          <w:sz w:val="27"/>
          <w:szCs w:val="27"/>
        </w:rPr>
        <w:t>江西广播电视台主栋9楼</w:t>
      </w:r>
      <w:r>
        <w:rPr>
          <w:rFonts w:ascii="宋体" w:hAnsi="宋体" w:cs="宋体" w:hint="eastAsia"/>
          <w:kern w:val="0"/>
          <w:sz w:val="27"/>
          <w:szCs w:val="27"/>
        </w:rPr>
        <w:t>。</w:t>
      </w:r>
      <w:r>
        <w:rPr>
          <w:rFonts w:ascii="宋体" w:hAnsi="宋体" w:cs="宋体" w:hint="eastAsia"/>
          <w:bCs/>
          <w:kern w:val="0"/>
          <w:sz w:val="27"/>
          <w:szCs w:val="27"/>
        </w:rPr>
        <w:t>届时请各供应商的响应代表携带响应文件及响应代表本人身份证明原件出席开标会，签到时间以递交响应文件及响应代表本人身份证明原件时间为准，</w:t>
      </w:r>
      <w:r>
        <w:rPr>
          <w:rFonts w:ascii="宋体" w:hAnsi="宋体" w:cs="宋体" w:hint="eastAsia"/>
          <w:kern w:val="0"/>
          <w:sz w:val="27"/>
          <w:szCs w:val="27"/>
        </w:rPr>
        <w:t>逾期</w:t>
      </w:r>
      <w:r>
        <w:rPr>
          <w:rFonts w:ascii="宋体" w:hAnsi="宋体" w:cs="宋体" w:hint="eastAsia"/>
          <w:bCs/>
          <w:kern w:val="0"/>
          <w:sz w:val="27"/>
          <w:szCs w:val="27"/>
        </w:rPr>
        <w:t>递交响应文件或</w:t>
      </w:r>
      <w:r>
        <w:rPr>
          <w:rFonts w:ascii="宋体" w:hAnsi="宋体" w:cs="宋体" w:hint="eastAsia"/>
          <w:kern w:val="0"/>
          <w:sz w:val="27"/>
          <w:szCs w:val="27"/>
        </w:rPr>
        <w:t>响应代表本人身份证明原件或递交的响应文件不符合规定将不予受理，作无效响应处理。</w:t>
      </w:r>
    </w:p>
    <w:p>
      <w:pPr>
        <w:spacing w:line="500" w:lineRule="exact"/>
        <w:rPr>
          <w:rFonts w:ascii="宋体" w:hAnsi="宋体" w:cs="宋体"/>
          <w:bCs/>
          <w:kern w:val="0"/>
          <w:sz w:val="27"/>
          <w:szCs w:val="27"/>
        </w:rPr>
      </w:pPr>
      <w:r>
        <w:rPr>
          <w:rFonts w:ascii="宋体" w:hAnsi="宋体" w:cs="宋体" w:hint="eastAsia"/>
          <w:bCs/>
          <w:kern w:val="0"/>
          <w:sz w:val="27"/>
          <w:szCs w:val="27"/>
        </w:rPr>
        <w:t>（八）联系方法：</w:t>
      </w:r>
    </w:p>
    <w:p>
      <w:pPr>
        <w:spacing w:line="500" w:lineRule="exact"/>
        <w:rPr>
          <w:rFonts w:ascii="宋体" w:hAnsi="宋体" w:cs="宋体"/>
          <w:kern w:val="0"/>
          <w:sz w:val="27"/>
          <w:szCs w:val="27"/>
        </w:rPr>
      </w:pPr>
      <w:r>
        <w:rPr>
          <w:rFonts w:ascii="宋体" w:hAnsi="宋体" w:cs="宋体" w:hint="eastAsia"/>
          <w:kern w:val="0"/>
          <w:sz w:val="27"/>
          <w:szCs w:val="27"/>
        </w:rPr>
        <w:t>采购人：江西广播电视台</w:t>
      </w:r>
    </w:p>
    <w:p>
      <w:pPr>
        <w:spacing w:line="500" w:lineRule="exact"/>
        <w:rPr>
          <w:rFonts w:ascii="宋体" w:hAnsi="宋体" w:cs="宋体"/>
          <w:kern w:val="0"/>
          <w:sz w:val="27"/>
          <w:szCs w:val="27"/>
        </w:rPr>
      </w:pPr>
      <w:r>
        <w:rPr>
          <w:rFonts w:ascii="宋体" w:hAnsi="宋体" w:hint="eastAsia"/>
          <w:sz w:val="27"/>
          <w:szCs w:val="27"/>
        </w:rPr>
        <w:t xml:space="preserve">地址：  </w:t>
      </w:r>
      <w:r>
        <w:rPr>
          <w:rFonts w:ascii="宋体" w:hAnsi="宋体" w:cs="宋体" w:hint="eastAsia"/>
          <w:kern w:val="0"/>
          <w:sz w:val="27"/>
          <w:szCs w:val="27"/>
        </w:rPr>
        <w:t>南昌市洪都中大道207号</w:t>
      </w:r>
    </w:p>
    <w:p>
      <w:pPr>
        <w:spacing w:line="500" w:lineRule="exact"/>
        <w:rPr>
          <w:rFonts w:ascii="宋体" w:hAnsi="宋体"/>
          <w:sz w:val="27"/>
          <w:szCs w:val="27"/>
        </w:rPr>
      </w:pPr>
      <w:r>
        <w:rPr>
          <w:rFonts w:ascii="宋体" w:hAnsi="宋体" w:hint="eastAsia"/>
          <w:sz w:val="27"/>
          <w:szCs w:val="27"/>
        </w:rPr>
        <w:t>联系人：欧阳先生</w:t>
      </w:r>
    </w:p>
    <w:p>
      <w:pPr>
        <w:spacing w:line="500" w:lineRule="exact"/>
        <w:rPr>
          <w:rFonts w:ascii="宋体" w:hAnsi="宋体"/>
          <w:sz w:val="27"/>
          <w:szCs w:val="27"/>
        </w:rPr>
      </w:pPr>
      <w:r>
        <w:rPr>
          <w:rFonts w:ascii="宋体" w:hAnsi="宋体" w:hint="eastAsia"/>
          <w:sz w:val="27"/>
          <w:szCs w:val="27"/>
        </w:rPr>
        <w:t xml:space="preserve">邮箱: </w:t>
      </w:r>
      <w:r>
        <w:rPr>
          <w:rFonts w:ascii="宋体" w:hAnsi="宋体"/>
          <w:sz w:val="27"/>
          <w:szCs w:val="27"/>
        </w:rPr>
        <w:t xml:space="preserve">  </w:t>
      </w:r>
      <w:r>
        <w:rPr>
          <w:rFonts w:ascii="宋体" w:hAnsi="宋体" w:hint="eastAsia"/>
          <w:sz w:val="27"/>
          <w:szCs w:val="27"/>
        </w:rPr>
        <w:t>9707310@qq.com</w:t>
      </w:r>
    </w:p>
    <w:p>
      <w:pPr>
        <w:widowControl/>
        <w:spacing w:line="500" w:lineRule="exact"/>
        <w:jc w:val="left"/>
        <w:rPr>
          <w:rFonts w:ascii="宋体" w:hAnsi="宋体"/>
          <w:sz w:val="27"/>
          <w:szCs w:val="27"/>
        </w:rPr>
        <w:sectPr>
          <w:footerReference w:type="default" r:id="rId11"/>
          <w:footerReference w:type="first" r:id="rId12"/>
          <w:type w:val="nextPage"/>
          <w:pgSz w:w="11906" w:h="16838"/>
          <w:pgMar w:top="1440" w:right="1080" w:bottom="1440" w:left="1080" w:header="851" w:footer="992" w:gutter="0"/>
          <w:pgNumType w:start="4"/>
          <w:cols w:num="1" w:space="720"/>
          <w:titlePg w:val="0"/>
          <w:docGrid w:linePitch="312" w:charSpace="0"/>
        </w:sectPr>
      </w:pPr>
    </w:p>
    <w:p>
      <w:pPr>
        <w:pStyle w:val="Heading2"/>
        <w:spacing w:line="240" w:lineRule="auto"/>
        <w:ind w:firstLine="0"/>
        <w:rPr>
          <w:kern w:val="0"/>
        </w:rPr>
      </w:pPr>
      <w:bookmarkStart w:id="6" w:name="_Toc414959373"/>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rPr>
          <w:kern w:val="0"/>
        </w:rPr>
      </w:pPr>
    </w:p>
    <w:p>
      <w:pPr>
        <w:pStyle w:val="Heading2"/>
        <w:spacing w:line="240" w:lineRule="auto"/>
        <w:ind w:firstLine="0"/>
        <w:jc w:val="both"/>
        <w:rPr>
          <w:rFonts w:ascii="Calibri" w:eastAsia="宋体" w:hAnsi="Calibri"/>
          <w:b w:val="0"/>
          <w:bCs w:val="0"/>
          <w:kern w:val="0"/>
          <w:sz w:val="21"/>
          <w:szCs w:val="24"/>
        </w:rPr>
      </w:pPr>
    </w:p>
    <w:p>
      <w:pPr>
        <w:sectPr>
          <w:footerReference w:type="default" r:id="rId13"/>
          <w:footerReference w:type="first" r:id="rId14"/>
          <w:type w:val="nextPage"/>
          <w:pgSz w:w="11906" w:h="16838"/>
          <w:pgMar w:top="1440" w:right="1080" w:bottom="1440" w:left="1080" w:header="851" w:footer="992" w:gutter="0"/>
          <w:pgNumType w:start="5"/>
          <w:cols w:num="1" w:space="720"/>
          <w:titlePg w:val="0"/>
          <w:docGrid w:linePitch="312" w:charSpace="0"/>
        </w:sectPr>
      </w:pPr>
    </w:p>
    <w:p>
      <w:pPr>
        <w:pStyle w:val="Heading2"/>
        <w:spacing w:line="240" w:lineRule="auto"/>
        <w:ind w:firstLine="0"/>
        <w:rPr>
          <w:kern w:val="0"/>
        </w:rPr>
      </w:pPr>
      <w:bookmarkStart w:id="7" w:name="_Toc54871719"/>
      <w:r>
        <w:rPr>
          <w:kern w:val="0"/>
        </w:rPr>
        <w:t>二、谈判须知</w:t>
      </w:r>
      <w:bookmarkEnd w:id="6"/>
      <w:bookmarkEnd w:id="7"/>
      <w:bookmarkStart w:id="8" w:name="_Toc519068566"/>
      <w:bookmarkEnd w:id="8"/>
    </w:p>
    <w:p>
      <w:pPr>
        <w:pStyle w:val="Heading2"/>
        <w:spacing w:line="240" w:lineRule="auto"/>
        <w:ind w:firstLine="0"/>
        <w:rPr>
          <w:kern w:val="0"/>
        </w:rPr>
      </w:pPr>
      <w:bookmarkStart w:id="9" w:name="_Toc54871720"/>
      <w:bookmarkStart w:id="10" w:name="_Toc414959374"/>
      <w:r>
        <w:rPr>
          <w:kern w:val="0"/>
        </w:rPr>
        <w:t>（一）总  则</w:t>
      </w:r>
      <w:bookmarkEnd w:id="9"/>
      <w:bookmarkEnd w:id="10"/>
    </w:p>
    <w:p>
      <w:pPr>
        <w:widowControl/>
        <w:spacing w:line="500" w:lineRule="exact"/>
        <w:jc w:val="left"/>
        <w:rPr>
          <w:rFonts w:ascii="宋体" w:hAnsi="宋体" w:cs="宋体"/>
          <w:b/>
          <w:kern w:val="0"/>
          <w:sz w:val="24"/>
        </w:rPr>
      </w:pPr>
      <w:r>
        <w:rPr>
          <w:rFonts w:ascii="宋体" w:hAnsi="宋体" w:cs="宋体"/>
          <w:b/>
          <w:kern w:val="0"/>
          <w:sz w:val="27"/>
          <w:szCs w:val="27"/>
        </w:rPr>
        <w:t>1、</w:t>
      </w:r>
      <w:r>
        <w:rPr>
          <w:rFonts w:ascii="宋体" w:hAnsi="宋体" w:cs="宋体" w:hint="eastAsia"/>
          <w:b/>
          <w:kern w:val="0"/>
          <w:sz w:val="27"/>
          <w:szCs w:val="27"/>
        </w:rPr>
        <w:t>适用范围</w:t>
      </w:r>
    </w:p>
    <w:p>
      <w:pPr>
        <w:widowControl/>
        <w:spacing w:line="500" w:lineRule="exact"/>
        <w:ind w:firstLine="270" w:firstLineChars="100"/>
        <w:jc w:val="left"/>
        <w:rPr>
          <w:rFonts w:ascii="宋体" w:hAnsi="宋体" w:cs="宋体"/>
          <w:kern w:val="0"/>
          <w:sz w:val="24"/>
        </w:rPr>
      </w:pPr>
      <w:r>
        <w:rPr>
          <w:rFonts w:ascii="宋体" w:hAnsi="宋体" w:hint="eastAsia"/>
          <w:sz w:val="27"/>
          <w:szCs w:val="27"/>
        </w:rPr>
        <w:t>本谈判文件适用于本响应邀请中所述项目的产品及相关服务的采购。</w:t>
      </w:r>
    </w:p>
    <w:p>
      <w:pPr>
        <w:widowControl/>
        <w:spacing w:line="500" w:lineRule="exact"/>
        <w:jc w:val="left"/>
        <w:rPr>
          <w:rFonts w:ascii="宋体" w:hAnsi="宋体" w:cs="宋体"/>
          <w:b/>
          <w:kern w:val="0"/>
          <w:sz w:val="24"/>
        </w:rPr>
      </w:pPr>
      <w:r>
        <w:rPr>
          <w:rFonts w:ascii="宋体" w:hAnsi="宋体" w:cs="宋体"/>
          <w:b/>
          <w:kern w:val="0"/>
          <w:sz w:val="27"/>
          <w:szCs w:val="27"/>
        </w:rPr>
        <w:t>2、定义</w:t>
      </w:r>
    </w:p>
    <w:p>
      <w:pPr>
        <w:widowControl/>
        <w:spacing w:line="500" w:lineRule="exact"/>
        <w:ind w:left="135"/>
        <w:jc w:val="left"/>
        <w:rPr>
          <w:rFonts w:ascii="宋体" w:hAnsi="宋体" w:cs="宋体"/>
          <w:kern w:val="0"/>
          <w:sz w:val="27"/>
          <w:szCs w:val="27"/>
        </w:rPr>
      </w:pPr>
      <w:r>
        <w:rPr>
          <w:rFonts w:ascii="宋体" w:hAnsi="宋体" w:cs="宋体"/>
          <w:kern w:val="0"/>
          <w:sz w:val="27"/>
          <w:szCs w:val="27"/>
        </w:rPr>
        <w:t>2.1</w:t>
      </w:r>
      <w:r>
        <w:rPr>
          <w:rFonts w:ascii="宋体" w:hAnsi="宋体" w:hint="eastAsia"/>
          <w:sz w:val="27"/>
          <w:szCs w:val="27"/>
        </w:rPr>
        <w:t>“采购人”系指本次采购项目的采购单位，即</w:t>
      </w:r>
      <w:r>
        <w:rPr>
          <w:rFonts w:ascii="宋体" w:hAnsi="宋体" w:cs="宋体" w:hint="eastAsia"/>
          <w:kern w:val="0"/>
          <w:sz w:val="27"/>
          <w:szCs w:val="27"/>
        </w:rPr>
        <w:t>江西广播电视台</w:t>
      </w:r>
      <w:r>
        <w:rPr>
          <w:rFonts w:ascii="宋体" w:hAnsi="宋体" w:cs="宋体"/>
          <w:kern w:val="0"/>
          <w:sz w:val="27"/>
          <w:szCs w:val="27"/>
        </w:rPr>
        <w:t>。</w:t>
      </w:r>
    </w:p>
    <w:p>
      <w:pPr>
        <w:widowControl/>
        <w:spacing w:line="500" w:lineRule="exact"/>
        <w:ind w:left="135"/>
        <w:jc w:val="left"/>
        <w:rPr>
          <w:rFonts w:ascii="宋体" w:hAnsi="宋体" w:cs="宋体"/>
          <w:kern w:val="0"/>
          <w:sz w:val="24"/>
          <w:highlight w:val="cyan"/>
        </w:rPr>
      </w:pPr>
      <w:r>
        <w:rPr>
          <w:rFonts w:ascii="宋体" w:hAnsi="宋体" w:cs="宋体"/>
          <w:kern w:val="0"/>
          <w:sz w:val="27"/>
          <w:szCs w:val="27"/>
        </w:rPr>
        <w:t>2.2“</w:t>
      </w:r>
      <w:r>
        <w:rPr>
          <w:rFonts w:ascii="宋体" w:hAnsi="宋体" w:cs="宋体" w:hint="eastAsia"/>
          <w:kern w:val="0"/>
          <w:sz w:val="27"/>
          <w:szCs w:val="27"/>
        </w:rPr>
        <w:t>供应商</w:t>
      </w:r>
      <w:r>
        <w:rPr>
          <w:rFonts w:ascii="宋体" w:hAnsi="宋体" w:cs="宋体"/>
          <w:kern w:val="0"/>
          <w:sz w:val="27"/>
          <w:szCs w:val="27"/>
        </w:rPr>
        <w:t>”系指</w:t>
      </w:r>
      <w:r>
        <w:rPr>
          <w:rFonts w:ascii="宋体" w:hAnsi="宋体" w:cs="宋体" w:hint="eastAsia"/>
          <w:kern w:val="0"/>
          <w:sz w:val="27"/>
          <w:szCs w:val="27"/>
        </w:rPr>
        <w:t>向采购人提供“第一章 谈判邀请”中采购内容的法人、其它组织或者自然人</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2.3“公章”系指供应商的行政章，不接受加盖其他印鉴（如合同专用章、专用章、有序号的章等印鉴）的响应文件。</w:t>
      </w:r>
    </w:p>
    <w:p>
      <w:pPr>
        <w:spacing w:line="500" w:lineRule="exact"/>
        <w:ind w:left="141"/>
        <w:rPr>
          <w:rFonts w:ascii="宋体" w:hAnsi="宋体"/>
          <w:sz w:val="27"/>
          <w:szCs w:val="27"/>
        </w:rPr>
      </w:pPr>
      <w:r>
        <w:rPr>
          <w:rFonts w:ascii="宋体" w:hAnsi="宋体" w:hint="eastAsia"/>
          <w:sz w:val="27"/>
          <w:szCs w:val="27"/>
        </w:rPr>
        <w:t>2.4本文件中所称的“以上”、“以下”、“内”、“以内”，包括本数；所称的“不足”，不包括本数。</w:t>
      </w:r>
    </w:p>
    <w:p>
      <w:pPr>
        <w:widowControl/>
        <w:spacing w:line="500" w:lineRule="exact"/>
        <w:jc w:val="left"/>
        <w:rPr>
          <w:rFonts w:ascii="宋体" w:hAnsi="宋体" w:cs="宋体"/>
          <w:b/>
          <w:kern w:val="0"/>
          <w:sz w:val="24"/>
        </w:rPr>
      </w:pPr>
      <w:r>
        <w:rPr>
          <w:rFonts w:ascii="宋体" w:hAnsi="宋体" w:cs="宋体"/>
          <w:b/>
          <w:kern w:val="0"/>
          <w:sz w:val="27"/>
          <w:szCs w:val="27"/>
        </w:rPr>
        <w:t>3、响应费用</w:t>
      </w:r>
    </w:p>
    <w:p>
      <w:pPr>
        <w:spacing w:line="500" w:lineRule="exact"/>
        <w:ind w:firstLine="135" w:firstLineChars="50"/>
        <w:rPr>
          <w:rFonts w:ascii="宋体" w:hAnsi="宋体" w:cs="宋体"/>
          <w:kern w:val="0"/>
          <w:sz w:val="27"/>
          <w:szCs w:val="27"/>
        </w:rPr>
      </w:pPr>
      <w:r>
        <w:rPr>
          <w:rFonts w:ascii="宋体" w:hAnsi="宋体" w:cs="宋体" w:hint="eastAsia"/>
          <w:kern w:val="0"/>
          <w:sz w:val="27"/>
          <w:szCs w:val="27"/>
        </w:rPr>
        <w:t>3.1本次采购无响应费用</w:t>
      </w:r>
      <w:r>
        <w:rPr>
          <w:rFonts w:ascii="宋体" w:hAnsi="宋体" w:cs="宋体"/>
          <w:kern w:val="0"/>
          <w:sz w:val="27"/>
          <w:szCs w:val="27"/>
        </w:rPr>
        <w:t>。</w:t>
      </w:r>
      <w:bookmarkStart w:id="11" w:name="_Toc519068567"/>
      <w:bookmarkEnd w:id="11"/>
    </w:p>
    <w:p>
      <w:pPr>
        <w:widowControl/>
        <w:spacing w:line="500" w:lineRule="exact"/>
        <w:jc w:val="left"/>
        <w:rPr>
          <w:rFonts w:ascii="宋体" w:hAnsi="宋体" w:cs="宋体"/>
          <w:b/>
          <w:bCs/>
          <w:kern w:val="0"/>
          <w:sz w:val="27"/>
          <w:szCs w:val="27"/>
        </w:rPr>
      </w:pPr>
      <w:bookmarkStart w:id="12" w:name="_Toc414959375"/>
      <w:r>
        <w:rPr>
          <w:rFonts w:ascii="宋体" w:hAnsi="宋体" w:cs="宋体"/>
          <w:b/>
          <w:bCs/>
          <w:kern w:val="0"/>
          <w:sz w:val="27"/>
          <w:szCs w:val="27"/>
        </w:rPr>
        <w:t>4、合格的</w:t>
      </w:r>
      <w:r>
        <w:rPr>
          <w:rFonts w:ascii="宋体" w:hAnsi="宋体" w:cs="宋体" w:hint="eastAsia"/>
          <w:b/>
          <w:bCs/>
          <w:kern w:val="0"/>
          <w:sz w:val="27"/>
          <w:szCs w:val="27"/>
        </w:rPr>
        <w:t>供应商</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4.1凡有能力提供本</w:t>
      </w:r>
      <w:r>
        <w:rPr>
          <w:rFonts w:ascii="宋体" w:hAnsi="宋体" w:cs="宋体" w:hint="eastAsia"/>
          <w:kern w:val="0"/>
          <w:sz w:val="27"/>
          <w:szCs w:val="27"/>
        </w:rPr>
        <w:t>谈判文件</w:t>
      </w:r>
      <w:r>
        <w:rPr>
          <w:rFonts w:ascii="宋体" w:hAnsi="宋体" w:cs="宋体"/>
          <w:kern w:val="0"/>
          <w:sz w:val="27"/>
          <w:szCs w:val="27"/>
        </w:rPr>
        <w:t>所述</w:t>
      </w:r>
      <w:r>
        <w:rPr>
          <w:rFonts w:ascii="宋体" w:hAnsi="宋体" w:cs="宋体" w:hint="eastAsia"/>
          <w:kern w:val="0"/>
          <w:sz w:val="27"/>
          <w:szCs w:val="27"/>
        </w:rPr>
        <w:t>产品</w:t>
      </w:r>
      <w:r>
        <w:rPr>
          <w:rFonts w:ascii="宋体" w:hAnsi="宋体" w:cs="宋体"/>
          <w:kern w:val="0"/>
          <w:sz w:val="27"/>
          <w:szCs w:val="27"/>
        </w:rPr>
        <w:t>及服务的，符合本</w:t>
      </w:r>
      <w:r>
        <w:rPr>
          <w:rFonts w:ascii="宋体" w:hAnsi="宋体" w:cs="宋体" w:hint="eastAsia"/>
          <w:kern w:val="0"/>
          <w:sz w:val="27"/>
          <w:szCs w:val="27"/>
        </w:rPr>
        <w:t>谈判文件</w:t>
      </w:r>
      <w:r>
        <w:rPr>
          <w:rFonts w:ascii="宋体" w:hAnsi="宋体" w:cs="宋体"/>
          <w:kern w:val="0"/>
          <w:sz w:val="27"/>
          <w:szCs w:val="27"/>
        </w:rPr>
        <w:t>规定资格要求的</w:t>
      </w:r>
      <w:r>
        <w:rPr>
          <w:rFonts w:ascii="宋体" w:hAnsi="宋体" w:cs="宋体" w:hint="eastAsia"/>
          <w:kern w:val="0"/>
          <w:sz w:val="27"/>
          <w:szCs w:val="27"/>
        </w:rPr>
        <w:t>国</w:t>
      </w:r>
      <w:r>
        <w:rPr>
          <w:rFonts w:ascii="宋体" w:hAnsi="宋体" w:cs="宋体"/>
          <w:kern w:val="0"/>
          <w:sz w:val="27"/>
          <w:szCs w:val="27"/>
        </w:rPr>
        <w:t>内供货商可能成为合格的</w:t>
      </w:r>
      <w:r>
        <w:rPr>
          <w:rFonts w:ascii="宋体" w:hAnsi="宋体" w:cs="宋体" w:hint="eastAsia"/>
          <w:kern w:val="0"/>
          <w:sz w:val="27"/>
          <w:szCs w:val="27"/>
        </w:rPr>
        <w:t>供应商</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4.2</w:t>
      </w:r>
      <w:r>
        <w:rPr>
          <w:rFonts w:ascii="宋体" w:hAnsi="宋体" w:cs="宋体" w:hint="eastAsia"/>
          <w:kern w:val="0"/>
          <w:sz w:val="27"/>
          <w:szCs w:val="27"/>
        </w:rPr>
        <w:t>供应商</w:t>
      </w:r>
      <w:r>
        <w:rPr>
          <w:rFonts w:ascii="宋体" w:hAnsi="宋体" w:cs="宋体"/>
          <w:kern w:val="0"/>
          <w:sz w:val="27"/>
          <w:szCs w:val="27"/>
        </w:rPr>
        <w:t>应遵守中国的有关法律、法规和规章的规定。</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4.3一个</w:t>
      </w:r>
      <w:r>
        <w:rPr>
          <w:rFonts w:ascii="宋体" w:hAnsi="宋体" w:cs="宋体" w:hint="eastAsia"/>
          <w:kern w:val="0"/>
          <w:sz w:val="27"/>
          <w:szCs w:val="27"/>
        </w:rPr>
        <w:t>供应商（每品目）</w:t>
      </w:r>
      <w:r>
        <w:rPr>
          <w:rFonts w:ascii="宋体" w:hAnsi="宋体" w:cs="宋体"/>
          <w:kern w:val="0"/>
          <w:sz w:val="27"/>
          <w:szCs w:val="27"/>
        </w:rPr>
        <w:t>只能提交一个</w:t>
      </w:r>
      <w:r>
        <w:rPr>
          <w:rFonts w:ascii="宋体" w:hAnsi="宋体" w:cs="宋体" w:hint="eastAsia"/>
          <w:kern w:val="0"/>
          <w:sz w:val="27"/>
          <w:szCs w:val="27"/>
        </w:rPr>
        <w:t>谈判响应</w:t>
      </w:r>
      <w:r>
        <w:rPr>
          <w:rFonts w:ascii="宋体" w:hAnsi="宋体" w:cs="宋体"/>
          <w:kern w:val="0"/>
          <w:sz w:val="27"/>
          <w:szCs w:val="27"/>
        </w:rPr>
        <w:t>文件。如果</w:t>
      </w:r>
      <w:r>
        <w:rPr>
          <w:rFonts w:ascii="宋体" w:hAnsi="宋体" w:cs="宋体" w:hint="eastAsia"/>
          <w:kern w:val="0"/>
          <w:sz w:val="27"/>
          <w:szCs w:val="27"/>
        </w:rPr>
        <w:t>供应商</w:t>
      </w:r>
      <w:r>
        <w:rPr>
          <w:rFonts w:ascii="宋体" w:hAnsi="宋体" w:cs="宋体"/>
          <w:kern w:val="0"/>
          <w:sz w:val="27"/>
          <w:szCs w:val="27"/>
        </w:rPr>
        <w:t>之间存在下列互为关联关系的情形之一的，不得同时参加本项目</w:t>
      </w:r>
      <w:r>
        <w:rPr>
          <w:rFonts w:ascii="宋体" w:hAnsi="宋体" w:cs="宋体" w:hint="eastAsia"/>
          <w:kern w:val="0"/>
          <w:sz w:val="27"/>
          <w:szCs w:val="27"/>
        </w:rPr>
        <w:t>响应；</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4.3</w:t>
      </w:r>
      <w:r>
        <w:rPr>
          <w:rFonts w:ascii="宋体" w:hAnsi="宋体" w:cs="宋体" w:hint="eastAsia"/>
          <w:kern w:val="0"/>
          <w:sz w:val="27"/>
          <w:szCs w:val="27"/>
        </w:rPr>
        <w:t>.</w:t>
      </w:r>
      <w:r>
        <w:rPr>
          <w:rFonts w:ascii="宋体" w:hAnsi="宋体" w:cs="宋体"/>
          <w:kern w:val="0"/>
          <w:sz w:val="27"/>
          <w:szCs w:val="27"/>
        </w:rPr>
        <w:t>1法定代表人为同一人的两个及两个以上法人；</w:t>
      </w:r>
    </w:p>
    <w:p>
      <w:pPr>
        <w:widowControl/>
        <w:spacing w:line="500" w:lineRule="exact"/>
        <w:ind w:firstLine="135" w:firstLineChars="50"/>
        <w:jc w:val="left"/>
        <w:rPr>
          <w:rFonts w:ascii="宋体" w:hAnsi="宋体" w:cs="宋体"/>
          <w:kern w:val="0"/>
          <w:sz w:val="27"/>
          <w:szCs w:val="27"/>
        </w:rPr>
        <w:sectPr>
          <w:footerReference w:type="default" r:id="rId15"/>
          <w:footerReference w:type="first" r:id="rId16"/>
          <w:type w:val="nextPage"/>
          <w:pgSz w:w="11906" w:h="16838"/>
          <w:pgMar w:top="1440" w:right="1080" w:bottom="1440" w:left="1080" w:header="851" w:footer="992" w:gutter="0"/>
          <w:pgNumType w:start="6"/>
          <w:cols w:num="1" w:space="720"/>
          <w:titlePg w:val="0"/>
          <w:docGrid w:linePitch="312" w:charSpace="0"/>
        </w:sectPr>
      </w:pPr>
      <w:r>
        <w:rPr>
          <w:rFonts w:ascii="宋体" w:hAnsi="宋体" w:cs="宋体"/>
          <w:kern w:val="0"/>
          <w:sz w:val="27"/>
          <w:szCs w:val="27"/>
        </w:rPr>
        <w:t>4.3</w:t>
      </w:r>
      <w:r>
        <w:rPr>
          <w:rFonts w:ascii="宋体" w:hAnsi="宋体" w:cs="宋体" w:hint="eastAsia"/>
          <w:kern w:val="0"/>
          <w:sz w:val="27"/>
          <w:szCs w:val="27"/>
        </w:rPr>
        <w:t>.</w:t>
      </w:r>
      <w:r>
        <w:rPr>
          <w:rFonts w:ascii="宋体" w:hAnsi="宋体" w:cs="宋体"/>
          <w:kern w:val="0"/>
          <w:sz w:val="27"/>
          <w:szCs w:val="27"/>
        </w:rPr>
        <w:t>2</w:t>
      </w:r>
      <w:r>
        <w:rPr>
          <w:rFonts w:ascii="宋体" w:hAnsi="宋体" w:cs="宋体" w:hint="eastAsia"/>
          <w:kern w:val="0"/>
          <w:sz w:val="27"/>
          <w:szCs w:val="27"/>
        </w:rPr>
        <w:t>供应商相互之间存在直接控股、管理关系的。</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4.4</w:t>
      </w:r>
      <w:r>
        <w:rPr>
          <w:rFonts w:ascii="宋体" w:hAnsi="宋体" w:cs="宋体" w:hint="eastAsia"/>
          <w:kern w:val="0"/>
          <w:sz w:val="27"/>
          <w:szCs w:val="27"/>
        </w:rPr>
        <w:t>为本采购项目提供整体设计、规范编制或者项目管理、监理、检测等服务的供应商不得参加本项目</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4.5响应</w:t>
      </w:r>
      <w:r>
        <w:rPr>
          <w:rFonts w:ascii="宋体" w:hAnsi="宋体" w:cs="宋体"/>
          <w:kern w:val="0"/>
          <w:sz w:val="27"/>
          <w:szCs w:val="27"/>
        </w:rPr>
        <w:t>代理人在同一个项目只能接受一个</w:t>
      </w:r>
      <w:r>
        <w:rPr>
          <w:rFonts w:ascii="宋体" w:hAnsi="宋体" w:cs="宋体" w:hint="eastAsia"/>
          <w:kern w:val="0"/>
          <w:sz w:val="27"/>
          <w:szCs w:val="27"/>
        </w:rPr>
        <w:t>供应商</w:t>
      </w:r>
      <w:r>
        <w:rPr>
          <w:rFonts w:ascii="宋体" w:hAnsi="宋体" w:cs="宋体"/>
          <w:kern w:val="0"/>
          <w:sz w:val="27"/>
          <w:szCs w:val="27"/>
        </w:rPr>
        <w:t>的委托参加</w:t>
      </w:r>
      <w:r>
        <w:rPr>
          <w:rFonts w:ascii="宋体" w:hAnsi="宋体" w:cs="宋体" w:hint="eastAsia"/>
          <w:kern w:val="0"/>
          <w:sz w:val="27"/>
          <w:szCs w:val="27"/>
        </w:rPr>
        <w:t>响应</w:t>
      </w:r>
      <w:r>
        <w:rPr>
          <w:rFonts w:ascii="宋体" w:hAnsi="宋体" w:cs="宋体"/>
          <w:kern w:val="0"/>
          <w:sz w:val="27"/>
          <w:szCs w:val="27"/>
        </w:rPr>
        <w:t>。</w:t>
      </w:r>
    </w:p>
    <w:p>
      <w:pPr>
        <w:widowControl/>
        <w:spacing w:line="500" w:lineRule="exact"/>
        <w:ind w:firstLine="135" w:firstLineChars="50"/>
        <w:jc w:val="left"/>
        <w:rPr>
          <w:rFonts w:ascii="宋体" w:hAnsi="宋体" w:cs="宋体"/>
          <w:b/>
          <w:bCs/>
          <w:kern w:val="0"/>
          <w:sz w:val="27"/>
          <w:szCs w:val="27"/>
        </w:rPr>
      </w:pPr>
      <w:r>
        <w:rPr>
          <w:rFonts w:ascii="宋体" w:hAnsi="宋体" w:cs="宋体" w:hint="eastAsia"/>
          <w:b/>
          <w:bCs/>
          <w:kern w:val="0"/>
          <w:sz w:val="27"/>
          <w:szCs w:val="27"/>
        </w:rPr>
        <w:t>5、供应商信用记录</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5.1 本次采购将通过信用中国网站（www.creditchina.gov.cn）、中国政府采购网（www.ccgp.gov.cn）对所有参加本项目的供应商进行信用记录查询。</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5.2 查询的截止时间点响应截止时间。</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5.3供应商被“信用中国”网站列入失信被执行人和重大税收违法案件当事人名单的、被“中国政府采购网”网站列入政府采购严重违法失信行为记录名单（处罚期限尚未届满的）及其他不符合《中华人民共和国政府采购法》第二十二条规定的供应商，不得参与本项目的政府采购活动。</w:t>
      </w:r>
    </w:p>
    <w:p>
      <w:pPr>
        <w:widowControl/>
        <w:spacing w:line="500" w:lineRule="exact"/>
        <w:ind w:firstLine="135" w:firstLineChars="50"/>
        <w:jc w:val="left"/>
        <w:rPr>
          <w:rFonts w:ascii="宋体" w:hAnsi="宋体" w:cs="宋体"/>
          <w:kern w:val="0"/>
          <w:sz w:val="27"/>
          <w:szCs w:val="27"/>
          <w:highlight w:val="cyan"/>
        </w:rPr>
      </w:pPr>
      <w:r>
        <w:rPr>
          <w:rFonts w:ascii="宋体" w:hAnsi="宋体" w:cs="宋体" w:hint="eastAsia"/>
          <w:kern w:val="0"/>
          <w:sz w:val="27"/>
          <w:szCs w:val="27"/>
        </w:rPr>
        <w:t>5.4联合体响应的，联合体成员存在以上不良信用记录的，视同联合体存在不良信用记录。</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5.5 供应商的信用信息查询记录将提交给谈判小组审核，同时报采购人存档。</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5.6 采购人将妥善保管供应商的信用信息，仅适用于本项目，不会用于本项目与响应无关的其他事项。</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5.7 供应商不良信用记录以采购人查询结果为准，采购人查询之后，网站信息发生的任何变更均不再作为评审依据，供应商自行提供的与网站信息不一致的其他证明材料亦不作为评审依据。</w:t>
      </w:r>
    </w:p>
    <w:p>
      <w:pPr>
        <w:widowControl/>
        <w:spacing w:line="500" w:lineRule="exact"/>
        <w:jc w:val="left"/>
        <w:rPr>
          <w:rFonts w:ascii="宋体" w:hAnsi="宋体"/>
          <w:b/>
          <w:bCs/>
          <w:sz w:val="27"/>
          <w:szCs w:val="27"/>
        </w:rPr>
      </w:pPr>
      <w:r>
        <w:rPr>
          <w:rFonts w:ascii="宋体" w:hAnsi="宋体" w:hint="eastAsia"/>
          <w:b/>
          <w:bCs/>
          <w:sz w:val="27"/>
          <w:szCs w:val="27"/>
        </w:rPr>
        <w:t>6</w:t>
      </w:r>
      <w:r>
        <w:rPr>
          <w:rFonts w:ascii="宋体" w:hAnsi="宋体" w:cs="宋体" w:hint="eastAsia"/>
          <w:b/>
          <w:bCs/>
          <w:kern w:val="0"/>
          <w:sz w:val="27"/>
          <w:szCs w:val="27"/>
        </w:rPr>
        <w:t>、</w:t>
      </w:r>
      <w:r>
        <w:rPr>
          <w:rFonts w:ascii="宋体" w:hAnsi="宋体" w:hint="eastAsia"/>
          <w:b/>
          <w:bCs/>
          <w:sz w:val="27"/>
          <w:szCs w:val="27"/>
        </w:rPr>
        <w:t>分包的规定</w:t>
      </w:r>
    </w:p>
    <w:p>
      <w:pPr>
        <w:widowControl/>
        <w:spacing w:line="500" w:lineRule="exact"/>
        <w:ind w:firstLine="135" w:firstLineChars="50"/>
        <w:jc w:val="left"/>
        <w:rPr>
          <w:rFonts w:ascii="宋体" w:hAnsi="宋体"/>
          <w:sz w:val="27"/>
          <w:szCs w:val="27"/>
        </w:rPr>
      </w:pPr>
      <w:r>
        <w:rPr>
          <w:rFonts w:ascii="宋体" w:hAnsi="宋体" w:hint="eastAsia"/>
          <w:sz w:val="27"/>
          <w:szCs w:val="27"/>
        </w:rPr>
        <w:t>6.1 本项目是否允许分包：</w:t>
      </w:r>
      <w:r>
        <w:rPr>
          <w:rFonts w:ascii="宋体" w:hAnsi="宋体" w:hint="eastAsia"/>
          <w:b/>
          <w:bCs/>
          <w:sz w:val="27"/>
          <w:szCs w:val="27"/>
          <w:u w:val="single"/>
        </w:rPr>
        <w:t>不允许</w:t>
      </w:r>
      <w:r>
        <w:rPr>
          <w:rFonts w:ascii="宋体" w:hAnsi="宋体" w:hint="eastAsia"/>
          <w:sz w:val="27"/>
          <w:szCs w:val="27"/>
        </w:rPr>
        <w:t xml:space="preserve">。  </w:t>
      </w:r>
    </w:p>
    <w:p>
      <w:pPr>
        <w:widowControl/>
        <w:spacing w:line="500" w:lineRule="exact"/>
        <w:ind w:firstLine="135" w:firstLineChars="50"/>
        <w:jc w:val="left"/>
        <w:rPr>
          <w:rFonts w:ascii="宋体" w:hAnsi="宋体"/>
          <w:sz w:val="27"/>
          <w:szCs w:val="27"/>
        </w:rPr>
        <w:sectPr>
          <w:footerReference w:type="default" r:id="rId17"/>
          <w:footerReference w:type="first" r:id="rId18"/>
          <w:type w:val="nextPage"/>
          <w:pgSz w:w="11906" w:h="16838"/>
          <w:pgMar w:top="1440" w:right="1080" w:bottom="1440" w:left="1080" w:header="851" w:footer="992" w:gutter="0"/>
          <w:pgNumType w:start="7"/>
          <w:cols w:num="1" w:space="720"/>
          <w:titlePg w:val="0"/>
          <w:docGrid w:linePitch="312" w:charSpace="0"/>
        </w:sectPr>
      </w:pPr>
      <w:r>
        <w:rPr>
          <w:rFonts w:ascii="宋体" w:hAnsi="宋体" w:hint="eastAsia"/>
          <w:sz w:val="27"/>
          <w:szCs w:val="27"/>
        </w:rPr>
        <w:t>6.2 在成交后将成交项目的非主体、非关键性工作分包的，应当在响应文件中载明分包承担主体，分包承担主体应当具备相应资质条件且不得再次分包（仅适用于允许分包）。</w:t>
      </w:r>
    </w:p>
    <w:p>
      <w:pPr>
        <w:widowControl/>
        <w:spacing w:line="500" w:lineRule="exact"/>
        <w:jc w:val="left"/>
        <w:rPr>
          <w:rFonts w:ascii="宋体" w:hAnsi="宋体"/>
          <w:b/>
          <w:bCs/>
          <w:sz w:val="27"/>
          <w:szCs w:val="27"/>
        </w:rPr>
      </w:pPr>
      <w:r>
        <w:rPr>
          <w:rFonts w:ascii="宋体" w:hAnsi="宋体" w:hint="eastAsia"/>
          <w:b/>
          <w:bCs/>
          <w:sz w:val="27"/>
          <w:szCs w:val="27"/>
        </w:rPr>
        <w:t>7</w:t>
      </w:r>
      <w:r>
        <w:rPr>
          <w:rFonts w:ascii="宋体" w:hAnsi="宋体" w:cs="宋体" w:hint="eastAsia"/>
          <w:b/>
          <w:bCs/>
          <w:kern w:val="0"/>
          <w:sz w:val="27"/>
          <w:szCs w:val="27"/>
        </w:rPr>
        <w:t>、</w:t>
      </w:r>
      <w:r>
        <w:rPr>
          <w:rFonts w:ascii="宋体" w:hAnsi="宋体" w:hint="eastAsia"/>
          <w:b/>
          <w:bCs/>
          <w:sz w:val="27"/>
          <w:szCs w:val="27"/>
        </w:rPr>
        <w:t>恶意串通等行为的处理及串通响应情形的认定</w:t>
      </w:r>
    </w:p>
    <w:p>
      <w:pPr>
        <w:widowControl/>
        <w:spacing w:line="500" w:lineRule="exact"/>
        <w:ind w:firstLine="135" w:firstLineChars="50"/>
        <w:jc w:val="left"/>
        <w:rPr>
          <w:rFonts w:ascii="宋体" w:hAnsi="宋体"/>
          <w:sz w:val="27"/>
          <w:szCs w:val="27"/>
        </w:rPr>
      </w:pPr>
      <w:r>
        <w:rPr>
          <w:rFonts w:ascii="宋体" w:hAnsi="宋体" w:hint="eastAsia"/>
          <w:sz w:val="27"/>
          <w:szCs w:val="27"/>
        </w:rPr>
        <w:t>7.1 供应商应当遵循公平竞争的原则，不得恶意串通，不得妨碍其他供应商的竞争行为，不得损害采购人或者其他供应商的合法权益。在评审过程中发现供应商有上述情形的，谈判小组应当认定其响应无效，并书面报告相关部门。</w:t>
      </w:r>
    </w:p>
    <w:p>
      <w:pPr>
        <w:widowControl/>
        <w:spacing w:line="500" w:lineRule="exact"/>
        <w:ind w:firstLine="135" w:firstLineChars="50"/>
        <w:jc w:val="left"/>
        <w:rPr>
          <w:rFonts w:ascii="宋体" w:hAnsi="宋体"/>
          <w:sz w:val="27"/>
          <w:szCs w:val="27"/>
        </w:rPr>
      </w:pPr>
      <w:r>
        <w:rPr>
          <w:rFonts w:ascii="宋体" w:hAnsi="宋体" w:hint="eastAsia"/>
          <w:sz w:val="27"/>
          <w:szCs w:val="27"/>
        </w:rPr>
        <w:t>7.2 有下列情形之一的，视为供应商串通响应，其响应无效：</w:t>
      </w:r>
    </w:p>
    <w:p>
      <w:pPr>
        <w:widowControl/>
        <w:spacing w:line="500" w:lineRule="exact"/>
        <w:ind w:firstLine="135" w:firstLineChars="50"/>
        <w:jc w:val="left"/>
        <w:rPr>
          <w:rFonts w:ascii="宋体" w:hAnsi="宋体"/>
          <w:sz w:val="27"/>
          <w:szCs w:val="27"/>
        </w:rPr>
      </w:pPr>
      <w:r>
        <w:rPr>
          <w:rFonts w:ascii="宋体" w:hAnsi="宋体" w:hint="eastAsia"/>
          <w:sz w:val="27"/>
          <w:szCs w:val="27"/>
        </w:rPr>
        <w:t>（1）不同供应商的响应文件由同一单位或者个人编制；</w:t>
      </w:r>
    </w:p>
    <w:p>
      <w:pPr>
        <w:widowControl/>
        <w:spacing w:line="500" w:lineRule="exact"/>
        <w:ind w:firstLine="135" w:firstLineChars="50"/>
        <w:jc w:val="left"/>
        <w:rPr>
          <w:rFonts w:ascii="宋体" w:hAnsi="宋体"/>
          <w:sz w:val="27"/>
          <w:szCs w:val="27"/>
        </w:rPr>
      </w:pPr>
      <w:r>
        <w:rPr>
          <w:rFonts w:ascii="宋体" w:hAnsi="宋体" w:hint="eastAsia"/>
          <w:sz w:val="27"/>
          <w:szCs w:val="27"/>
        </w:rPr>
        <w:t>（2）不同供应商委托同一单位或者个人办理事宜；</w:t>
      </w:r>
    </w:p>
    <w:p>
      <w:pPr>
        <w:widowControl/>
        <w:spacing w:line="500" w:lineRule="exact"/>
        <w:ind w:firstLine="135" w:firstLineChars="50"/>
        <w:jc w:val="left"/>
        <w:rPr>
          <w:rFonts w:ascii="宋体" w:hAnsi="宋体"/>
          <w:sz w:val="27"/>
          <w:szCs w:val="27"/>
        </w:rPr>
      </w:pPr>
      <w:r>
        <w:rPr>
          <w:rFonts w:ascii="宋体" w:hAnsi="宋体" w:hint="eastAsia"/>
          <w:sz w:val="27"/>
          <w:szCs w:val="27"/>
        </w:rPr>
        <w:t>（3）不同供应商的响应文件载明的项目管理成员或者联系人员为同一人；</w:t>
      </w:r>
    </w:p>
    <w:p>
      <w:pPr>
        <w:widowControl/>
        <w:spacing w:line="500" w:lineRule="exact"/>
        <w:ind w:firstLine="135" w:firstLineChars="50"/>
        <w:jc w:val="left"/>
        <w:rPr>
          <w:rFonts w:ascii="宋体" w:hAnsi="宋体"/>
          <w:sz w:val="27"/>
          <w:szCs w:val="27"/>
        </w:rPr>
      </w:pPr>
      <w:r>
        <w:rPr>
          <w:rFonts w:ascii="宋体" w:hAnsi="宋体" w:hint="eastAsia"/>
          <w:sz w:val="27"/>
          <w:szCs w:val="27"/>
        </w:rPr>
        <w:t>（4）不同供应商的响应文件异常一致或者响应报价呈规律性差异；</w:t>
      </w:r>
    </w:p>
    <w:p>
      <w:pPr>
        <w:widowControl/>
        <w:spacing w:line="500" w:lineRule="exact"/>
        <w:ind w:firstLine="135" w:firstLineChars="50"/>
        <w:jc w:val="left"/>
        <w:rPr>
          <w:rFonts w:ascii="宋体" w:hAnsi="宋体"/>
          <w:sz w:val="27"/>
          <w:szCs w:val="27"/>
        </w:rPr>
      </w:pPr>
      <w:r>
        <w:rPr>
          <w:rFonts w:ascii="宋体" w:hAnsi="宋体" w:hint="eastAsia"/>
          <w:sz w:val="27"/>
          <w:szCs w:val="27"/>
        </w:rPr>
        <w:t>（5）不同供应商的响应文件相互混装；</w:t>
      </w:r>
    </w:p>
    <w:p>
      <w:pPr>
        <w:widowControl/>
        <w:spacing w:line="500" w:lineRule="exact"/>
        <w:ind w:firstLine="135" w:firstLineChars="50"/>
        <w:jc w:val="left"/>
        <w:rPr>
          <w:rFonts w:ascii="宋体" w:hAnsi="宋体"/>
          <w:sz w:val="27"/>
          <w:szCs w:val="27"/>
        </w:rPr>
      </w:pPr>
      <w:r>
        <w:rPr>
          <w:rFonts w:ascii="宋体" w:hAnsi="宋体" w:hint="eastAsia"/>
          <w:sz w:val="27"/>
          <w:szCs w:val="27"/>
        </w:rPr>
        <w:t>（6）不同供应商的响应保证金从同一单位或者个人的账户转出。</w:t>
      </w:r>
    </w:p>
    <w:p>
      <w:pPr>
        <w:pStyle w:val="Heading2"/>
        <w:ind w:firstLine="0"/>
        <w:rPr>
          <w:kern w:val="0"/>
          <w:sz w:val="24"/>
        </w:rPr>
      </w:pPr>
      <w:bookmarkStart w:id="13" w:name="_Toc54871721"/>
      <w:r>
        <w:rPr>
          <w:rFonts w:hint="eastAsia"/>
          <w:kern w:val="0"/>
        </w:rPr>
        <w:t>（二）谈判文件</w:t>
      </w:r>
      <w:bookmarkEnd w:id="12"/>
      <w:bookmarkEnd w:id="13"/>
    </w:p>
    <w:p>
      <w:pPr>
        <w:widowControl/>
        <w:spacing w:line="500" w:lineRule="exact"/>
        <w:jc w:val="left"/>
        <w:rPr>
          <w:rFonts w:ascii="宋体" w:hAnsi="宋体" w:cs="宋体"/>
          <w:b/>
          <w:bCs/>
          <w:kern w:val="0"/>
          <w:sz w:val="27"/>
          <w:szCs w:val="27"/>
        </w:rPr>
      </w:pPr>
      <w:r>
        <w:rPr>
          <w:rFonts w:ascii="宋体" w:hAnsi="宋体" w:cs="宋体" w:hint="eastAsia"/>
          <w:b/>
          <w:bCs/>
          <w:kern w:val="0"/>
          <w:sz w:val="27"/>
          <w:szCs w:val="27"/>
        </w:rPr>
        <w:t xml:space="preserve">9、谈判事项说明 </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9.1供应商应认真阅读谈判文件中所有的事项、格式、条件、条款和规范等要求。如果没有按照谈判文件的要求提交全部资料，或没有对谈判文件做出实质性响应，其风险由供应商自行承担。根据有关条款规定，其响应有可能被拒绝。</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9.2 除非有特殊要求，谈判文件不单独提供采购货物使用地的自然环境、气候条件、公用设施等情况，供应商被视为熟悉上述与履行合同有关的一切情况。</w:t>
      </w:r>
    </w:p>
    <w:p>
      <w:pPr>
        <w:widowControl/>
        <w:spacing w:line="500" w:lineRule="exact"/>
        <w:jc w:val="left"/>
        <w:rPr>
          <w:rFonts w:ascii="宋体" w:hAnsi="宋体" w:cs="宋体"/>
          <w:b/>
          <w:bCs/>
          <w:kern w:val="0"/>
          <w:sz w:val="27"/>
          <w:szCs w:val="27"/>
        </w:rPr>
      </w:pPr>
      <w:r>
        <w:rPr>
          <w:rFonts w:ascii="宋体" w:hAnsi="宋体" w:cs="宋体" w:hint="eastAsia"/>
          <w:b/>
          <w:bCs/>
          <w:kern w:val="0"/>
          <w:sz w:val="27"/>
          <w:szCs w:val="27"/>
        </w:rPr>
        <w:t xml:space="preserve">10、澄清与答疑                                                       </w:t>
      </w:r>
    </w:p>
    <w:p>
      <w:pPr>
        <w:widowControl/>
        <w:spacing w:line="500" w:lineRule="exact"/>
        <w:ind w:firstLine="135" w:firstLineChars="50"/>
        <w:jc w:val="left"/>
        <w:rPr>
          <w:rFonts w:ascii="宋体" w:hAnsi="宋体" w:cs="宋体"/>
          <w:kern w:val="0"/>
          <w:sz w:val="27"/>
          <w:szCs w:val="27"/>
        </w:rPr>
        <w:sectPr>
          <w:footerReference w:type="default" r:id="rId19"/>
          <w:footerReference w:type="first" r:id="rId20"/>
          <w:type w:val="nextPage"/>
          <w:pgSz w:w="11906" w:h="16838"/>
          <w:pgMar w:top="1440" w:right="1080" w:bottom="1440" w:left="1080" w:header="851" w:footer="992" w:gutter="0"/>
          <w:pgNumType w:start="8"/>
          <w:cols w:num="1" w:space="720"/>
          <w:titlePg w:val="0"/>
          <w:docGrid w:linePitch="312" w:charSpace="0"/>
        </w:sectPr>
      </w:pPr>
      <w:r>
        <w:rPr>
          <w:rFonts w:ascii="宋体" w:hAnsi="宋体" w:cs="宋体" w:hint="eastAsia"/>
          <w:kern w:val="0"/>
          <w:sz w:val="27"/>
          <w:szCs w:val="27"/>
        </w:rPr>
        <w:t>10.1任何要求对谈判文件进行澄清和疑问的供应商，均应以书面送达形式（加盖供应商公章并注明单位名称、联系人及电话）在法律规定的时间内送达到采购人指定地点, 采购人对疑问进行汇总整理。</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10.2供应商在规定的时间内未对谈判文件要求澄清或提出疑问的，采购人将视其为同意。</w:t>
      </w:r>
    </w:p>
    <w:p>
      <w:pPr>
        <w:widowControl/>
        <w:spacing w:line="500" w:lineRule="exact"/>
        <w:jc w:val="left"/>
        <w:rPr>
          <w:rFonts w:ascii="宋体" w:hAnsi="宋体" w:cs="宋体"/>
          <w:b/>
          <w:bCs/>
          <w:kern w:val="0"/>
          <w:sz w:val="27"/>
          <w:szCs w:val="27"/>
        </w:rPr>
      </w:pPr>
      <w:r>
        <w:rPr>
          <w:rFonts w:ascii="宋体" w:hAnsi="宋体" w:cs="宋体" w:hint="eastAsia"/>
          <w:b/>
          <w:bCs/>
          <w:kern w:val="0"/>
          <w:sz w:val="27"/>
          <w:szCs w:val="27"/>
        </w:rPr>
        <w:t>11、谈判文件的修改</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11.1 在法律规定期限内，无论出于何种原因，</w:t>
      </w:r>
      <w:r>
        <w:rPr>
          <w:rFonts w:ascii="宋体" w:hAnsi="宋体" w:hint="eastAsia"/>
          <w:sz w:val="27"/>
          <w:szCs w:val="27"/>
        </w:rPr>
        <w:t>采购人</w:t>
      </w:r>
      <w:r>
        <w:rPr>
          <w:rFonts w:ascii="宋体" w:hAnsi="宋体" w:cs="宋体" w:hint="eastAsia"/>
          <w:kern w:val="0"/>
          <w:sz w:val="27"/>
          <w:szCs w:val="27"/>
        </w:rPr>
        <w:t>均可主动地或在解答供应商提出的澄清问题时，以补充（变更）公告的方式对谈判文件进行修改。</w:t>
      </w:r>
    </w:p>
    <w:p>
      <w:pPr>
        <w:widowControl/>
        <w:spacing w:line="500" w:lineRule="exact"/>
        <w:ind w:firstLine="135" w:firstLineChars="50"/>
        <w:jc w:val="left"/>
        <w:rPr>
          <w:rFonts w:ascii="宋体" w:hAnsi="宋体"/>
          <w:sz w:val="27"/>
          <w:szCs w:val="27"/>
        </w:rPr>
      </w:pPr>
      <w:r>
        <w:rPr>
          <w:rFonts w:ascii="宋体" w:hAnsi="宋体" w:cs="宋体" w:hint="eastAsia"/>
          <w:color w:val="000000" w:themeColor="text1"/>
          <w:kern w:val="0"/>
          <w:sz w:val="27"/>
          <w:szCs w:val="27"/>
          <w14:textFill>
            <w14:solidFill>
              <w14:schemeClr w14:val="tx1"/>
            </w14:solidFill>
          </w14:textFill>
        </w:rPr>
        <w:t xml:space="preserve">11.2 </w:t>
      </w:r>
      <w:r>
        <w:rPr>
          <w:rFonts w:ascii="宋体" w:hAnsi="宋体" w:hint="eastAsia"/>
          <w:sz w:val="27"/>
          <w:szCs w:val="27"/>
        </w:rPr>
        <w:t>澄清或者修改的内容可能影响响应文件编制的，采购人应当在提交首次响应文件截止之日3个工作日前，以书面形式通知所有接收谈判文件的供应商，不足3个工作日的，应当顺延提交首次响应文件截止之日。</w:t>
      </w:r>
    </w:p>
    <w:p>
      <w:pPr>
        <w:pStyle w:val="Heading2"/>
        <w:rPr>
          <w:kern w:val="0"/>
        </w:rPr>
      </w:pPr>
      <w:bookmarkStart w:id="14" w:name="_Toc414959376"/>
      <w:bookmarkStart w:id="15" w:name="_Toc54871722"/>
      <w:r>
        <w:rPr>
          <w:kern w:val="0"/>
        </w:rPr>
        <w:t>（</w:t>
      </w:r>
      <w:r>
        <w:rPr>
          <w:rFonts w:hint="eastAsia"/>
          <w:kern w:val="0"/>
        </w:rPr>
        <w:t>三</w:t>
      </w:r>
      <w:r>
        <w:rPr>
          <w:kern w:val="0"/>
        </w:rPr>
        <w:t>）</w:t>
      </w:r>
      <w:r>
        <w:rPr>
          <w:rFonts w:hint="eastAsia"/>
          <w:kern w:val="0"/>
        </w:rPr>
        <w:t>竞谈</w:t>
      </w:r>
      <w:r>
        <w:rPr>
          <w:kern w:val="0"/>
        </w:rPr>
        <w:t>响应文件的编制</w:t>
      </w:r>
      <w:bookmarkEnd w:id="14"/>
      <w:bookmarkEnd w:id="15"/>
    </w:p>
    <w:p>
      <w:pPr>
        <w:spacing w:line="500" w:lineRule="exact"/>
        <w:rPr>
          <w:rFonts w:ascii="宋体" w:hAnsi="宋体"/>
          <w:b/>
          <w:bCs/>
          <w:sz w:val="27"/>
          <w:szCs w:val="27"/>
        </w:rPr>
      </w:pPr>
      <w:r>
        <w:rPr>
          <w:rFonts w:ascii="宋体" w:hAnsi="宋体" w:hint="eastAsia"/>
          <w:b/>
          <w:bCs/>
          <w:sz w:val="27"/>
          <w:szCs w:val="27"/>
        </w:rPr>
        <w:t>12、响应语言及度量衡单位</w:t>
      </w:r>
    </w:p>
    <w:p>
      <w:pPr>
        <w:spacing w:line="500" w:lineRule="exact"/>
        <w:ind w:firstLine="135" w:firstLineChars="50"/>
        <w:rPr>
          <w:rFonts w:ascii="宋体" w:hAnsi="宋体"/>
          <w:sz w:val="27"/>
          <w:szCs w:val="27"/>
        </w:rPr>
      </w:pPr>
      <w:r>
        <w:rPr>
          <w:rFonts w:ascii="宋体" w:hAnsi="宋体" w:hint="eastAsia"/>
          <w:sz w:val="27"/>
          <w:szCs w:val="27"/>
        </w:rPr>
        <w:t>12.1供应商的竞谈响应文件以及供应商就响应的所有来往函中均应使用中文。</w:t>
      </w:r>
    </w:p>
    <w:p>
      <w:pPr>
        <w:spacing w:line="500" w:lineRule="exact"/>
        <w:ind w:firstLine="135" w:firstLineChars="50"/>
        <w:rPr>
          <w:rFonts w:ascii="宋体" w:hAnsi="宋体"/>
          <w:sz w:val="27"/>
          <w:szCs w:val="27"/>
        </w:rPr>
      </w:pPr>
      <w:r>
        <w:rPr>
          <w:rFonts w:ascii="宋体" w:hAnsi="宋体" w:hint="eastAsia"/>
          <w:sz w:val="27"/>
          <w:szCs w:val="27"/>
        </w:rPr>
        <w:t>12.2竞谈响应文件中所使用的计量单位，除竞谈响应文件中有特殊规定外，一律使用法定计量单位。</w:t>
      </w:r>
    </w:p>
    <w:p>
      <w:pPr>
        <w:widowControl/>
        <w:spacing w:line="500" w:lineRule="exact"/>
        <w:jc w:val="left"/>
        <w:rPr>
          <w:rFonts w:ascii="宋体" w:hAnsi="宋体" w:cs="宋体"/>
          <w:b/>
          <w:kern w:val="0"/>
          <w:sz w:val="24"/>
        </w:rPr>
      </w:pPr>
      <w:r>
        <w:rPr>
          <w:rFonts w:ascii="宋体" w:hAnsi="宋体" w:cs="宋体" w:hint="eastAsia"/>
          <w:b/>
          <w:kern w:val="0"/>
          <w:sz w:val="27"/>
          <w:szCs w:val="27"/>
        </w:rPr>
        <w:t>13</w:t>
      </w:r>
      <w:r>
        <w:rPr>
          <w:rFonts w:ascii="宋体" w:hAnsi="宋体" w:cs="宋体"/>
          <w:b/>
          <w:kern w:val="0"/>
          <w:sz w:val="27"/>
          <w:szCs w:val="27"/>
        </w:rPr>
        <w:t>、竞谈响应文件的编制</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13.</w:t>
      </w:r>
      <w:r>
        <w:rPr>
          <w:rFonts w:ascii="宋体" w:hAnsi="宋体" w:cs="宋体"/>
          <w:kern w:val="0"/>
          <w:sz w:val="27"/>
          <w:szCs w:val="27"/>
        </w:rPr>
        <w:t>1</w:t>
      </w:r>
      <w:r>
        <w:rPr>
          <w:rFonts w:ascii="宋体" w:hAnsi="宋体" w:cs="宋体" w:hint="eastAsia"/>
          <w:kern w:val="0"/>
          <w:sz w:val="27"/>
          <w:szCs w:val="27"/>
        </w:rPr>
        <w:t>供应商</w:t>
      </w:r>
      <w:r>
        <w:rPr>
          <w:rFonts w:ascii="宋体" w:hAnsi="宋体" w:cs="宋体"/>
          <w:kern w:val="0"/>
          <w:sz w:val="27"/>
          <w:szCs w:val="27"/>
        </w:rPr>
        <w:t>对竞谈响应文件的编制应按要求装订和封装。</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13</w:t>
      </w:r>
      <w:r>
        <w:rPr>
          <w:rFonts w:ascii="宋体" w:hAnsi="宋体" w:cs="宋体"/>
          <w:kern w:val="0"/>
          <w:sz w:val="27"/>
          <w:szCs w:val="27"/>
        </w:rPr>
        <w:t>.2</w:t>
      </w:r>
      <w:r>
        <w:rPr>
          <w:rFonts w:ascii="宋体" w:hAnsi="宋体" w:cs="宋体" w:hint="eastAsia"/>
          <w:kern w:val="0"/>
          <w:sz w:val="27"/>
          <w:szCs w:val="27"/>
        </w:rPr>
        <w:t>供应商</w:t>
      </w:r>
      <w:r>
        <w:rPr>
          <w:rFonts w:ascii="宋体" w:hAnsi="宋体" w:cs="宋体"/>
          <w:kern w:val="0"/>
          <w:sz w:val="27"/>
          <w:szCs w:val="27"/>
        </w:rPr>
        <w:t>应认真阅读并充分理解本文件的全部内容（包括所有的补充、修改内容），承诺并履行本文件中各项条款规定及要求。</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13</w:t>
      </w:r>
      <w:r>
        <w:rPr>
          <w:rFonts w:ascii="宋体" w:hAnsi="宋体" w:cs="宋体"/>
          <w:kern w:val="0"/>
          <w:sz w:val="27"/>
          <w:szCs w:val="27"/>
        </w:rPr>
        <w:t>.3竞谈响应文件必须按本文件的全部内容，包括所有的补充（变更）</w:t>
      </w:r>
      <w:r>
        <w:rPr>
          <w:rFonts w:ascii="宋体" w:hAnsi="宋体" w:cs="宋体" w:hint="eastAsia"/>
          <w:kern w:val="0"/>
          <w:sz w:val="27"/>
          <w:szCs w:val="27"/>
        </w:rPr>
        <w:t>公告</w:t>
      </w:r>
      <w:r>
        <w:rPr>
          <w:rFonts w:ascii="宋体" w:hAnsi="宋体" w:cs="宋体"/>
          <w:kern w:val="0"/>
          <w:sz w:val="27"/>
          <w:szCs w:val="27"/>
        </w:rPr>
        <w:t>及答疑进行编制。</w:t>
      </w:r>
      <w:r>
        <w:rPr>
          <w:rFonts w:ascii="宋体" w:hAnsi="宋体" w:cs="宋体" w:hint="eastAsia"/>
          <w:kern w:val="0"/>
          <w:sz w:val="27"/>
          <w:szCs w:val="27"/>
        </w:rPr>
        <w:t>供应商</w:t>
      </w:r>
      <w:r>
        <w:rPr>
          <w:rFonts w:ascii="宋体" w:hAnsi="宋体" w:cs="宋体"/>
          <w:kern w:val="0"/>
          <w:sz w:val="27"/>
          <w:szCs w:val="27"/>
        </w:rPr>
        <w:t>提供</w:t>
      </w:r>
      <w:r>
        <w:rPr>
          <w:rFonts w:ascii="宋体" w:hAnsi="宋体" w:cs="宋体" w:hint="eastAsia"/>
          <w:kern w:val="0"/>
          <w:sz w:val="27"/>
          <w:szCs w:val="27"/>
        </w:rPr>
        <w:t>的竞谈响应</w:t>
      </w:r>
      <w:r>
        <w:rPr>
          <w:rFonts w:ascii="宋体" w:hAnsi="宋体" w:cs="宋体"/>
          <w:kern w:val="0"/>
          <w:sz w:val="27"/>
          <w:szCs w:val="27"/>
        </w:rPr>
        <w:t>文件</w:t>
      </w:r>
      <w:r>
        <w:rPr>
          <w:rFonts w:ascii="宋体" w:hAnsi="宋体" w:cs="宋体" w:hint="eastAsia"/>
          <w:kern w:val="0"/>
          <w:sz w:val="27"/>
          <w:szCs w:val="27"/>
        </w:rPr>
        <w:t>不完整，</w:t>
      </w:r>
      <w:r>
        <w:rPr>
          <w:rFonts w:ascii="宋体" w:hAnsi="宋体" w:cs="宋体"/>
          <w:kern w:val="0"/>
          <w:sz w:val="27"/>
          <w:szCs w:val="27"/>
        </w:rPr>
        <w:t>导致的结果和责任由</w:t>
      </w:r>
      <w:r>
        <w:rPr>
          <w:rFonts w:ascii="宋体" w:hAnsi="宋体" w:cs="宋体" w:hint="eastAsia"/>
          <w:kern w:val="0"/>
          <w:sz w:val="27"/>
          <w:szCs w:val="27"/>
        </w:rPr>
        <w:t>供应商</w:t>
      </w:r>
      <w:r>
        <w:rPr>
          <w:rFonts w:ascii="宋体" w:hAnsi="宋体" w:cs="宋体"/>
          <w:kern w:val="0"/>
          <w:sz w:val="27"/>
          <w:szCs w:val="27"/>
        </w:rPr>
        <w:t>承担。</w:t>
      </w:r>
    </w:p>
    <w:p>
      <w:pPr>
        <w:widowControl/>
        <w:spacing w:line="500" w:lineRule="exact"/>
        <w:jc w:val="left"/>
        <w:rPr>
          <w:rFonts w:ascii="宋体" w:hAnsi="宋体" w:cs="宋体"/>
          <w:b/>
          <w:kern w:val="0"/>
          <w:sz w:val="27"/>
          <w:szCs w:val="27"/>
        </w:rPr>
      </w:pPr>
      <w:r>
        <w:rPr>
          <w:rFonts w:ascii="宋体" w:hAnsi="宋体" w:cs="宋体" w:hint="eastAsia"/>
          <w:b/>
          <w:kern w:val="0"/>
          <w:sz w:val="27"/>
          <w:szCs w:val="27"/>
        </w:rPr>
        <w:t>14</w:t>
      </w:r>
      <w:r>
        <w:rPr>
          <w:rFonts w:ascii="宋体" w:hAnsi="宋体" w:cs="宋体"/>
          <w:b/>
          <w:kern w:val="0"/>
          <w:sz w:val="27"/>
          <w:szCs w:val="27"/>
        </w:rPr>
        <w:t>、竞谈响应文件的组成</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14.1</w:t>
      </w:r>
      <w:r>
        <w:rPr>
          <w:rFonts w:ascii="宋体" w:hAnsi="宋体" w:cs="宋体" w:hint="eastAsia"/>
          <w:kern w:val="0"/>
          <w:sz w:val="27"/>
          <w:szCs w:val="27"/>
        </w:rPr>
        <w:t>谈判</w:t>
      </w:r>
      <w:r>
        <w:rPr>
          <w:rFonts w:ascii="宋体" w:hAnsi="宋体" w:cs="宋体"/>
          <w:kern w:val="0"/>
          <w:sz w:val="27"/>
          <w:szCs w:val="27"/>
        </w:rPr>
        <w:t>响应文件</w:t>
      </w:r>
      <w:r>
        <w:rPr>
          <w:rFonts w:ascii="宋体" w:hAnsi="宋体" w:cs="宋体" w:hint="eastAsia"/>
          <w:kern w:val="0"/>
          <w:sz w:val="27"/>
          <w:szCs w:val="27"/>
        </w:rPr>
        <w:t>的组成详见“第二章响应文件格式”</w:t>
      </w:r>
    </w:p>
    <w:p>
      <w:pPr>
        <w:widowControl/>
        <w:spacing w:line="500" w:lineRule="exact"/>
        <w:ind w:firstLine="135" w:firstLineChars="50"/>
        <w:jc w:val="left"/>
        <w:rPr>
          <w:rFonts w:ascii="宋体" w:hAnsi="宋体" w:cs="宋体"/>
          <w:kern w:val="0"/>
          <w:sz w:val="24"/>
        </w:rPr>
        <w:sectPr>
          <w:footerReference w:type="default" r:id="rId21"/>
          <w:footerReference w:type="first" r:id="rId22"/>
          <w:type w:val="nextPage"/>
          <w:pgSz w:w="11906" w:h="16838"/>
          <w:pgMar w:top="1440" w:right="1080" w:bottom="1440" w:left="1080" w:header="851" w:footer="992" w:gutter="0"/>
          <w:pgNumType w:start="9"/>
          <w:cols w:num="1" w:space="720"/>
          <w:titlePg w:val="0"/>
          <w:docGrid w:linePitch="312" w:charSpace="0"/>
        </w:sectPr>
      </w:pPr>
      <w:r>
        <w:rPr>
          <w:rFonts w:ascii="宋体" w:hAnsi="宋体" w:cs="宋体" w:hint="eastAsia"/>
          <w:kern w:val="0"/>
          <w:sz w:val="27"/>
          <w:szCs w:val="27"/>
        </w:rPr>
        <w:t>14</w:t>
      </w:r>
      <w:r>
        <w:rPr>
          <w:rFonts w:ascii="宋体" w:hAnsi="宋体" w:cs="宋体"/>
          <w:kern w:val="0"/>
          <w:sz w:val="27"/>
          <w:szCs w:val="27"/>
        </w:rPr>
        <w:t>.</w:t>
      </w:r>
      <w:r>
        <w:rPr>
          <w:rFonts w:ascii="宋体" w:hAnsi="宋体" w:cs="宋体" w:hint="eastAsia"/>
          <w:kern w:val="0"/>
          <w:sz w:val="27"/>
          <w:szCs w:val="27"/>
        </w:rPr>
        <w:t>2谈判</w:t>
      </w:r>
      <w:r>
        <w:rPr>
          <w:rFonts w:ascii="宋体" w:hAnsi="宋体" w:cs="宋体"/>
          <w:kern w:val="0"/>
          <w:sz w:val="27"/>
          <w:szCs w:val="27"/>
        </w:rPr>
        <w:t>响应文件应使用</w:t>
      </w:r>
      <w:r>
        <w:rPr>
          <w:rFonts w:ascii="宋体" w:hAnsi="宋体" w:cs="宋体" w:hint="eastAsia"/>
          <w:kern w:val="0"/>
          <w:sz w:val="27"/>
          <w:szCs w:val="27"/>
        </w:rPr>
        <w:t>谈判文件</w:t>
      </w:r>
      <w:r>
        <w:rPr>
          <w:rFonts w:ascii="宋体" w:hAnsi="宋体" w:cs="宋体"/>
          <w:kern w:val="0"/>
          <w:sz w:val="27"/>
          <w:szCs w:val="27"/>
        </w:rPr>
        <w:t>提供的格式，且可以按同样格式扩展。</w:t>
      </w:r>
    </w:p>
    <w:p>
      <w:pPr>
        <w:widowControl/>
        <w:spacing w:line="500" w:lineRule="exact"/>
        <w:jc w:val="left"/>
        <w:rPr>
          <w:rFonts w:ascii="宋体" w:hAnsi="宋体" w:cs="宋体"/>
          <w:b/>
          <w:bCs/>
          <w:kern w:val="0"/>
          <w:sz w:val="27"/>
          <w:szCs w:val="27"/>
        </w:rPr>
      </w:pPr>
      <w:r>
        <w:rPr>
          <w:rFonts w:ascii="宋体" w:hAnsi="宋体" w:cs="宋体"/>
          <w:b/>
          <w:bCs/>
          <w:kern w:val="0"/>
          <w:sz w:val="27"/>
          <w:szCs w:val="27"/>
        </w:rPr>
        <w:t>1</w:t>
      </w:r>
      <w:r>
        <w:rPr>
          <w:rFonts w:ascii="宋体" w:hAnsi="宋体" w:cs="宋体" w:hint="eastAsia"/>
          <w:b/>
          <w:bCs/>
          <w:kern w:val="0"/>
          <w:sz w:val="27"/>
          <w:szCs w:val="27"/>
        </w:rPr>
        <w:t>5</w:t>
      </w:r>
      <w:r>
        <w:rPr>
          <w:rFonts w:ascii="宋体" w:hAnsi="宋体" w:cs="宋体"/>
          <w:b/>
          <w:bCs/>
          <w:kern w:val="0"/>
          <w:sz w:val="27"/>
          <w:szCs w:val="27"/>
        </w:rPr>
        <w:t>、报价</w:t>
      </w:r>
    </w:p>
    <w:p>
      <w:pPr>
        <w:autoSpaceDE w:val="0"/>
        <w:autoSpaceDN w:val="0"/>
        <w:adjustRightInd w:val="0"/>
        <w:snapToGrid w:val="0"/>
        <w:spacing w:line="500" w:lineRule="exact"/>
        <w:ind w:right="-148" w:firstLine="135" w:firstLineChars="50"/>
        <w:rPr>
          <w:rFonts w:ascii="宋体" w:hAnsi="宋体" w:cs="宋体"/>
          <w:kern w:val="0"/>
          <w:sz w:val="27"/>
          <w:szCs w:val="27"/>
        </w:rPr>
      </w:pPr>
      <w:r>
        <w:rPr>
          <w:rFonts w:ascii="宋体" w:hAnsi="宋体" w:cs="宋体"/>
          <w:kern w:val="0"/>
          <w:sz w:val="27"/>
          <w:szCs w:val="27"/>
        </w:rPr>
        <w:t>1</w:t>
      </w:r>
      <w:r>
        <w:rPr>
          <w:rFonts w:ascii="宋体" w:hAnsi="宋体" w:cs="宋体" w:hint="eastAsia"/>
          <w:kern w:val="0"/>
          <w:sz w:val="27"/>
          <w:szCs w:val="27"/>
        </w:rPr>
        <w:t>5</w:t>
      </w:r>
      <w:r>
        <w:rPr>
          <w:rFonts w:ascii="宋体" w:hAnsi="宋体" w:cs="宋体"/>
          <w:kern w:val="0"/>
          <w:sz w:val="27"/>
          <w:szCs w:val="27"/>
        </w:rPr>
        <w:t>.1</w:t>
      </w:r>
      <w:r>
        <w:rPr>
          <w:rFonts w:ascii="宋体" w:hAnsi="宋体" w:cs="宋体" w:hint="eastAsia"/>
          <w:kern w:val="0"/>
          <w:sz w:val="27"/>
          <w:szCs w:val="27"/>
        </w:rPr>
        <w:t>竞谈响应文件中的价格均以</w:t>
      </w:r>
      <w:r>
        <w:rPr>
          <w:rFonts w:ascii="宋体" w:hAnsi="宋体" w:cs="宋体" w:hint="eastAsia"/>
          <w:b/>
          <w:bCs/>
          <w:kern w:val="0"/>
          <w:sz w:val="27"/>
          <w:szCs w:val="27"/>
          <w:u w:val="single"/>
        </w:rPr>
        <w:t>人民币</w:t>
      </w:r>
      <w:r>
        <w:rPr>
          <w:rFonts w:ascii="宋体" w:hAnsi="宋体" w:cs="宋体" w:hint="eastAsia"/>
          <w:kern w:val="0"/>
          <w:sz w:val="27"/>
          <w:szCs w:val="27"/>
        </w:rPr>
        <w:t>报价。</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15.2供应商应按照“采购项目需求”规定的供货内容、责任范围以及合同条款进行报价，并按《响应货物报价一览表》确定的格式报出分项价格和总价。响应总价中不得包含谈判文件要求以外的内容，否则，在评审时不予核减。响应总价中也不得缺漏谈判文件所要求的内容，同时，对于报价免费的项目（货物）须标明“免费”。否则，其响应将被视为无效响应。</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15.3</w:t>
      </w:r>
      <w:r>
        <w:rPr>
          <w:rFonts w:hAnsi="宋体" w:hint="eastAsia"/>
          <w:kern w:val="0"/>
          <w:sz w:val="27"/>
          <w:szCs w:val="27"/>
        </w:rPr>
        <w:t>供应商的报价须包含与本项目有关的一切费用。</w:t>
      </w:r>
      <w:r>
        <w:rPr>
          <w:rFonts w:ascii="宋体" w:hAnsi="宋体" w:cs="宋体" w:hint="eastAsia"/>
          <w:kern w:val="0"/>
          <w:sz w:val="27"/>
          <w:szCs w:val="27"/>
        </w:rPr>
        <w:t>供应商的最后报价在合同执行过程中是固定不变的，不得以任何理由予以变更。</w:t>
      </w:r>
    </w:p>
    <w:p>
      <w:pPr>
        <w:widowControl/>
        <w:spacing w:line="500" w:lineRule="exact"/>
        <w:jc w:val="left"/>
        <w:rPr>
          <w:rFonts w:ascii="宋体" w:hAnsi="宋体" w:cs="宋体"/>
          <w:b/>
          <w:bCs/>
          <w:kern w:val="0"/>
          <w:sz w:val="27"/>
          <w:szCs w:val="27"/>
        </w:rPr>
      </w:pPr>
      <w:r>
        <w:rPr>
          <w:rFonts w:ascii="宋体" w:hAnsi="宋体" w:cs="宋体"/>
          <w:b/>
          <w:bCs/>
          <w:kern w:val="0"/>
          <w:sz w:val="27"/>
          <w:szCs w:val="27"/>
        </w:rPr>
        <w:t>1</w:t>
      </w:r>
      <w:r>
        <w:rPr>
          <w:rFonts w:ascii="宋体" w:hAnsi="宋体" w:cs="宋体" w:hint="eastAsia"/>
          <w:b/>
          <w:bCs/>
          <w:kern w:val="0"/>
          <w:sz w:val="27"/>
          <w:szCs w:val="27"/>
        </w:rPr>
        <w:t>6、</w:t>
      </w:r>
      <w:r>
        <w:rPr>
          <w:rFonts w:ascii="宋体" w:hAnsi="宋体" w:cs="宋体"/>
          <w:b/>
          <w:bCs/>
          <w:kern w:val="0"/>
          <w:sz w:val="27"/>
          <w:szCs w:val="27"/>
        </w:rPr>
        <w:t>响应保证金</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16.1保证金金额：无</w:t>
      </w:r>
      <w:r>
        <w:rPr>
          <w:rFonts w:ascii="宋体" w:hAnsi="宋体" w:cs="宋体"/>
          <w:kern w:val="0"/>
          <w:sz w:val="27"/>
          <w:szCs w:val="27"/>
        </w:rPr>
        <w:t xml:space="preserve"> </w:t>
      </w:r>
    </w:p>
    <w:p>
      <w:pPr>
        <w:spacing w:line="500" w:lineRule="exact"/>
        <w:rPr>
          <w:rFonts w:ascii="宋体" w:hAnsi="宋体"/>
          <w:sz w:val="27"/>
          <w:szCs w:val="27"/>
        </w:rPr>
      </w:pPr>
    </w:p>
    <w:p>
      <w:pPr>
        <w:widowControl/>
        <w:spacing w:line="500" w:lineRule="exact"/>
        <w:jc w:val="left"/>
        <w:rPr>
          <w:rFonts w:ascii="宋体" w:hAnsi="宋体" w:cs="宋体"/>
          <w:b/>
          <w:kern w:val="0"/>
          <w:sz w:val="24"/>
        </w:rPr>
      </w:pPr>
      <w:r>
        <w:rPr>
          <w:rFonts w:ascii="宋体" w:hAnsi="宋体" w:cs="宋体"/>
          <w:b/>
          <w:kern w:val="0"/>
          <w:sz w:val="27"/>
          <w:szCs w:val="27"/>
        </w:rPr>
        <w:t>1</w:t>
      </w:r>
      <w:r>
        <w:rPr>
          <w:rFonts w:ascii="宋体" w:hAnsi="宋体" w:cs="宋体" w:hint="eastAsia"/>
          <w:b/>
          <w:kern w:val="0"/>
          <w:sz w:val="27"/>
          <w:szCs w:val="27"/>
        </w:rPr>
        <w:t>7</w:t>
      </w:r>
      <w:r>
        <w:rPr>
          <w:rFonts w:ascii="宋体" w:hAnsi="宋体" w:cs="宋体"/>
          <w:b/>
          <w:kern w:val="0"/>
          <w:sz w:val="27"/>
          <w:szCs w:val="27"/>
        </w:rPr>
        <w:t>、响应有效期</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1</w:t>
      </w:r>
      <w:r>
        <w:rPr>
          <w:rFonts w:ascii="宋体" w:hAnsi="宋体" w:cs="宋体" w:hint="eastAsia"/>
          <w:kern w:val="0"/>
          <w:sz w:val="27"/>
          <w:szCs w:val="27"/>
        </w:rPr>
        <w:t>7</w:t>
      </w:r>
      <w:r>
        <w:rPr>
          <w:rFonts w:ascii="宋体" w:hAnsi="宋体" w:cs="宋体"/>
          <w:kern w:val="0"/>
          <w:sz w:val="27"/>
          <w:szCs w:val="27"/>
        </w:rPr>
        <w:t>.1响应有效期为</w:t>
      </w:r>
      <w:r>
        <w:rPr>
          <w:rFonts w:ascii="宋体" w:hAnsi="宋体" w:hint="eastAsia"/>
          <w:sz w:val="27"/>
          <w:szCs w:val="27"/>
        </w:rPr>
        <w:t>采购人</w:t>
      </w:r>
      <w:r>
        <w:rPr>
          <w:rFonts w:ascii="宋体" w:hAnsi="宋体" w:cs="宋体"/>
          <w:kern w:val="0"/>
          <w:sz w:val="27"/>
          <w:szCs w:val="27"/>
        </w:rPr>
        <w:t>规定的开启之日后</w:t>
      </w:r>
      <w:r>
        <w:rPr>
          <w:rFonts w:ascii="宋体" w:hAnsi="宋体" w:cs="宋体" w:hint="eastAsia"/>
          <w:kern w:val="0"/>
          <w:sz w:val="27"/>
          <w:szCs w:val="27"/>
        </w:rPr>
        <w:t>90</w:t>
      </w:r>
      <w:r>
        <w:rPr>
          <w:rFonts w:ascii="宋体" w:hAnsi="宋体" w:cs="宋体"/>
          <w:kern w:val="0"/>
          <w:sz w:val="27"/>
          <w:szCs w:val="27"/>
        </w:rPr>
        <w:t>天。</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1</w:t>
      </w:r>
      <w:r>
        <w:rPr>
          <w:rFonts w:ascii="宋体" w:hAnsi="宋体" w:cs="宋体" w:hint="eastAsia"/>
          <w:kern w:val="0"/>
          <w:sz w:val="27"/>
          <w:szCs w:val="27"/>
        </w:rPr>
        <w:t>7</w:t>
      </w:r>
      <w:r>
        <w:rPr>
          <w:rFonts w:ascii="宋体" w:hAnsi="宋体" w:cs="宋体"/>
          <w:kern w:val="0"/>
          <w:sz w:val="27"/>
          <w:szCs w:val="27"/>
        </w:rPr>
        <w:t>.2特殊情况</w:t>
      </w:r>
      <w:r>
        <w:rPr>
          <w:rFonts w:ascii="宋体" w:hAnsi="宋体" w:cs="宋体" w:hint="eastAsia"/>
          <w:kern w:val="0"/>
          <w:sz w:val="27"/>
          <w:szCs w:val="27"/>
        </w:rPr>
        <w:t>下，</w:t>
      </w:r>
      <w:r>
        <w:rPr>
          <w:rFonts w:ascii="宋体" w:hAnsi="宋体" w:cs="宋体"/>
          <w:kern w:val="0"/>
          <w:sz w:val="27"/>
          <w:szCs w:val="27"/>
        </w:rPr>
        <w:t>在原定响应有效期</w:t>
      </w:r>
      <w:r>
        <w:rPr>
          <w:rFonts w:ascii="宋体" w:hAnsi="宋体" w:cs="宋体" w:hint="eastAsia"/>
          <w:kern w:val="0"/>
          <w:sz w:val="27"/>
          <w:szCs w:val="27"/>
        </w:rPr>
        <w:t>截止</w:t>
      </w:r>
      <w:r>
        <w:rPr>
          <w:rFonts w:ascii="宋体" w:hAnsi="宋体" w:cs="宋体"/>
          <w:kern w:val="0"/>
          <w:sz w:val="27"/>
          <w:szCs w:val="27"/>
        </w:rPr>
        <w:t>之前，</w:t>
      </w:r>
      <w:r>
        <w:rPr>
          <w:rFonts w:ascii="宋体" w:hAnsi="宋体" w:hint="eastAsia"/>
          <w:sz w:val="27"/>
          <w:szCs w:val="27"/>
        </w:rPr>
        <w:t>采购人</w:t>
      </w:r>
      <w:r>
        <w:rPr>
          <w:rFonts w:ascii="宋体" w:hAnsi="宋体" w:cs="宋体"/>
          <w:kern w:val="0"/>
          <w:sz w:val="27"/>
          <w:szCs w:val="27"/>
        </w:rPr>
        <w:t>可以</w:t>
      </w:r>
      <w:r>
        <w:rPr>
          <w:rFonts w:ascii="宋体" w:hAnsi="宋体" w:cs="宋体" w:hint="eastAsia"/>
          <w:kern w:val="0"/>
          <w:sz w:val="27"/>
          <w:szCs w:val="27"/>
        </w:rPr>
        <w:t>要求供应商延长</w:t>
      </w:r>
      <w:r>
        <w:rPr>
          <w:rFonts w:ascii="宋体" w:hAnsi="宋体" w:cs="宋体"/>
          <w:kern w:val="0"/>
          <w:sz w:val="27"/>
          <w:szCs w:val="27"/>
        </w:rPr>
        <w:t>响应有效期。</w:t>
      </w:r>
      <w:r>
        <w:rPr>
          <w:rFonts w:ascii="宋体" w:hAnsi="宋体" w:cs="宋体" w:hint="eastAsia"/>
          <w:kern w:val="0"/>
          <w:sz w:val="27"/>
          <w:szCs w:val="27"/>
        </w:rPr>
        <w:t>这种要求与答复均应以书面形式提交。但其响应在原响应有效期期满后将不再有效。</w:t>
      </w:r>
      <w:r>
        <w:rPr>
          <w:rFonts w:ascii="宋体" w:hAnsi="宋体" w:cs="宋体"/>
          <w:kern w:val="0"/>
          <w:sz w:val="27"/>
          <w:szCs w:val="27"/>
        </w:rPr>
        <w:t>同意延长响应有效期的</w:t>
      </w:r>
      <w:r>
        <w:rPr>
          <w:rFonts w:ascii="宋体" w:hAnsi="宋体" w:cs="宋体" w:hint="eastAsia"/>
          <w:kern w:val="0"/>
          <w:sz w:val="27"/>
          <w:szCs w:val="27"/>
        </w:rPr>
        <w:t>供应商将不会被要求和</w:t>
      </w:r>
      <w:r>
        <w:rPr>
          <w:rFonts w:ascii="宋体" w:hAnsi="宋体" w:cs="宋体"/>
          <w:kern w:val="0"/>
          <w:sz w:val="27"/>
          <w:szCs w:val="27"/>
        </w:rPr>
        <w:t>允许修</w:t>
      </w:r>
      <w:r>
        <w:rPr>
          <w:rFonts w:ascii="宋体" w:hAnsi="宋体" w:cs="宋体" w:hint="eastAsia"/>
          <w:kern w:val="0"/>
          <w:sz w:val="27"/>
          <w:szCs w:val="27"/>
        </w:rPr>
        <w:t>正</w:t>
      </w:r>
      <w:r>
        <w:rPr>
          <w:rFonts w:ascii="宋体" w:hAnsi="宋体" w:cs="宋体"/>
          <w:kern w:val="0"/>
          <w:sz w:val="27"/>
          <w:szCs w:val="27"/>
        </w:rPr>
        <w:t>其竞谈响应文件，</w:t>
      </w:r>
      <w:r>
        <w:rPr>
          <w:rFonts w:ascii="宋体" w:hAnsi="宋体" w:cs="宋体" w:hint="eastAsia"/>
          <w:kern w:val="0"/>
          <w:sz w:val="27"/>
          <w:szCs w:val="27"/>
        </w:rPr>
        <w:t>而只会被要求</w:t>
      </w:r>
      <w:r>
        <w:rPr>
          <w:rFonts w:ascii="宋体" w:hAnsi="宋体" w:cs="宋体"/>
          <w:kern w:val="0"/>
          <w:sz w:val="27"/>
          <w:szCs w:val="27"/>
        </w:rPr>
        <w:t>相应地延长响应保证金的有效期。</w:t>
      </w:r>
      <w:r>
        <w:rPr>
          <w:rFonts w:ascii="宋体" w:hAnsi="宋体" w:cs="宋体" w:hint="eastAsia"/>
          <w:kern w:val="0"/>
          <w:sz w:val="27"/>
          <w:szCs w:val="27"/>
        </w:rPr>
        <w:t>在这种情况下，有关响应保证金的退还和没收的规定将在延长了的有效期内继续有效。</w:t>
      </w:r>
    </w:p>
    <w:p>
      <w:pPr>
        <w:widowControl/>
        <w:spacing w:line="500" w:lineRule="exact"/>
        <w:jc w:val="left"/>
        <w:rPr>
          <w:rFonts w:ascii="宋体" w:hAnsi="宋体" w:cs="宋体"/>
          <w:b/>
          <w:kern w:val="0"/>
          <w:sz w:val="24"/>
        </w:rPr>
      </w:pPr>
      <w:r>
        <w:rPr>
          <w:rFonts w:ascii="宋体" w:hAnsi="宋体" w:cs="宋体"/>
          <w:b/>
          <w:kern w:val="0"/>
          <w:sz w:val="27"/>
          <w:szCs w:val="27"/>
        </w:rPr>
        <w:t>1</w:t>
      </w:r>
      <w:r>
        <w:rPr>
          <w:rFonts w:ascii="宋体" w:hAnsi="宋体" w:cs="宋体" w:hint="eastAsia"/>
          <w:b/>
          <w:kern w:val="0"/>
          <w:sz w:val="27"/>
          <w:szCs w:val="27"/>
        </w:rPr>
        <w:t>8</w:t>
      </w:r>
      <w:r>
        <w:rPr>
          <w:rFonts w:ascii="宋体" w:hAnsi="宋体" w:cs="宋体"/>
          <w:b/>
          <w:kern w:val="0"/>
          <w:sz w:val="27"/>
          <w:szCs w:val="27"/>
        </w:rPr>
        <w:t>.竞谈响应文件份数和签署</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1</w:t>
      </w:r>
      <w:r>
        <w:rPr>
          <w:rFonts w:ascii="宋体" w:hAnsi="宋体" w:cs="宋体" w:hint="eastAsia"/>
          <w:kern w:val="0"/>
          <w:sz w:val="27"/>
          <w:szCs w:val="27"/>
        </w:rPr>
        <w:t>8</w:t>
      </w:r>
      <w:r>
        <w:rPr>
          <w:rFonts w:ascii="宋体" w:hAnsi="宋体" w:cs="宋体"/>
          <w:kern w:val="0"/>
          <w:sz w:val="27"/>
          <w:szCs w:val="27"/>
        </w:rPr>
        <w:t>.1</w:t>
      </w:r>
      <w:r>
        <w:rPr>
          <w:rFonts w:ascii="宋体" w:hAnsi="宋体" w:cs="宋体" w:hint="eastAsia"/>
          <w:kern w:val="0"/>
          <w:sz w:val="27"/>
          <w:szCs w:val="27"/>
        </w:rPr>
        <w:t>供应商</w:t>
      </w:r>
      <w:r>
        <w:rPr>
          <w:rFonts w:ascii="宋体" w:hAnsi="宋体" w:cs="宋体"/>
          <w:kern w:val="0"/>
          <w:sz w:val="27"/>
          <w:szCs w:val="27"/>
        </w:rPr>
        <w:t>应按照要求，提交一式</w:t>
      </w:r>
      <w:r>
        <w:rPr>
          <w:rFonts w:ascii="宋体" w:hAnsi="宋体" w:cs="宋体" w:hint="eastAsia"/>
          <w:kern w:val="0"/>
          <w:sz w:val="27"/>
          <w:szCs w:val="27"/>
        </w:rPr>
        <w:t>叁份竞谈响应文件</w:t>
      </w:r>
      <w:r>
        <w:rPr>
          <w:rFonts w:ascii="宋体" w:hAnsi="宋体" w:cs="宋体"/>
          <w:kern w:val="0"/>
          <w:sz w:val="27"/>
          <w:szCs w:val="27"/>
        </w:rPr>
        <w:t>（</w:t>
      </w:r>
      <w:r>
        <w:rPr>
          <w:rFonts w:ascii="宋体" w:hAnsi="宋体" w:cs="宋体"/>
          <w:kern w:val="0"/>
          <w:sz w:val="27"/>
          <w:szCs w:val="27"/>
          <w:u w:val="single"/>
        </w:rPr>
        <w:t>1</w:t>
      </w:r>
      <w:r>
        <w:rPr>
          <w:rFonts w:ascii="宋体" w:hAnsi="宋体" w:cs="宋体"/>
          <w:kern w:val="0"/>
          <w:sz w:val="27"/>
          <w:szCs w:val="27"/>
        </w:rPr>
        <w:t>份正本、</w:t>
      </w:r>
      <w:r>
        <w:rPr>
          <w:rFonts w:ascii="宋体" w:hAnsi="宋体" w:cs="宋体" w:hint="eastAsia"/>
          <w:kern w:val="0"/>
          <w:sz w:val="27"/>
          <w:szCs w:val="27"/>
          <w:u w:val="single"/>
        </w:rPr>
        <w:t>2</w:t>
      </w:r>
      <w:r>
        <w:rPr>
          <w:rFonts w:ascii="宋体" w:hAnsi="宋体" w:cs="宋体"/>
          <w:kern w:val="0"/>
          <w:sz w:val="27"/>
          <w:szCs w:val="27"/>
        </w:rPr>
        <w:t>份副本），竞谈响应文件的正本与副本如有不一致之处，以正本为准。</w:t>
      </w:r>
    </w:p>
    <w:p>
      <w:pPr>
        <w:widowControl/>
        <w:spacing w:line="500" w:lineRule="exact"/>
        <w:ind w:firstLine="135" w:firstLineChars="50"/>
        <w:jc w:val="left"/>
        <w:rPr>
          <w:rFonts w:ascii="宋体" w:hAnsi="宋体" w:cs="宋体"/>
          <w:kern w:val="0"/>
          <w:sz w:val="27"/>
          <w:szCs w:val="27"/>
        </w:rPr>
        <w:sectPr>
          <w:footerReference w:type="default" r:id="rId23"/>
          <w:footerReference w:type="first" r:id="rId24"/>
          <w:type w:val="nextPage"/>
          <w:pgSz w:w="11906" w:h="16838"/>
          <w:pgMar w:top="1440" w:right="1080" w:bottom="1440" w:left="1080" w:header="851" w:footer="992" w:gutter="0"/>
          <w:pgNumType w:start="10"/>
          <w:cols w:num="1" w:space="720"/>
          <w:titlePg w:val="0"/>
          <w:docGrid w:linePitch="312" w:charSpace="0"/>
        </w:sectPr>
      </w:pPr>
      <w:r>
        <w:rPr>
          <w:rFonts w:ascii="宋体" w:hAnsi="宋体" w:cs="宋体" w:hint="eastAsia"/>
          <w:kern w:val="0"/>
          <w:sz w:val="27"/>
          <w:szCs w:val="27"/>
        </w:rPr>
        <w:t>18.2竞谈响应文件必须按统一格式编制并按顺序</w:t>
      </w:r>
      <w:r>
        <w:rPr>
          <w:rFonts w:ascii="宋体" w:hAnsi="宋体" w:cs="宋体" w:hint="eastAsia"/>
          <w:b/>
          <w:bCs/>
          <w:kern w:val="0"/>
          <w:sz w:val="27"/>
          <w:szCs w:val="27"/>
          <w:u w:val="single"/>
        </w:rPr>
        <w:t>胶装成册</w:t>
      </w:r>
      <w:r>
        <w:rPr>
          <w:rFonts w:ascii="宋体" w:hAnsi="宋体" w:cs="宋体" w:hint="eastAsia"/>
          <w:kern w:val="0"/>
          <w:sz w:val="27"/>
          <w:szCs w:val="27"/>
        </w:rPr>
        <w:t>，不接受散页或活页竞谈响应文件，否则属无效响应</w:t>
      </w:r>
    </w:p>
    <w:p>
      <w:pPr>
        <w:widowControl/>
        <w:spacing w:line="500" w:lineRule="exact"/>
        <w:ind w:firstLine="135" w:firstLineChars="50"/>
        <w:jc w:val="left"/>
        <w:rPr>
          <w:rFonts w:ascii="宋体" w:hAnsi="宋体" w:cs="宋体"/>
          <w:kern w:val="0"/>
          <w:sz w:val="27"/>
          <w:szCs w:val="27"/>
        </w:rPr>
      </w:pPr>
      <w:r>
        <w:rPr>
          <w:rFonts w:ascii="宋体" w:hAnsi="宋体" w:cs="宋体"/>
          <w:kern w:val="0"/>
          <w:sz w:val="27"/>
          <w:szCs w:val="27"/>
        </w:rPr>
        <w:t>1</w:t>
      </w:r>
      <w:r>
        <w:rPr>
          <w:rFonts w:ascii="宋体" w:hAnsi="宋体" w:cs="宋体" w:hint="eastAsia"/>
          <w:kern w:val="0"/>
          <w:sz w:val="27"/>
          <w:szCs w:val="27"/>
        </w:rPr>
        <w:t>8</w:t>
      </w:r>
      <w:r>
        <w:rPr>
          <w:rFonts w:ascii="宋体" w:hAnsi="宋体" w:cs="宋体"/>
          <w:kern w:val="0"/>
          <w:sz w:val="27"/>
          <w:szCs w:val="27"/>
        </w:rPr>
        <w:t>.</w:t>
      </w:r>
      <w:r>
        <w:rPr>
          <w:rFonts w:ascii="宋体" w:hAnsi="宋体" w:cs="宋体" w:hint="eastAsia"/>
          <w:kern w:val="0"/>
          <w:sz w:val="27"/>
          <w:szCs w:val="27"/>
        </w:rPr>
        <w:t>3</w:t>
      </w:r>
      <w:r>
        <w:rPr>
          <w:rFonts w:ascii="宋体" w:hAnsi="宋体" w:cs="宋体"/>
          <w:kern w:val="0"/>
          <w:sz w:val="27"/>
          <w:szCs w:val="27"/>
        </w:rPr>
        <w:t>竞谈响应文件必须用不褪色的蓝黑和黑色墨水填写或打印</w:t>
      </w:r>
      <w:r>
        <w:rPr>
          <w:rFonts w:ascii="宋体" w:hAnsi="宋体" w:cs="宋体" w:hint="eastAsia"/>
          <w:kern w:val="0"/>
          <w:sz w:val="27"/>
          <w:szCs w:val="27"/>
        </w:rPr>
        <w:t>（所有纸张必须使用A4纸，宣传材料除外）</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1</w:t>
      </w:r>
      <w:r>
        <w:rPr>
          <w:rFonts w:ascii="宋体" w:hAnsi="宋体" w:cs="宋体" w:hint="eastAsia"/>
          <w:kern w:val="0"/>
          <w:sz w:val="27"/>
          <w:szCs w:val="27"/>
        </w:rPr>
        <w:t>8</w:t>
      </w:r>
      <w:r>
        <w:rPr>
          <w:rFonts w:ascii="宋体" w:hAnsi="宋体" w:cs="宋体"/>
          <w:kern w:val="0"/>
          <w:sz w:val="27"/>
          <w:szCs w:val="27"/>
        </w:rPr>
        <w:t>.</w:t>
      </w:r>
      <w:r>
        <w:rPr>
          <w:rFonts w:ascii="宋体" w:hAnsi="宋体" w:cs="宋体" w:hint="eastAsia"/>
          <w:kern w:val="0"/>
          <w:sz w:val="27"/>
          <w:szCs w:val="27"/>
        </w:rPr>
        <w:t>4谈判</w:t>
      </w:r>
      <w:r>
        <w:rPr>
          <w:rFonts w:ascii="宋体" w:hAnsi="宋体" w:cs="宋体"/>
          <w:kern w:val="0"/>
          <w:sz w:val="27"/>
          <w:szCs w:val="27"/>
        </w:rPr>
        <w:t>响应文件的正本要求由</w:t>
      </w:r>
      <w:r>
        <w:rPr>
          <w:rFonts w:ascii="宋体" w:hAnsi="宋体" w:cs="宋体" w:hint="eastAsia"/>
          <w:kern w:val="0"/>
          <w:sz w:val="27"/>
          <w:szCs w:val="27"/>
        </w:rPr>
        <w:t>供应商</w:t>
      </w:r>
      <w:r>
        <w:rPr>
          <w:rFonts w:ascii="宋体" w:hAnsi="宋体" w:cs="宋体"/>
          <w:kern w:val="0"/>
          <w:sz w:val="27"/>
          <w:szCs w:val="27"/>
        </w:rPr>
        <w:t>法定代表人（经营者或自然人）签署</w:t>
      </w:r>
      <w:r>
        <w:rPr>
          <w:rFonts w:ascii="宋体" w:hAnsi="宋体" w:cs="宋体" w:hint="eastAsia"/>
          <w:kern w:val="0"/>
          <w:sz w:val="27"/>
          <w:szCs w:val="27"/>
        </w:rPr>
        <w:t>（印章）</w:t>
      </w:r>
      <w:r>
        <w:rPr>
          <w:rFonts w:ascii="宋体" w:hAnsi="宋体" w:cs="宋体"/>
          <w:kern w:val="0"/>
          <w:sz w:val="27"/>
          <w:szCs w:val="27"/>
        </w:rPr>
        <w:t>或经其正式授权的代表</w:t>
      </w:r>
      <w:r>
        <w:rPr>
          <w:rFonts w:ascii="宋体" w:hAnsi="宋体" w:cs="宋体" w:hint="eastAsia"/>
          <w:kern w:val="0"/>
          <w:sz w:val="27"/>
          <w:szCs w:val="27"/>
        </w:rPr>
        <w:t>签署（印章）</w:t>
      </w:r>
      <w:r>
        <w:rPr>
          <w:rFonts w:ascii="宋体" w:hAnsi="宋体" w:cs="宋体"/>
          <w:kern w:val="0"/>
          <w:sz w:val="27"/>
          <w:szCs w:val="27"/>
        </w:rPr>
        <w:t>并加盖</w:t>
      </w:r>
      <w:r>
        <w:rPr>
          <w:rFonts w:ascii="宋体" w:hAnsi="宋体" w:cs="宋体" w:hint="eastAsia"/>
          <w:kern w:val="0"/>
          <w:sz w:val="27"/>
          <w:szCs w:val="27"/>
        </w:rPr>
        <w:t>供应商</w:t>
      </w:r>
      <w:r>
        <w:rPr>
          <w:rFonts w:ascii="宋体" w:hAnsi="宋体" w:cs="宋体"/>
          <w:kern w:val="0"/>
          <w:sz w:val="27"/>
          <w:szCs w:val="27"/>
        </w:rPr>
        <w:t>公章。</w:t>
      </w:r>
      <w:r>
        <w:rPr>
          <w:rFonts w:ascii="宋体" w:hAnsi="宋体" w:hint="eastAsia"/>
          <w:sz w:val="27"/>
          <w:szCs w:val="27"/>
        </w:rPr>
        <w:t>法定代表人（经营者或自然人）参加的，应提供法定代表人（经营者或自然人）资格证明。正式授权代表参加的，须将以书面形式出具的“法定代表人（经营者或自然人）授权书”</w:t>
      </w:r>
      <w:r>
        <w:rPr>
          <w:rFonts w:ascii="宋体" w:hAnsi="宋体" w:cs="宋体"/>
          <w:kern w:val="0"/>
          <w:sz w:val="27"/>
          <w:szCs w:val="27"/>
        </w:rPr>
        <w:t>原件附在</w:t>
      </w:r>
      <w:r>
        <w:rPr>
          <w:rFonts w:ascii="宋体" w:hAnsi="宋体" w:cs="宋体" w:hint="eastAsia"/>
          <w:kern w:val="0"/>
          <w:sz w:val="27"/>
          <w:szCs w:val="27"/>
        </w:rPr>
        <w:t>谈判</w:t>
      </w:r>
      <w:r>
        <w:rPr>
          <w:rFonts w:ascii="宋体" w:hAnsi="宋体" w:cs="宋体"/>
          <w:kern w:val="0"/>
          <w:sz w:val="27"/>
          <w:szCs w:val="27"/>
        </w:rPr>
        <w:t>响应文件</w:t>
      </w:r>
      <w:r>
        <w:rPr>
          <w:rFonts w:ascii="宋体" w:hAnsi="宋体" w:cs="宋体" w:hint="eastAsia"/>
          <w:kern w:val="0"/>
          <w:sz w:val="27"/>
          <w:szCs w:val="27"/>
        </w:rPr>
        <w:t>正本中</w:t>
      </w:r>
      <w:r>
        <w:rPr>
          <w:rFonts w:ascii="宋体" w:hAnsi="宋体" w:cs="宋体"/>
          <w:kern w:val="0"/>
          <w:sz w:val="27"/>
          <w:szCs w:val="27"/>
        </w:rPr>
        <w:t>。</w:t>
      </w:r>
      <w:r>
        <w:rPr>
          <w:rFonts w:ascii="宋体" w:hAnsi="宋体" w:cs="宋体" w:hint="eastAsia"/>
          <w:kern w:val="0"/>
          <w:sz w:val="27"/>
          <w:szCs w:val="27"/>
        </w:rPr>
        <w:t>副本可以采用复印件。</w:t>
      </w:r>
    </w:p>
    <w:p>
      <w:pPr>
        <w:spacing w:line="500" w:lineRule="exact"/>
        <w:ind w:firstLine="135" w:firstLineChars="50"/>
        <w:rPr>
          <w:rFonts w:ascii="宋体" w:hAnsi="宋体" w:cs="宋体"/>
          <w:kern w:val="0"/>
          <w:sz w:val="27"/>
          <w:szCs w:val="27"/>
        </w:rPr>
      </w:pPr>
      <w:r>
        <w:rPr>
          <w:rFonts w:ascii="宋体" w:hAnsi="宋体" w:cs="宋体"/>
          <w:kern w:val="0"/>
          <w:sz w:val="27"/>
          <w:szCs w:val="27"/>
        </w:rPr>
        <w:t>1</w:t>
      </w:r>
      <w:r>
        <w:rPr>
          <w:rFonts w:ascii="宋体" w:hAnsi="宋体" w:cs="宋体" w:hint="eastAsia"/>
          <w:kern w:val="0"/>
          <w:sz w:val="27"/>
          <w:szCs w:val="27"/>
        </w:rPr>
        <w:t>8</w:t>
      </w:r>
      <w:r>
        <w:rPr>
          <w:rFonts w:ascii="宋体" w:hAnsi="宋体" w:cs="宋体"/>
          <w:kern w:val="0"/>
          <w:sz w:val="27"/>
          <w:szCs w:val="27"/>
        </w:rPr>
        <w:t>.</w:t>
      </w:r>
      <w:r>
        <w:rPr>
          <w:rFonts w:ascii="宋体" w:hAnsi="宋体" w:cs="宋体" w:hint="eastAsia"/>
          <w:kern w:val="0"/>
          <w:sz w:val="27"/>
          <w:szCs w:val="27"/>
        </w:rPr>
        <w:t>5</w:t>
      </w:r>
      <w:r>
        <w:rPr>
          <w:rFonts w:ascii="宋体" w:hAnsi="宋体" w:cs="宋体"/>
          <w:kern w:val="0"/>
          <w:sz w:val="27"/>
          <w:szCs w:val="27"/>
        </w:rPr>
        <w:t>除</w:t>
      </w:r>
      <w:r>
        <w:rPr>
          <w:rFonts w:ascii="宋体" w:hAnsi="宋体" w:cs="宋体" w:hint="eastAsia"/>
          <w:kern w:val="0"/>
          <w:sz w:val="27"/>
          <w:szCs w:val="27"/>
        </w:rPr>
        <w:t>供应商</w:t>
      </w:r>
      <w:r>
        <w:rPr>
          <w:rFonts w:ascii="宋体" w:hAnsi="宋体" w:cs="宋体"/>
          <w:kern w:val="0"/>
          <w:sz w:val="27"/>
          <w:szCs w:val="27"/>
        </w:rPr>
        <w:t>对错处做必要修改外，竞谈响应文件不得行间插字、涂改或增删。如有修改错漏处，必须由</w:t>
      </w:r>
      <w:r>
        <w:rPr>
          <w:rFonts w:ascii="宋体" w:hAnsi="宋体" w:cs="宋体" w:hint="eastAsia"/>
          <w:kern w:val="0"/>
          <w:sz w:val="27"/>
          <w:szCs w:val="27"/>
        </w:rPr>
        <w:t>供应商</w:t>
      </w:r>
      <w:r>
        <w:rPr>
          <w:rFonts w:ascii="宋体" w:hAnsi="宋体" w:cs="宋体"/>
          <w:kern w:val="0"/>
          <w:sz w:val="27"/>
          <w:szCs w:val="27"/>
        </w:rPr>
        <w:t>签字</w:t>
      </w:r>
      <w:r>
        <w:rPr>
          <w:rFonts w:ascii="宋体" w:hAnsi="宋体" w:cs="宋体" w:hint="eastAsia"/>
          <w:kern w:val="0"/>
          <w:sz w:val="27"/>
          <w:szCs w:val="27"/>
        </w:rPr>
        <w:t>或</w:t>
      </w:r>
      <w:r>
        <w:rPr>
          <w:rFonts w:ascii="宋体" w:hAnsi="宋体" w:cs="宋体"/>
          <w:kern w:val="0"/>
          <w:sz w:val="27"/>
          <w:szCs w:val="27"/>
        </w:rPr>
        <w:t>盖章。</w:t>
      </w:r>
    </w:p>
    <w:p>
      <w:pPr>
        <w:pStyle w:val="Heading2"/>
        <w:rPr>
          <w:kern w:val="0"/>
        </w:rPr>
      </w:pPr>
      <w:bookmarkStart w:id="16" w:name="_Toc54871723"/>
      <w:bookmarkStart w:id="17" w:name="_Toc414959377"/>
      <w:r>
        <w:rPr>
          <w:kern w:val="0"/>
        </w:rPr>
        <w:t>（</w:t>
      </w:r>
      <w:r>
        <w:rPr>
          <w:rFonts w:hint="eastAsia"/>
          <w:kern w:val="0"/>
        </w:rPr>
        <w:t>四</w:t>
      </w:r>
      <w:r>
        <w:rPr>
          <w:kern w:val="0"/>
        </w:rPr>
        <w:t>）竞谈响应文件的递交</w:t>
      </w:r>
      <w:bookmarkEnd w:id="16"/>
      <w:bookmarkEnd w:id="17"/>
    </w:p>
    <w:p>
      <w:pPr>
        <w:widowControl/>
        <w:spacing w:line="500" w:lineRule="exact"/>
        <w:jc w:val="left"/>
        <w:rPr>
          <w:rFonts w:ascii="宋体" w:hAnsi="宋体" w:cs="宋体"/>
          <w:b/>
          <w:kern w:val="0"/>
          <w:sz w:val="27"/>
          <w:szCs w:val="27"/>
        </w:rPr>
      </w:pPr>
      <w:r>
        <w:rPr>
          <w:rFonts w:ascii="宋体" w:hAnsi="宋体" w:cs="宋体" w:hint="eastAsia"/>
          <w:b/>
          <w:kern w:val="0"/>
          <w:sz w:val="27"/>
          <w:szCs w:val="27"/>
        </w:rPr>
        <w:t>19</w:t>
      </w:r>
      <w:r>
        <w:rPr>
          <w:rFonts w:ascii="宋体" w:hAnsi="宋体" w:cs="宋体"/>
          <w:b/>
          <w:kern w:val="0"/>
          <w:sz w:val="27"/>
          <w:szCs w:val="27"/>
        </w:rPr>
        <w:t>、竞谈响应文件的密封和标记</w:t>
      </w:r>
      <w:r>
        <w:rPr>
          <w:rFonts w:ascii="宋体" w:hAnsi="宋体" w:cs="宋体" w:hint="eastAsia"/>
          <w:b/>
          <w:kern w:val="0"/>
          <w:sz w:val="27"/>
          <w:szCs w:val="27"/>
        </w:rPr>
        <w:t xml:space="preserve">    </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19.1供应商</w:t>
      </w:r>
      <w:r>
        <w:rPr>
          <w:rFonts w:ascii="宋体" w:hAnsi="宋体" w:cs="宋体"/>
          <w:kern w:val="0"/>
          <w:sz w:val="27"/>
          <w:szCs w:val="27"/>
        </w:rPr>
        <w:t>应将竞谈响应文件正</w:t>
      </w:r>
      <w:r>
        <w:rPr>
          <w:rFonts w:ascii="宋体" w:hAnsi="宋体" w:cs="宋体" w:hint="eastAsia"/>
          <w:kern w:val="0"/>
          <w:sz w:val="27"/>
          <w:szCs w:val="27"/>
        </w:rPr>
        <w:t>本、副本</w:t>
      </w:r>
      <w:r>
        <w:rPr>
          <w:rFonts w:ascii="宋体" w:hAnsi="宋体" w:cs="宋体"/>
          <w:kern w:val="0"/>
          <w:sz w:val="27"/>
          <w:szCs w:val="27"/>
        </w:rPr>
        <w:t>密封,并在</w:t>
      </w:r>
      <w:r>
        <w:rPr>
          <w:rFonts w:ascii="宋体" w:hAnsi="宋体" w:cs="宋体" w:hint="eastAsia"/>
          <w:kern w:val="0"/>
          <w:sz w:val="27"/>
          <w:szCs w:val="27"/>
        </w:rPr>
        <w:t>封装袋</w:t>
      </w:r>
      <w:r>
        <w:rPr>
          <w:rFonts w:ascii="宋体" w:hAnsi="宋体" w:cs="宋体"/>
          <w:kern w:val="0"/>
          <w:sz w:val="27"/>
          <w:szCs w:val="27"/>
        </w:rPr>
        <w:t>上注明“正本”、“副本”</w:t>
      </w:r>
      <w:r>
        <w:rPr>
          <w:rFonts w:ascii="宋体" w:hAnsi="宋体" w:cs="宋体" w:hint="eastAsia"/>
          <w:kern w:val="0"/>
          <w:sz w:val="27"/>
          <w:szCs w:val="27"/>
        </w:rPr>
        <w:t>字样</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19</w:t>
      </w:r>
      <w:r>
        <w:rPr>
          <w:rFonts w:ascii="宋体" w:hAnsi="宋体" w:cs="宋体"/>
          <w:kern w:val="0"/>
          <w:sz w:val="27"/>
          <w:szCs w:val="27"/>
        </w:rPr>
        <w:t>.2</w:t>
      </w:r>
      <w:r>
        <w:rPr>
          <w:rFonts w:ascii="宋体" w:hAnsi="宋体" w:cs="宋体" w:hint="eastAsia"/>
          <w:kern w:val="0"/>
          <w:sz w:val="27"/>
          <w:szCs w:val="27"/>
        </w:rPr>
        <w:t>封装袋应</w:t>
      </w:r>
      <w:r>
        <w:rPr>
          <w:rFonts w:ascii="宋体" w:hAnsi="宋体" w:cs="宋体"/>
          <w:kern w:val="0"/>
          <w:sz w:val="27"/>
          <w:szCs w:val="27"/>
        </w:rPr>
        <w:t>写明项目名称、项目编号、</w:t>
      </w:r>
      <w:r>
        <w:rPr>
          <w:rFonts w:ascii="宋体" w:hAnsi="宋体" w:cs="宋体" w:hint="eastAsia"/>
          <w:kern w:val="0"/>
          <w:sz w:val="27"/>
          <w:szCs w:val="27"/>
        </w:rPr>
        <w:t>供应商</w:t>
      </w:r>
      <w:r>
        <w:rPr>
          <w:rFonts w:ascii="宋体" w:hAnsi="宋体" w:cs="宋体"/>
          <w:kern w:val="0"/>
          <w:sz w:val="27"/>
          <w:szCs w:val="27"/>
        </w:rPr>
        <w:t>名称并于封口处加盖骑缝章</w:t>
      </w:r>
      <w:r>
        <w:rPr>
          <w:rFonts w:ascii="宋体" w:hAnsi="宋体" w:cs="宋体" w:hint="eastAsia"/>
          <w:kern w:val="0"/>
          <w:sz w:val="27"/>
          <w:szCs w:val="27"/>
        </w:rPr>
        <w:t>，并</w:t>
      </w:r>
      <w:r>
        <w:rPr>
          <w:rFonts w:ascii="宋体" w:hAnsi="宋体" w:cs="宋体"/>
          <w:kern w:val="0"/>
          <w:sz w:val="27"/>
          <w:szCs w:val="27"/>
        </w:rPr>
        <w:t>按</w:t>
      </w:r>
      <w:r>
        <w:rPr>
          <w:rFonts w:ascii="宋体" w:hAnsi="宋体" w:cs="宋体" w:hint="eastAsia"/>
          <w:kern w:val="0"/>
          <w:sz w:val="27"/>
          <w:szCs w:val="27"/>
        </w:rPr>
        <w:t>谈判文件</w:t>
      </w:r>
      <w:r>
        <w:rPr>
          <w:rFonts w:ascii="宋体" w:hAnsi="宋体" w:cs="宋体"/>
          <w:kern w:val="0"/>
          <w:sz w:val="27"/>
          <w:szCs w:val="27"/>
        </w:rPr>
        <w:t>注明的地址送达响应地点。</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19</w:t>
      </w:r>
      <w:r>
        <w:rPr>
          <w:rFonts w:ascii="宋体" w:hAnsi="宋体" w:cs="宋体"/>
          <w:kern w:val="0"/>
          <w:sz w:val="27"/>
          <w:szCs w:val="27"/>
        </w:rPr>
        <w:t>.3竞谈响应文件</w:t>
      </w:r>
      <w:r>
        <w:rPr>
          <w:rFonts w:ascii="宋体" w:hAnsi="宋体" w:cs="宋体" w:hint="eastAsia"/>
          <w:kern w:val="0"/>
          <w:sz w:val="27"/>
          <w:szCs w:val="27"/>
        </w:rPr>
        <w:t>未</w:t>
      </w:r>
      <w:r>
        <w:rPr>
          <w:rFonts w:ascii="宋体" w:hAnsi="宋体" w:cs="宋体"/>
          <w:kern w:val="0"/>
          <w:sz w:val="27"/>
          <w:szCs w:val="27"/>
        </w:rPr>
        <w:t>按上述规定密封或加写标记，竞谈响应文件</w:t>
      </w:r>
      <w:r>
        <w:rPr>
          <w:rFonts w:ascii="宋体" w:hAnsi="宋体" w:cs="宋体" w:hint="eastAsia"/>
          <w:kern w:val="0"/>
          <w:sz w:val="27"/>
          <w:szCs w:val="27"/>
        </w:rPr>
        <w:t>将</w:t>
      </w:r>
      <w:r>
        <w:rPr>
          <w:rFonts w:ascii="宋体" w:hAnsi="宋体" w:cs="宋体"/>
          <w:kern w:val="0"/>
          <w:sz w:val="27"/>
          <w:szCs w:val="27"/>
        </w:rPr>
        <w:t>被拒绝。</w:t>
      </w:r>
    </w:p>
    <w:p>
      <w:pPr>
        <w:widowControl/>
        <w:spacing w:line="500" w:lineRule="exact"/>
        <w:jc w:val="left"/>
        <w:rPr>
          <w:rFonts w:ascii="宋体" w:hAnsi="宋体" w:cs="宋体"/>
          <w:b/>
          <w:kern w:val="0"/>
          <w:sz w:val="24"/>
        </w:rPr>
      </w:pPr>
      <w:r>
        <w:rPr>
          <w:rFonts w:ascii="宋体" w:hAnsi="宋体" w:cs="宋体" w:hint="eastAsia"/>
          <w:b/>
          <w:kern w:val="0"/>
          <w:sz w:val="27"/>
          <w:szCs w:val="27"/>
        </w:rPr>
        <w:t>20</w:t>
      </w:r>
      <w:r>
        <w:rPr>
          <w:rFonts w:ascii="宋体" w:hAnsi="宋体" w:cs="宋体"/>
          <w:b/>
          <w:kern w:val="0"/>
          <w:sz w:val="27"/>
          <w:szCs w:val="27"/>
        </w:rPr>
        <w:t>、响应截止期</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21.1在响应截止时间后递交的竞谈响应文件，采购人将拒绝接收。</w:t>
      </w:r>
    </w:p>
    <w:p>
      <w:pPr>
        <w:widowControl/>
        <w:spacing w:line="500" w:lineRule="exact"/>
        <w:jc w:val="left"/>
        <w:rPr>
          <w:rFonts w:ascii="宋体" w:hAnsi="宋体" w:cs="宋体"/>
          <w:b/>
          <w:kern w:val="0"/>
          <w:sz w:val="24"/>
        </w:rPr>
      </w:pPr>
      <w:r>
        <w:rPr>
          <w:rFonts w:ascii="宋体" w:hAnsi="宋体" w:cs="宋体" w:hint="eastAsia"/>
          <w:b/>
          <w:kern w:val="0"/>
          <w:sz w:val="27"/>
          <w:szCs w:val="27"/>
        </w:rPr>
        <w:t>21</w:t>
      </w:r>
      <w:r>
        <w:rPr>
          <w:rFonts w:ascii="宋体" w:hAnsi="宋体" w:cs="宋体"/>
          <w:b/>
          <w:kern w:val="0"/>
          <w:sz w:val="27"/>
          <w:szCs w:val="27"/>
        </w:rPr>
        <w:t>、竞谈响应文件的修改和撤回</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21</w:t>
      </w:r>
      <w:r>
        <w:rPr>
          <w:rFonts w:ascii="宋体" w:hAnsi="宋体" w:cs="宋体"/>
          <w:kern w:val="0"/>
          <w:sz w:val="27"/>
          <w:szCs w:val="27"/>
        </w:rPr>
        <w:t>.1</w:t>
      </w:r>
      <w:r>
        <w:rPr>
          <w:rFonts w:ascii="宋体" w:hAnsi="宋体" w:cs="宋体" w:hint="eastAsia"/>
          <w:kern w:val="0"/>
          <w:sz w:val="27"/>
          <w:szCs w:val="27"/>
        </w:rPr>
        <w:t>在规定的响应截止期前</w:t>
      </w:r>
      <w:r>
        <w:rPr>
          <w:rFonts w:ascii="宋体" w:hAnsi="宋体" w:cs="宋体"/>
          <w:kern w:val="0"/>
          <w:sz w:val="27"/>
          <w:szCs w:val="27"/>
        </w:rPr>
        <w:t>，</w:t>
      </w:r>
      <w:r>
        <w:rPr>
          <w:rFonts w:ascii="宋体" w:hAnsi="宋体" w:cs="宋体" w:hint="eastAsia"/>
          <w:kern w:val="0"/>
          <w:sz w:val="27"/>
          <w:szCs w:val="27"/>
        </w:rPr>
        <w:t>供应商可</w:t>
      </w:r>
      <w:r>
        <w:rPr>
          <w:rFonts w:ascii="宋体" w:hAnsi="宋体" w:cs="宋体"/>
          <w:kern w:val="0"/>
          <w:sz w:val="27"/>
          <w:szCs w:val="27"/>
        </w:rPr>
        <w:t>以书面形式</w:t>
      </w:r>
      <w:r>
        <w:rPr>
          <w:rFonts w:ascii="宋体" w:hAnsi="宋体" w:cs="宋体" w:hint="eastAsia"/>
          <w:kern w:val="0"/>
          <w:sz w:val="27"/>
          <w:szCs w:val="27"/>
        </w:rPr>
        <w:t>提出修改或撤回其递交的竞谈响应文件</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4"/>
        </w:rPr>
        <w:sectPr>
          <w:footerReference w:type="default" r:id="rId25"/>
          <w:footerReference w:type="first" r:id="rId26"/>
          <w:type w:val="nextPage"/>
          <w:pgSz w:w="11906" w:h="16838"/>
          <w:pgMar w:top="1440" w:right="1080" w:bottom="1440" w:left="1080" w:header="851" w:footer="992" w:gutter="0"/>
          <w:pgNumType w:start="11"/>
          <w:cols w:num="1" w:space="720"/>
          <w:titlePg w:val="0"/>
          <w:docGrid w:linePitch="312" w:charSpace="0"/>
        </w:sectPr>
      </w:pPr>
      <w:r>
        <w:rPr>
          <w:rFonts w:ascii="宋体" w:hAnsi="宋体" w:cs="宋体" w:hint="eastAsia"/>
          <w:kern w:val="0"/>
          <w:sz w:val="27"/>
          <w:szCs w:val="27"/>
        </w:rPr>
        <w:t>21</w:t>
      </w:r>
      <w:r>
        <w:rPr>
          <w:rFonts w:ascii="宋体" w:hAnsi="宋体" w:cs="宋体"/>
          <w:kern w:val="0"/>
          <w:sz w:val="27"/>
          <w:szCs w:val="27"/>
        </w:rPr>
        <w:t>.2</w:t>
      </w:r>
      <w:r>
        <w:rPr>
          <w:rFonts w:ascii="宋体" w:hAnsi="宋体" w:cs="宋体" w:hint="eastAsia"/>
          <w:kern w:val="0"/>
          <w:sz w:val="27"/>
          <w:szCs w:val="27"/>
        </w:rPr>
        <w:t>供应商</w:t>
      </w:r>
      <w:r>
        <w:rPr>
          <w:rFonts w:ascii="宋体" w:hAnsi="宋体" w:cs="宋体"/>
          <w:kern w:val="0"/>
          <w:sz w:val="27"/>
          <w:szCs w:val="27"/>
        </w:rPr>
        <w:t>的修改</w:t>
      </w:r>
      <w:r>
        <w:rPr>
          <w:rFonts w:ascii="宋体" w:hAnsi="宋体" w:cs="宋体" w:hint="eastAsia"/>
          <w:kern w:val="0"/>
          <w:sz w:val="27"/>
          <w:szCs w:val="27"/>
        </w:rPr>
        <w:t>材料</w:t>
      </w:r>
      <w:r>
        <w:rPr>
          <w:rFonts w:ascii="宋体" w:hAnsi="宋体" w:cs="宋体"/>
          <w:kern w:val="0"/>
          <w:sz w:val="27"/>
          <w:szCs w:val="27"/>
        </w:rPr>
        <w:t>或撤回通知，应按</w:t>
      </w:r>
      <w:r>
        <w:rPr>
          <w:rFonts w:ascii="宋体" w:hAnsi="宋体" w:cs="宋体" w:hint="eastAsia"/>
          <w:kern w:val="0"/>
          <w:sz w:val="27"/>
          <w:szCs w:val="27"/>
        </w:rPr>
        <w:t>规定</w:t>
      </w:r>
      <w:r>
        <w:rPr>
          <w:rFonts w:ascii="宋体" w:hAnsi="宋体" w:cs="宋体"/>
          <w:kern w:val="0"/>
          <w:sz w:val="27"/>
          <w:szCs w:val="27"/>
        </w:rPr>
        <w:t>进行编制、密封、标记和递交，且在</w:t>
      </w:r>
      <w:r>
        <w:rPr>
          <w:rFonts w:ascii="宋体" w:hAnsi="宋体" w:cs="宋体" w:hint="eastAsia"/>
          <w:kern w:val="0"/>
          <w:sz w:val="27"/>
          <w:szCs w:val="27"/>
        </w:rPr>
        <w:t>密封袋</w:t>
      </w:r>
      <w:r>
        <w:rPr>
          <w:rFonts w:ascii="宋体" w:hAnsi="宋体" w:cs="宋体"/>
          <w:kern w:val="0"/>
          <w:sz w:val="27"/>
          <w:szCs w:val="27"/>
        </w:rPr>
        <w:t>上标明“</w:t>
      </w:r>
      <w:r>
        <w:rPr>
          <w:rFonts w:ascii="宋体" w:hAnsi="宋体" w:cs="宋体" w:hint="eastAsia"/>
          <w:kern w:val="0"/>
          <w:sz w:val="27"/>
          <w:szCs w:val="27"/>
        </w:rPr>
        <w:t>竞谈响应文件</w:t>
      </w:r>
      <w:r>
        <w:rPr>
          <w:rFonts w:ascii="宋体" w:hAnsi="宋体" w:cs="宋体"/>
          <w:kern w:val="0"/>
          <w:sz w:val="27"/>
          <w:szCs w:val="27"/>
        </w:rPr>
        <w:t>修改”或“</w:t>
      </w:r>
      <w:r>
        <w:rPr>
          <w:rFonts w:ascii="宋体" w:hAnsi="宋体" w:cs="宋体" w:hint="eastAsia"/>
          <w:kern w:val="0"/>
          <w:sz w:val="27"/>
          <w:szCs w:val="27"/>
        </w:rPr>
        <w:t>竞谈响应文件</w:t>
      </w:r>
      <w:r>
        <w:rPr>
          <w:rFonts w:ascii="宋体" w:hAnsi="宋体" w:cs="宋体"/>
          <w:kern w:val="0"/>
          <w:sz w:val="27"/>
          <w:szCs w:val="27"/>
        </w:rPr>
        <w:t>撤回</w:t>
      </w:r>
      <w:r>
        <w:rPr>
          <w:rFonts w:ascii="宋体" w:hAnsi="宋体" w:cs="宋体" w:hint="eastAsia"/>
          <w:kern w:val="0"/>
          <w:sz w:val="27"/>
          <w:szCs w:val="27"/>
        </w:rPr>
        <w:t>通知</w:t>
      </w:r>
      <w:r>
        <w:rPr>
          <w:rFonts w:ascii="宋体" w:hAnsi="宋体" w:cs="宋体"/>
          <w:kern w:val="0"/>
          <w:sz w:val="27"/>
          <w:szCs w:val="27"/>
        </w:rPr>
        <w:t>”字样。</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21</w:t>
      </w:r>
      <w:r>
        <w:rPr>
          <w:rFonts w:ascii="宋体" w:hAnsi="宋体" w:cs="宋体"/>
          <w:kern w:val="0"/>
          <w:sz w:val="27"/>
          <w:szCs w:val="27"/>
        </w:rPr>
        <w:t>.3在响应截止</w:t>
      </w:r>
      <w:r>
        <w:rPr>
          <w:rFonts w:ascii="宋体" w:hAnsi="宋体" w:cs="宋体" w:hint="eastAsia"/>
          <w:kern w:val="0"/>
          <w:sz w:val="27"/>
          <w:szCs w:val="27"/>
        </w:rPr>
        <w:t>时间至谈判</w:t>
      </w:r>
      <w:r>
        <w:rPr>
          <w:rFonts w:ascii="宋体" w:hAnsi="宋体" w:cs="宋体"/>
          <w:kern w:val="0"/>
          <w:sz w:val="27"/>
          <w:szCs w:val="27"/>
        </w:rPr>
        <w:t>文件规定的响应有效期终止日之间的这段时间内，</w:t>
      </w:r>
      <w:r>
        <w:rPr>
          <w:rFonts w:ascii="宋体" w:hAnsi="宋体" w:cs="宋体" w:hint="eastAsia"/>
          <w:kern w:val="0"/>
          <w:sz w:val="27"/>
          <w:szCs w:val="27"/>
        </w:rPr>
        <w:t>供应商</w:t>
      </w:r>
      <w:r>
        <w:rPr>
          <w:rFonts w:ascii="宋体" w:hAnsi="宋体" w:cs="宋体"/>
          <w:kern w:val="0"/>
          <w:sz w:val="27"/>
          <w:szCs w:val="27"/>
        </w:rPr>
        <w:t>不能撤回竞谈响应文件。</w:t>
      </w:r>
    </w:p>
    <w:p>
      <w:pPr>
        <w:pStyle w:val="Heading2"/>
        <w:ind w:firstLine="0"/>
        <w:rPr>
          <w:kern w:val="0"/>
        </w:rPr>
      </w:pPr>
      <w:bookmarkStart w:id="18" w:name="_Toc414959378"/>
      <w:bookmarkStart w:id="19" w:name="_Toc54871724"/>
      <w:r>
        <w:rPr>
          <w:kern w:val="0"/>
        </w:rPr>
        <w:t>（</w:t>
      </w:r>
      <w:r>
        <w:rPr>
          <w:rFonts w:hint="eastAsia"/>
          <w:kern w:val="0"/>
        </w:rPr>
        <w:t>五</w:t>
      </w:r>
      <w:r>
        <w:rPr>
          <w:kern w:val="0"/>
        </w:rPr>
        <w:t>）开</w:t>
      </w:r>
      <w:r>
        <w:rPr>
          <w:rFonts w:hint="eastAsia"/>
          <w:kern w:val="0"/>
        </w:rPr>
        <w:t>启</w:t>
      </w:r>
      <w:r>
        <w:rPr>
          <w:kern w:val="0"/>
        </w:rPr>
        <w:t>与评</w:t>
      </w:r>
      <w:bookmarkEnd w:id="18"/>
      <w:r>
        <w:rPr>
          <w:rFonts w:hint="eastAsia"/>
          <w:kern w:val="0"/>
        </w:rPr>
        <w:t>审</w:t>
      </w:r>
      <w:bookmarkEnd w:id="19"/>
    </w:p>
    <w:p>
      <w:pPr>
        <w:widowControl/>
        <w:spacing w:line="500" w:lineRule="exact"/>
        <w:jc w:val="left"/>
        <w:rPr>
          <w:rFonts w:ascii="宋体" w:hAnsi="宋体" w:cs="宋体"/>
          <w:b/>
          <w:kern w:val="0"/>
          <w:sz w:val="27"/>
          <w:szCs w:val="27"/>
        </w:rPr>
      </w:pPr>
      <w:r>
        <w:rPr>
          <w:rFonts w:ascii="宋体" w:hAnsi="宋体" w:cs="宋体" w:hint="eastAsia"/>
          <w:b/>
          <w:kern w:val="0"/>
          <w:sz w:val="27"/>
          <w:szCs w:val="27"/>
        </w:rPr>
        <w:t>22、谈判小组的组成</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22.1谈判小组由采购人组织有关技术、经济等方面的人员组成，依法组建谈判小组。</w:t>
      </w:r>
    </w:p>
    <w:p>
      <w:pPr>
        <w:widowControl/>
        <w:spacing w:line="500" w:lineRule="exact"/>
        <w:jc w:val="left"/>
        <w:rPr>
          <w:rFonts w:ascii="宋体" w:hAnsi="宋体" w:cs="宋体"/>
          <w:b/>
          <w:kern w:val="0"/>
          <w:sz w:val="24"/>
        </w:rPr>
      </w:pPr>
      <w:r>
        <w:rPr>
          <w:rFonts w:ascii="宋体" w:hAnsi="宋体" w:cs="宋体" w:hint="eastAsia"/>
          <w:b/>
          <w:kern w:val="0"/>
          <w:sz w:val="27"/>
          <w:szCs w:val="27"/>
        </w:rPr>
        <w:t>23</w:t>
      </w:r>
      <w:r>
        <w:rPr>
          <w:rFonts w:ascii="宋体" w:hAnsi="宋体" w:cs="宋体"/>
          <w:b/>
          <w:kern w:val="0"/>
          <w:sz w:val="27"/>
          <w:szCs w:val="27"/>
        </w:rPr>
        <w:t>、开启</w:t>
      </w:r>
    </w:p>
    <w:p>
      <w:pPr>
        <w:widowControl/>
        <w:spacing w:line="500" w:lineRule="exact"/>
        <w:ind w:firstLine="135" w:firstLineChars="50"/>
        <w:jc w:val="left"/>
        <w:rPr>
          <w:rFonts w:ascii="宋体" w:hAnsi="宋体"/>
          <w:color w:val="FF0000"/>
          <w:sz w:val="27"/>
          <w:szCs w:val="27"/>
        </w:rPr>
      </w:pPr>
      <w:r>
        <w:rPr>
          <w:rFonts w:ascii="宋体" w:hAnsi="宋体" w:cs="宋体" w:hint="eastAsia"/>
          <w:kern w:val="0"/>
          <w:sz w:val="27"/>
          <w:szCs w:val="27"/>
        </w:rPr>
        <w:t>23</w:t>
      </w:r>
      <w:r>
        <w:rPr>
          <w:rFonts w:ascii="宋体" w:hAnsi="宋体" w:cs="宋体"/>
          <w:kern w:val="0"/>
          <w:sz w:val="27"/>
          <w:szCs w:val="27"/>
        </w:rPr>
        <w:t>.1</w:t>
      </w:r>
      <w:r>
        <w:rPr>
          <w:rFonts w:ascii="宋体" w:hAnsi="宋体" w:hint="eastAsia"/>
          <w:sz w:val="27"/>
          <w:szCs w:val="27"/>
        </w:rPr>
        <w:t>采购人</w:t>
      </w:r>
      <w:r>
        <w:rPr>
          <w:rFonts w:ascii="宋体" w:hAnsi="宋体" w:cs="宋体"/>
          <w:kern w:val="0"/>
          <w:sz w:val="27"/>
          <w:szCs w:val="27"/>
        </w:rPr>
        <w:t>将在规定的时间和地点组织开启。</w:t>
      </w:r>
      <w:r>
        <w:rPr>
          <w:rFonts w:ascii="宋体" w:hAnsi="宋体" w:hint="eastAsia"/>
          <w:sz w:val="27"/>
          <w:szCs w:val="27"/>
        </w:rPr>
        <w:t>供应商响应代表须携带响应代表本人身份证明原件参加，并应签名和递交响应代表本人身份证明原件以证明其出席。签到时间以递交响应文件及响应代表本人身份证明原件时间为准。</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23</w:t>
      </w:r>
      <w:r>
        <w:rPr>
          <w:rFonts w:ascii="宋体" w:hAnsi="宋体" w:cs="宋体"/>
          <w:kern w:val="0"/>
          <w:sz w:val="27"/>
          <w:szCs w:val="27"/>
        </w:rPr>
        <w:t>.2</w:t>
      </w:r>
      <w:r>
        <w:rPr>
          <w:rFonts w:ascii="宋体" w:hAnsi="宋体" w:cs="宋体" w:hint="eastAsia"/>
          <w:kern w:val="0"/>
          <w:sz w:val="27"/>
          <w:szCs w:val="27"/>
        </w:rPr>
        <w:t>开启由采购人主持，开启时，</w:t>
      </w:r>
      <w:r>
        <w:rPr>
          <w:rFonts w:ascii="宋体" w:hAnsi="宋体" w:cs="宋体"/>
          <w:kern w:val="0"/>
          <w:sz w:val="27"/>
          <w:szCs w:val="27"/>
        </w:rPr>
        <w:t>由</w:t>
      </w:r>
      <w:r>
        <w:rPr>
          <w:rFonts w:ascii="宋体" w:hAnsi="宋体" w:cs="宋体" w:hint="eastAsia"/>
          <w:kern w:val="0"/>
          <w:sz w:val="27"/>
          <w:szCs w:val="27"/>
        </w:rPr>
        <w:t>采购人及供应商</w:t>
      </w:r>
      <w:r>
        <w:rPr>
          <w:rFonts w:ascii="宋体" w:hAnsi="宋体" w:cs="宋体"/>
          <w:kern w:val="0"/>
          <w:sz w:val="27"/>
          <w:szCs w:val="27"/>
        </w:rPr>
        <w:t>代表</w:t>
      </w:r>
      <w:r>
        <w:rPr>
          <w:rFonts w:ascii="宋体" w:hAnsi="宋体" w:cs="宋体" w:hint="eastAsia"/>
          <w:kern w:val="0"/>
          <w:sz w:val="27"/>
          <w:szCs w:val="27"/>
        </w:rPr>
        <w:t>共同</w:t>
      </w:r>
      <w:r>
        <w:rPr>
          <w:rFonts w:ascii="宋体" w:hAnsi="宋体" w:cs="宋体"/>
          <w:kern w:val="0"/>
          <w:sz w:val="27"/>
          <w:szCs w:val="27"/>
        </w:rPr>
        <w:t>检查竞谈响应文件的密封情况，</w:t>
      </w:r>
      <w:r>
        <w:rPr>
          <w:rFonts w:ascii="宋体" w:hAnsi="宋体" w:hint="eastAsia"/>
          <w:sz w:val="27"/>
          <w:szCs w:val="27"/>
        </w:rPr>
        <w:t>有关部门可以视情况到场监督开启情况，</w:t>
      </w:r>
      <w:r>
        <w:rPr>
          <w:rFonts w:ascii="宋体" w:hAnsi="宋体" w:cs="宋体"/>
          <w:kern w:val="0"/>
          <w:sz w:val="27"/>
          <w:szCs w:val="27"/>
        </w:rPr>
        <w:t>经当场确认无误后当众拆封唱标。</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23</w:t>
      </w:r>
      <w:r>
        <w:rPr>
          <w:rFonts w:ascii="宋体" w:hAnsi="宋体" w:cs="宋体"/>
          <w:kern w:val="0"/>
          <w:sz w:val="27"/>
          <w:szCs w:val="27"/>
        </w:rPr>
        <w:t>.3开启时，</w:t>
      </w:r>
      <w:r>
        <w:rPr>
          <w:rFonts w:ascii="宋体" w:hAnsi="宋体" w:hint="eastAsia"/>
          <w:sz w:val="27"/>
          <w:szCs w:val="27"/>
        </w:rPr>
        <w:t>采购人</w:t>
      </w:r>
      <w:r>
        <w:rPr>
          <w:rFonts w:ascii="宋体" w:hAnsi="宋体" w:cs="宋体" w:hint="eastAsia"/>
          <w:kern w:val="0"/>
          <w:sz w:val="27"/>
          <w:szCs w:val="27"/>
        </w:rPr>
        <w:t>工作人员</w:t>
      </w:r>
      <w:r>
        <w:rPr>
          <w:rFonts w:ascii="宋体" w:hAnsi="宋体" w:cs="宋体"/>
          <w:kern w:val="0"/>
          <w:sz w:val="27"/>
          <w:szCs w:val="27"/>
        </w:rPr>
        <w:t>当众宣读</w:t>
      </w:r>
      <w:r>
        <w:rPr>
          <w:rFonts w:ascii="宋体" w:hAnsi="宋体" w:cs="宋体" w:hint="eastAsia"/>
          <w:kern w:val="0"/>
          <w:sz w:val="27"/>
          <w:szCs w:val="27"/>
        </w:rPr>
        <w:t>供应商</w:t>
      </w:r>
      <w:r>
        <w:rPr>
          <w:rFonts w:ascii="宋体" w:hAnsi="宋体" w:cs="宋体"/>
          <w:kern w:val="0"/>
          <w:sz w:val="27"/>
          <w:szCs w:val="27"/>
        </w:rPr>
        <w:t>名称及</w:t>
      </w:r>
      <w:r>
        <w:rPr>
          <w:rFonts w:ascii="宋体" w:hAnsi="宋体" w:hint="eastAsia"/>
          <w:sz w:val="27"/>
          <w:szCs w:val="27"/>
        </w:rPr>
        <w:t>采购人</w:t>
      </w:r>
      <w:r>
        <w:rPr>
          <w:rFonts w:ascii="宋体" w:hAnsi="宋体" w:cs="宋体"/>
          <w:kern w:val="0"/>
          <w:sz w:val="27"/>
          <w:szCs w:val="27"/>
        </w:rPr>
        <w:t>认为合适的其它内容</w:t>
      </w:r>
      <w:r>
        <w:rPr>
          <w:rFonts w:ascii="宋体" w:hAnsi="宋体" w:cs="宋体" w:hint="eastAsia"/>
          <w:kern w:val="0"/>
          <w:sz w:val="27"/>
          <w:szCs w:val="27"/>
        </w:rPr>
        <w:t>，并做好开启记录</w:t>
      </w:r>
      <w:r>
        <w:rPr>
          <w:rFonts w:ascii="宋体" w:hAnsi="宋体" w:cs="宋体"/>
          <w:kern w:val="0"/>
          <w:sz w:val="27"/>
          <w:szCs w:val="27"/>
        </w:rPr>
        <w:t>。</w:t>
      </w:r>
    </w:p>
    <w:p>
      <w:pPr>
        <w:widowControl/>
        <w:spacing w:line="500" w:lineRule="exact"/>
        <w:jc w:val="left"/>
        <w:rPr>
          <w:rFonts w:ascii="宋体" w:hAnsi="宋体" w:cs="宋体"/>
          <w:b/>
          <w:kern w:val="0"/>
          <w:sz w:val="24"/>
        </w:rPr>
      </w:pPr>
      <w:r>
        <w:rPr>
          <w:rFonts w:ascii="宋体" w:hAnsi="宋体" w:cs="宋体" w:hint="eastAsia"/>
          <w:b/>
          <w:kern w:val="0"/>
          <w:sz w:val="27"/>
          <w:szCs w:val="27"/>
        </w:rPr>
        <w:t>24</w:t>
      </w:r>
      <w:r>
        <w:rPr>
          <w:rFonts w:ascii="宋体" w:hAnsi="宋体" w:cs="宋体"/>
          <w:b/>
          <w:kern w:val="0"/>
          <w:sz w:val="27"/>
          <w:szCs w:val="27"/>
        </w:rPr>
        <w:t>、响应的评价和比较</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24</w:t>
      </w:r>
      <w:r>
        <w:rPr>
          <w:rFonts w:ascii="宋体" w:hAnsi="宋体" w:cs="宋体"/>
          <w:kern w:val="0"/>
          <w:sz w:val="27"/>
          <w:szCs w:val="27"/>
        </w:rPr>
        <w:t>.1</w:t>
      </w:r>
      <w:r>
        <w:rPr>
          <w:rFonts w:ascii="宋体" w:hAnsi="宋体" w:cs="宋体" w:hint="eastAsia"/>
          <w:kern w:val="0"/>
          <w:sz w:val="27"/>
          <w:szCs w:val="27"/>
        </w:rPr>
        <w:t>谈判小组将</w:t>
      </w:r>
      <w:r>
        <w:rPr>
          <w:rFonts w:ascii="宋体" w:hAnsi="宋体" w:cs="宋体"/>
          <w:kern w:val="0"/>
          <w:sz w:val="27"/>
          <w:szCs w:val="27"/>
        </w:rPr>
        <w:t>按照谈判文件</w:t>
      </w:r>
      <w:r>
        <w:rPr>
          <w:rFonts w:ascii="宋体" w:hAnsi="宋体" w:cs="宋体" w:hint="eastAsia"/>
          <w:kern w:val="0"/>
          <w:sz w:val="27"/>
          <w:szCs w:val="27"/>
        </w:rPr>
        <w:t>规定的评审办法进行评审</w:t>
      </w:r>
      <w:r>
        <w:rPr>
          <w:rFonts w:ascii="宋体" w:hAnsi="宋体" w:cs="宋体"/>
          <w:kern w:val="0"/>
          <w:sz w:val="27"/>
          <w:szCs w:val="27"/>
        </w:rPr>
        <w:t>。</w:t>
      </w:r>
    </w:p>
    <w:p>
      <w:pPr>
        <w:widowControl/>
        <w:spacing w:line="500" w:lineRule="exact"/>
        <w:ind w:firstLine="135" w:firstLineChars="50"/>
        <w:jc w:val="left"/>
        <w:rPr>
          <w:rFonts w:ascii="宋体" w:hAnsi="宋体" w:cs="宋体"/>
          <w:kern w:val="0"/>
          <w:sz w:val="24"/>
        </w:rPr>
      </w:pPr>
      <w:r>
        <w:rPr>
          <w:rFonts w:ascii="宋体" w:hAnsi="宋体" w:cs="宋体" w:hint="eastAsia"/>
          <w:kern w:val="0"/>
          <w:sz w:val="27"/>
          <w:szCs w:val="27"/>
        </w:rPr>
        <w:t>24</w:t>
      </w:r>
      <w:r>
        <w:rPr>
          <w:rFonts w:ascii="宋体" w:hAnsi="宋体" w:cs="宋体"/>
          <w:kern w:val="0"/>
          <w:sz w:val="27"/>
          <w:szCs w:val="27"/>
        </w:rPr>
        <w:t>.2</w:t>
      </w:r>
      <w:r>
        <w:rPr>
          <w:rFonts w:ascii="宋体" w:hAnsi="宋体" w:cs="宋体" w:hint="eastAsia"/>
          <w:kern w:val="0"/>
          <w:sz w:val="27"/>
          <w:szCs w:val="27"/>
        </w:rPr>
        <w:t>评审专家独立进行评审，</w:t>
      </w:r>
      <w:r>
        <w:rPr>
          <w:rFonts w:ascii="宋体" w:hAnsi="宋体" w:cs="宋体"/>
          <w:kern w:val="0"/>
          <w:sz w:val="27"/>
          <w:szCs w:val="27"/>
        </w:rPr>
        <w:t>不得向任何人透露评审信息。</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24</w:t>
      </w:r>
      <w:r>
        <w:rPr>
          <w:rFonts w:ascii="宋体" w:hAnsi="宋体" w:cs="宋体"/>
          <w:kern w:val="0"/>
          <w:sz w:val="27"/>
          <w:szCs w:val="27"/>
        </w:rPr>
        <w:t>.3</w:t>
      </w:r>
      <w:r>
        <w:rPr>
          <w:rFonts w:ascii="宋体" w:hAnsi="宋体" w:hint="eastAsia"/>
          <w:sz w:val="27"/>
          <w:szCs w:val="27"/>
        </w:rPr>
        <w:t>采购人</w:t>
      </w:r>
      <w:r>
        <w:rPr>
          <w:rFonts w:ascii="宋体" w:hAnsi="宋体" w:cs="宋体"/>
          <w:kern w:val="0"/>
          <w:sz w:val="27"/>
          <w:szCs w:val="27"/>
        </w:rPr>
        <w:t>不向</w:t>
      </w:r>
      <w:r>
        <w:rPr>
          <w:rFonts w:ascii="宋体" w:hAnsi="宋体" w:cs="宋体" w:hint="eastAsia"/>
          <w:kern w:val="0"/>
          <w:sz w:val="27"/>
          <w:szCs w:val="27"/>
        </w:rPr>
        <w:t>未成交供应商</w:t>
      </w:r>
      <w:r>
        <w:rPr>
          <w:rFonts w:ascii="宋体" w:hAnsi="宋体" w:cs="宋体"/>
          <w:kern w:val="0"/>
          <w:sz w:val="27"/>
          <w:szCs w:val="27"/>
        </w:rPr>
        <w:t>解释</w:t>
      </w:r>
      <w:r>
        <w:rPr>
          <w:rFonts w:ascii="宋体" w:hAnsi="宋体" w:cs="宋体" w:hint="eastAsia"/>
          <w:kern w:val="0"/>
          <w:sz w:val="27"/>
          <w:szCs w:val="27"/>
        </w:rPr>
        <w:t>未成交</w:t>
      </w:r>
      <w:r>
        <w:rPr>
          <w:rFonts w:ascii="宋体" w:hAnsi="宋体" w:cs="宋体"/>
          <w:kern w:val="0"/>
          <w:sz w:val="27"/>
          <w:szCs w:val="27"/>
        </w:rPr>
        <w:t>原因，不退还竞谈响应文件。</w:t>
      </w:r>
    </w:p>
    <w:p>
      <w:pPr>
        <w:widowControl/>
        <w:spacing w:line="500" w:lineRule="exact"/>
        <w:ind w:firstLine="135" w:firstLineChars="50"/>
        <w:jc w:val="left"/>
        <w:rPr>
          <w:rFonts w:ascii="宋体" w:hAnsi="宋体" w:cs="宋体"/>
          <w:kern w:val="0"/>
          <w:sz w:val="24"/>
        </w:rPr>
      </w:pPr>
      <w:r>
        <w:rPr>
          <w:rFonts w:ascii="宋体" w:hAnsi="宋体" w:hint="eastAsia"/>
          <w:sz w:val="27"/>
          <w:szCs w:val="27"/>
        </w:rPr>
        <w:t>24.4本次采购成交供应商由谈判小组推荐成交候选人，采购人确定。</w:t>
      </w:r>
    </w:p>
    <w:p>
      <w:pPr>
        <w:widowControl/>
        <w:spacing w:line="500" w:lineRule="exact"/>
        <w:jc w:val="left"/>
        <w:rPr>
          <w:rFonts w:ascii="宋体" w:hAnsi="宋体" w:cs="宋体"/>
          <w:b/>
          <w:kern w:val="0"/>
          <w:sz w:val="27"/>
          <w:szCs w:val="27"/>
        </w:rPr>
      </w:pPr>
      <w:r>
        <w:rPr>
          <w:rFonts w:ascii="宋体" w:hAnsi="宋体" w:cs="宋体" w:hint="eastAsia"/>
          <w:b/>
          <w:kern w:val="0"/>
          <w:sz w:val="27"/>
          <w:szCs w:val="27"/>
        </w:rPr>
        <w:t>25</w:t>
      </w:r>
      <w:r>
        <w:rPr>
          <w:rFonts w:ascii="宋体" w:hAnsi="宋体" w:cs="宋体"/>
          <w:b/>
          <w:kern w:val="0"/>
          <w:sz w:val="27"/>
          <w:szCs w:val="27"/>
        </w:rPr>
        <w:t>、竞谈响应文件的初审</w:t>
      </w:r>
      <w:r>
        <w:rPr>
          <w:rFonts w:ascii="宋体" w:hAnsi="宋体" w:cs="宋体" w:hint="eastAsia"/>
          <w:b/>
          <w:kern w:val="0"/>
          <w:sz w:val="27"/>
          <w:szCs w:val="27"/>
        </w:rPr>
        <w:t>。初审分为资格性检查和符合性检查。</w:t>
      </w:r>
    </w:p>
    <w:p>
      <w:pPr>
        <w:spacing w:line="500" w:lineRule="exact"/>
        <w:ind w:firstLine="135" w:firstLineChars="50"/>
        <w:rPr>
          <w:rFonts w:ascii="宋体" w:hAnsi="宋体" w:cs="Courier New"/>
          <w:sz w:val="27"/>
          <w:szCs w:val="27"/>
        </w:rPr>
        <w:sectPr>
          <w:footerReference w:type="default" r:id="rId27"/>
          <w:footerReference w:type="first" r:id="rId28"/>
          <w:type w:val="nextPage"/>
          <w:pgSz w:w="11906" w:h="16838"/>
          <w:pgMar w:top="1440" w:right="1080" w:bottom="1440" w:left="1080" w:header="851" w:footer="992" w:gutter="0"/>
          <w:pgNumType w:start="12"/>
          <w:cols w:num="1" w:space="720"/>
          <w:titlePg w:val="0"/>
          <w:docGrid w:linePitch="312" w:charSpace="0"/>
        </w:sectPr>
      </w:pPr>
      <w:r>
        <w:rPr>
          <w:rFonts w:ascii="宋体" w:hAnsi="宋体" w:hint="eastAsia"/>
          <w:kern w:val="0"/>
          <w:sz w:val="27"/>
          <w:szCs w:val="27"/>
        </w:rPr>
        <w:t>25.1</w:t>
      </w:r>
      <w:r>
        <w:rPr>
          <w:rFonts w:ascii="宋体" w:hAnsi="宋体" w:cs="Courier New" w:hint="eastAsia"/>
          <w:sz w:val="27"/>
          <w:szCs w:val="27"/>
        </w:rPr>
        <w:t>资格性检查。依据法律法规和谈判文件的规定，对</w:t>
      </w:r>
      <w:r>
        <w:rPr>
          <w:rFonts w:ascii="宋体" w:hAnsi="宋体" w:cs="宋体" w:hint="eastAsia"/>
          <w:kern w:val="0"/>
          <w:sz w:val="27"/>
          <w:szCs w:val="27"/>
        </w:rPr>
        <w:t>竞谈</w:t>
      </w:r>
    </w:p>
    <w:p>
      <w:pPr>
        <w:spacing w:line="500" w:lineRule="exact"/>
        <w:ind w:firstLine="135" w:firstLineChars="50"/>
        <w:rPr>
          <w:rFonts w:ascii="宋体" w:hAnsi="宋体" w:cs="Courier New"/>
          <w:sz w:val="27"/>
          <w:szCs w:val="27"/>
        </w:rPr>
      </w:pPr>
      <w:r>
        <w:rPr>
          <w:rFonts w:ascii="宋体" w:hAnsi="宋体" w:cs="Courier New" w:hint="eastAsia"/>
          <w:sz w:val="27"/>
          <w:szCs w:val="27"/>
        </w:rPr>
        <w:t>响应文件中的资格证明等进行审查，以确定供应商是否具备响应资格。</w:t>
      </w:r>
    </w:p>
    <w:p>
      <w:pPr>
        <w:spacing w:line="500" w:lineRule="exact"/>
        <w:ind w:firstLine="135" w:firstLineChars="50"/>
        <w:rPr>
          <w:rFonts w:ascii="宋体" w:hAnsi="宋体" w:cs="Courier New"/>
          <w:sz w:val="27"/>
          <w:szCs w:val="27"/>
        </w:rPr>
      </w:pPr>
      <w:r>
        <w:rPr>
          <w:rFonts w:ascii="宋体" w:hAnsi="宋体" w:cs="Courier New" w:hint="eastAsia"/>
          <w:sz w:val="27"/>
          <w:szCs w:val="27"/>
        </w:rPr>
        <w:t>25.2符合性检查。依据谈判文件的规定，从</w:t>
      </w:r>
      <w:r>
        <w:rPr>
          <w:rFonts w:ascii="宋体" w:hAnsi="宋体" w:cs="宋体" w:hint="eastAsia"/>
          <w:kern w:val="0"/>
          <w:sz w:val="27"/>
          <w:szCs w:val="27"/>
        </w:rPr>
        <w:t>竞谈</w:t>
      </w:r>
      <w:r>
        <w:rPr>
          <w:rFonts w:ascii="宋体" w:hAnsi="宋体" w:cs="Courier New" w:hint="eastAsia"/>
          <w:sz w:val="27"/>
          <w:szCs w:val="27"/>
        </w:rPr>
        <w:t>响应文件的有效性、完整性和对谈判文件的响应程度、有无计算错误进行审查，以确定是否对谈判文件的实质性要求作出响应。</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25</w:t>
      </w:r>
      <w:r>
        <w:rPr>
          <w:rFonts w:ascii="宋体" w:hAnsi="宋体" w:cs="宋体"/>
          <w:kern w:val="0"/>
          <w:sz w:val="27"/>
          <w:szCs w:val="27"/>
        </w:rPr>
        <w:t>.</w:t>
      </w:r>
      <w:r>
        <w:rPr>
          <w:rFonts w:ascii="宋体" w:hAnsi="宋体" w:cs="宋体" w:hint="eastAsia"/>
          <w:kern w:val="0"/>
          <w:sz w:val="27"/>
          <w:szCs w:val="27"/>
        </w:rPr>
        <w:t>3</w:t>
      </w:r>
      <w:r>
        <w:rPr>
          <w:rFonts w:hAnsi="宋体" w:hint="eastAsia"/>
          <w:kern w:val="0"/>
          <w:sz w:val="27"/>
          <w:szCs w:val="27"/>
        </w:rPr>
        <w:t>算术错误将按以下方法更正：竞谈</w:t>
      </w:r>
      <w:r>
        <w:rPr>
          <w:rFonts w:hAnsi="宋体" w:hint="eastAsia"/>
          <w:sz w:val="27"/>
          <w:szCs w:val="27"/>
        </w:rPr>
        <w:t>响应文件的大写金额和小写金额不一致的，以大写金额为准；总价金额与按单价汇总金额不一致的，以单价金额计算结果为准；单价金额小数点有明显错位的，应以总价为准，并修改单价；对不同文字文本</w:t>
      </w:r>
      <w:r>
        <w:rPr>
          <w:rFonts w:hAnsi="宋体" w:hint="eastAsia"/>
          <w:kern w:val="0"/>
          <w:sz w:val="27"/>
          <w:szCs w:val="27"/>
        </w:rPr>
        <w:t>竞谈</w:t>
      </w:r>
      <w:r>
        <w:rPr>
          <w:rFonts w:hAnsi="宋体" w:hint="eastAsia"/>
          <w:sz w:val="27"/>
          <w:szCs w:val="27"/>
        </w:rPr>
        <w:t>响应文件的解释发生异议的，以中文文本为准。</w:t>
      </w:r>
      <w:r>
        <w:rPr>
          <w:rFonts w:hAnsi="宋体" w:hint="eastAsia"/>
          <w:kern w:val="0"/>
          <w:sz w:val="27"/>
          <w:szCs w:val="27"/>
        </w:rPr>
        <w:t>如果</w:t>
      </w:r>
      <w:r>
        <w:rPr>
          <w:rFonts w:hAnsi="宋体" w:hint="eastAsia"/>
          <w:sz w:val="27"/>
          <w:szCs w:val="27"/>
        </w:rPr>
        <w:t>供应商</w:t>
      </w:r>
      <w:r>
        <w:rPr>
          <w:rFonts w:hAnsi="宋体" w:hint="eastAsia"/>
          <w:kern w:val="0"/>
          <w:sz w:val="27"/>
          <w:szCs w:val="27"/>
        </w:rPr>
        <w:t>不接受对其错误的更正，其</w:t>
      </w:r>
      <w:r>
        <w:rPr>
          <w:rFonts w:hAnsi="宋体" w:hint="eastAsia"/>
          <w:sz w:val="27"/>
          <w:szCs w:val="27"/>
        </w:rPr>
        <w:t>响应</w:t>
      </w:r>
      <w:r>
        <w:rPr>
          <w:rFonts w:hAnsi="宋体" w:hint="eastAsia"/>
          <w:kern w:val="0"/>
          <w:sz w:val="27"/>
          <w:szCs w:val="27"/>
        </w:rPr>
        <w:t>将被视为无效</w:t>
      </w:r>
      <w:r>
        <w:rPr>
          <w:rFonts w:hAnsi="宋体" w:hint="eastAsia"/>
          <w:sz w:val="27"/>
          <w:szCs w:val="27"/>
        </w:rPr>
        <w:t>响应</w:t>
      </w:r>
      <w:r>
        <w:rPr>
          <w:rFonts w:hAnsi="宋体" w:hint="eastAsia"/>
          <w:kern w:val="0"/>
          <w:sz w:val="27"/>
          <w:szCs w:val="27"/>
        </w:rPr>
        <w:t>。</w:t>
      </w:r>
    </w:p>
    <w:p>
      <w:pPr>
        <w:widowControl/>
        <w:spacing w:line="500" w:lineRule="exact"/>
        <w:ind w:firstLine="135" w:firstLineChars="50"/>
        <w:jc w:val="left"/>
        <w:rPr>
          <w:rFonts w:ascii="宋体" w:hAnsi="宋体"/>
          <w:kern w:val="0"/>
          <w:sz w:val="27"/>
          <w:szCs w:val="27"/>
        </w:rPr>
      </w:pPr>
      <w:r>
        <w:rPr>
          <w:rFonts w:ascii="宋体" w:hAnsi="宋体" w:cs="宋体" w:hint="eastAsia"/>
          <w:kern w:val="0"/>
          <w:sz w:val="27"/>
          <w:szCs w:val="27"/>
        </w:rPr>
        <w:t>25</w:t>
      </w:r>
      <w:r>
        <w:rPr>
          <w:rFonts w:ascii="宋体" w:hAnsi="宋体" w:cs="宋体"/>
          <w:kern w:val="0"/>
          <w:sz w:val="27"/>
          <w:szCs w:val="27"/>
        </w:rPr>
        <w:t>.</w:t>
      </w:r>
      <w:r>
        <w:rPr>
          <w:rFonts w:ascii="宋体" w:hAnsi="宋体" w:cs="宋体" w:hint="eastAsia"/>
          <w:kern w:val="0"/>
          <w:sz w:val="27"/>
          <w:szCs w:val="27"/>
        </w:rPr>
        <w:t>4</w:t>
      </w:r>
      <w:r>
        <w:rPr>
          <w:rFonts w:ascii="宋体" w:hAnsi="宋体" w:hint="eastAsia"/>
          <w:kern w:val="0"/>
          <w:sz w:val="27"/>
          <w:szCs w:val="27"/>
        </w:rPr>
        <w:t>在详细评审之前，谈判小组要审查每份竞谈响应文件是否实质上响应了谈判文件的要求。实质上响应的竞谈响应文件应该是与谈判文件要求的关键条款、条件和规格没有重大偏离的竞谈响应文件。谈判小组认定竞谈响应文件的响应性只根据竞谈响应文件本身的真实无误的内容，而不依据外部的证据。</w:t>
      </w:r>
    </w:p>
    <w:p>
      <w:pPr>
        <w:widowControl/>
        <w:spacing w:line="500" w:lineRule="exact"/>
        <w:ind w:firstLine="135" w:firstLineChars="50"/>
        <w:jc w:val="left"/>
        <w:rPr>
          <w:rFonts w:ascii="宋体" w:hAnsi="宋体" w:cs="宋体"/>
          <w:kern w:val="0"/>
          <w:sz w:val="27"/>
          <w:szCs w:val="27"/>
        </w:rPr>
      </w:pPr>
      <w:r>
        <w:rPr>
          <w:rFonts w:ascii="宋体" w:hAnsi="宋体" w:hint="eastAsia"/>
          <w:kern w:val="0"/>
          <w:sz w:val="27"/>
          <w:szCs w:val="27"/>
        </w:rPr>
        <w:t>25.5实质上没有响应谈判文件要求的响应将被视为无效响应。供应商不得通过修正或撤销不合要求的偏离从而使其竞谈响应文件成为实质上响应的响应。</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kern w:val="0"/>
          <w:sz w:val="27"/>
          <w:szCs w:val="27"/>
        </w:rPr>
        <w:t>25.6</w:t>
      </w:r>
      <w:r>
        <w:rPr>
          <w:rFonts w:ascii="宋体" w:hAnsi="宋体" w:hint="eastAsia"/>
          <w:kern w:val="0"/>
          <w:sz w:val="27"/>
          <w:szCs w:val="27"/>
        </w:rPr>
        <w:t>在初审时供应商有下列情形之一的，属于实质上没有响应谈判文件要求的响应，其响应将被视为无效响应：</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25.6.1竞谈响应文件数量不足或竞谈响应文件没有正本的或响应文件有两本及以上正本的；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25.6.3谈判文件规定为国产产品，提供进口产品参加谈判的；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25.6.4供应商的竞谈响应文件或资格证明文件未提供或不符合谈判文件要求的；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25.6.5竞谈响应文件无法定代表人（经营者或自然人）签字（印章）或签字人无法定代表人（经营者或自然人）有效授权的；</w:t>
      </w:r>
    </w:p>
    <w:p>
      <w:pPr>
        <w:widowControl/>
        <w:spacing w:line="500" w:lineRule="exact"/>
        <w:ind w:firstLine="270" w:firstLineChars="100"/>
        <w:jc w:val="left"/>
        <w:rPr>
          <w:rFonts w:ascii="宋体" w:hAnsi="宋体"/>
          <w:kern w:val="0"/>
          <w:sz w:val="27"/>
          <w:szCs w:val="27"/>
        </w:rPr>
        <w:sectPr>
          <w:footerReference w:type="default" r:id="rId29"/>
          <w:footerReference w:type="first" r:id="rId30"/>
          <w:type w:val="nextPage"/>
          <w:pgSz w:w="11906" w:h="16838"/>
          <w:pgMar w:top="1440" w:right="1080" w:bottom="1440" w:left="1080" w:header="851" w:footer="992" w:gutter="0"/>
          <w:pgNumType w:start="13"/>
          <w:cols w:num="1" w:space="720"/>
          <w:titlePg w:val="0"/>
          <w:docGrid w:linePitch="312" w:charSpace="0"/>
        </w:sectPr>
      </w:pPr>
      <w:r>
        <w:rPr>
          <w:rFonts w:ascii="宋体" w:hAnsi="宋体" w:hint="eastAsia"/>
          <w:kern w:val="0"/>
          <w:sz w:val="27"/>
          <w:szCs w:val="27"/>
        </w:rPr>
        <w:t>25.6.6现场签到的响应代表与响应文件中响应代表不一致的；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25.6.7响应有效期不足的；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25.6.8未按谈判文件规定的格式填写的；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25.6.9字迹模糊，辨认不清的；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25.6.10响应报价超过项目采购预算的；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25.6.11属于谈判文件中规定被视为无效响应其它条款的。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25.7谈判小组谈判后，供应商仍存在下列情况之一的，属于实质上没有响应谈判文件要求的响应，其响应将被视为无效响应：</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25.7.1经谈判小组谈判技术参数不符合谈判文件要求的；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25.7.2商务要求（质保期、交货期、付款方式等）不能满足的；</w:t>
      </w:r>
    </w:p>
    <w:p>
      <w:pPr>
        <w:widowControl/>
        <w:spacing w:line="500" w:lineRule="exact"/>
        <w:ind w:firstLine="270" w:firstLineChars="100"/>
        <w:jc w:val="left"/>
        <w:rPr>
          <w:rFonts w:ascii="宋体" w:hAnsi="宋体"/>
          <w:kern w:val="0"/>
          <w:sz w:val="27"/>
          <w:szCs w:val="27"/>
        </w:rPr>
      </w:pPr>
      <w:r>
        <w:rPr>
          <w:rFonts w:ascii="宋体" w:hAnsi="宋体" w:hint="eastAsia"/>
          <w:kern w:val="0"/>
          <w:sz w:val="27"/>
          <w:szCs w:val="27"/>
        </w:rPr>
        <w:t>25.7.3竞谈响应文件技术规格中的响应与事实不符或虚假响应的。</w:t>
      </w:r>
    </w:p>
    <w:p>
      <w:pPr>
        <w:widowControl/>
        <w:spacing w:line="500" w:lineRule="exact"/>
        <w:jc w:val="left"/>
        <w:rPr>
          <w:rFonts w:ascii="宋体" w:hAnsi="宋体" w:cs="宋体"/>
          <w:b/>
          <w:kern w:val="0"/>
          <w:sz w:val="27"/>
          <w:szCs w:val="27"/>
        </w:rPr>
      </w:pPr>
      <w:bookmarkStart w:id="20" w:name="_Toc519068571"/>
      <w:bookmarkEnd w:id="20"/>
      <w:r>
        <w:rPr>
          <w:rFonts w:ascii="宋体" w:hAnsi="宋体" w:cs="宋体" w:hint="eastAsia"/>
          <w:b/>
          <w:kern w:val="0"/>
          <w:sz w:val="27"/>
          <w:szCs w:val="27"/>
        </w:rPr>
        <w:t>26、在竞争性谈判中，出现下列情形之一的，应予终止竞争性谈判采购：</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 xml:space="preserve">26.1因情况变化，不再符合规定的竞争性谈判采购方式适用情形的； </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26.2出现影响采购公正的违法、违规行为的；</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26.3在采购过程中符合竞争要求的供应商或者报价未超过采购预算的供应商不足 3家的；</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26.4因重大变故，采购任务取消的；</w:t>
      </w:r>
    </w:p>
    <w:p>
      <w:pPr>
        <w:widowControl/>
        <w:spacing w:line="500" w:lineRule="exact"/>
        <w:ind w:firstLine="135" w:firstLineChars="50"/>
        <w:jc w:val="left"/>
        <w:rPr>
          <w:rFonts w:ascii="宋体" w:hAnsi="宋体" w:cs="宋体"/>
          <w:bCs/>
          <w:kern w:val="0"/>
          <w:sz w:val="27"/>
          <w:szCs w:val="27"/>
        </w:rPr>
      </w:pPr>
      <w:r>
        <w:rPr>
          <w:rFonts w:ascii="宋体" w:hAnsi="宋体" w:cs="宋体" w:hint="eastAsia"/>
          <w:bCs/>
          <w:kern w:val="0"/>
          <w:sz w:val="27"/>
          <w:szCs w:val="27"/>
        </w:rPr>
        <w:t>26.5法律、法规规定其他情况。</w:t>
      </w:r>
    </w:p>
    <w:p>
      <w:pPr>
        <w:widowControl/>
        <w:spacing w:line="500" w:lineRule="exact"/>
        <w:jc w:val="left"/>
        <w:rPr>
          <w:rFonts w:ascii="宋体" w:hAnsi="宋体" w:cs="宋体"/>
          <w:b/>
          <w:kern w:val="0"/>
          <w:sz w:val="24"/>
        </w:rPr>
      </w:pPr>
      <w:r>
        <w:rPr>
          <w:rFonts w:ascii="宋体" w:hAnsi="宋体" w:cs="宋体"/>
          <w:b/>
          <w:kern w:val="0"/>
          <w:sz w:val="27"/>
          <w:szCs w:val="27"/>
        </w:rPr>
        <w:t>2</w:t>
      </w:r>
      <w:r>
        <w:rPr>
          <w:rFonts w:ascii="宋体" w:hAnsi="宋体" w:cs="宋体" w:hint="eastAsia"/>
          <w:b/>
          <w:kern w:val="0"/>
          <w:sz w:val="27"/>
          <w:szCs w:val="27"/>
        </w:rPr>
        <w:t>7</w:t>
      </w:r>
      <w:r>
        <w:rPr>
          <w:rFonts w:ascii="宋体" w:hAnsi="宋体" w:cs="宋体"/>
          <w:b/>
          <w:kern w:val="0"/>
          <w:sz w:val="27"/>
          <w:szCs w:val="27"/>
        </w:rPr>
        <w:t>、竞谈响应文件的评审及澄清</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2</w:t>
      </w:r>
      <w:r>
        <w:rPr>
          <w:rFonts w:ascii="宋体" w:hAnsi="宋体" w:cs="宋体" w:hint="eastAsia"/>
          <w:kern w:val="0"/>
          <w:sz w:val="27"/>
          <w:szCs w:val="27"/>
        </w:rPr>
        <w:t>7</w:t>
      </w:r>
      <w:r>
        <w:rPr>
          <w:rFonts w:ascii="宋体" w:hAnsi="宋体" w:cs="宋体"/>
          <w:kern w:val="0"/>
          <w:sz w:val="27"/>
          <w:szCs w:val="27"/>
        </w:rPr>
        <w:t>.1在竞谈响应文件的审查、澄清、评价和比较以及授予合同的过程中，</w:t>
      </w:r>
      <w:r>
        <w:rPr>
          <w:rFonts w:ascii="宋体" w:hAnsi="宋体" w:cs="宋体" w:hint="eastAsia"/>
          <w:kern w:val="0"/>
          <w:sz w:val="27"/>
          <w:szCs w:val="27"/>
        </w:rPr>
        <w:t>供应商</w:t>
      </w:r>
      <w:r>
        <w:rPr>
          <w:rFonts w:ascii="宋体" w:hAnsi="宋体" w:cs="宋体"/>
          <w:kern w:val="0"/>
          <w:sz w:val="27"/>
          <w:szCs w:val="27"/>
        </w:rPr>
        <w:t>对</w:t>
      </w:r>
      <w:r>
        <w:rPr>
          <w:rFonts w:ascii="宋体" w:hAnsi="宋体" w:hint="eastAsia"/>
          <w:sz w:val="27"/>
          <w:szCs w:val="27"/>
        </w:rPr>
        <w:t>采购人</w:t>
      </w:r>
      <w:r>
        <w:rPr>
          <w:rFonts w:ascii="宋体" w:hAnsi="宋体" w:cs="宋体"/>
          <w:kern w:val="0"/>
          <w:sz w:val="27"/>
          <w:szCs w:val="27"/>
        </w:rPr>
        <w:t>和谈判小组施加影响的任何行为，都将取消其响应资格。</w:t>
      </w:r>
    </w:p>
    <w:p>
      <w:pPr>
        <w:widowControl/>
        <w:spacing w:line="500" w:lineRule="exact"/>
        <w:ind w:firstLine="135" w:firstLineChars="50"/>
        <w:jc w:val="left"/>
        <w:rPr>
          <w:rFonts w:ascii="宋体" w:hAnsi="宋体" w:cs="宋体"/>
          <w:kern w:val="0"/>
          <w:sz w:val="24"/>
        </w:rPr>
        <w:sectPr>
          <w:footerReference w:type="default" r:id="rId31"/>
          <w:footerReference w:type="first" r:id="rId32"/>
          <w:type w:val="nextPage"/>
          <w:pgSz w:w="11906" w:h="16838"/>
          <w:pgMar w:top="1440" w:right="1080" w:bottom="1440" w:left="1080" w:header="851" w:footer="992" w:gutter="0"/>
          <w:pgNumType w:start="14"/>
          <w:cols w:num="1" w:space="720"/>
          <w:titlePg w:val="0"/>
          <w:docGrid w:linePitch="312" w:charSpace="0"/>
        </w:sectPr>
      </w:pPr>
      <w:r>
        <w:rPr>
          <w:rFonts w:ascii="宋体" w:hAnsi="宋体" w:cs="宋体"/>
          <w:kern w:val="0"/>
          <w:sz w:val="27"/>
          <w:szCs w:val="27"/>
        </w:rPr>
        <w:t>2</w:t>
      </w:r>
      <w:r>
        <w:rPr>
          <w:rFonts w:ascii="宋体" w:hAnsi="宋体" w:cs="宋体" w:hint="eastAsia"/>
          <w:kern w:val="0"/>
          <w:sz w:val="27"/>
          <w:szCs w:val="27"/>
        </w:rPr>
        <w:t>7</w:t>
      </w:r>
      <w:r>
        <w:rPr>
          <w:rFonts w:ascii="宋体" w:hAnsi="宋体" w:cs="宋体"/>
          <w:kern w:val="0"/>
          <w:sz w:val="27"/>
          <w:szCs w:val="27"/>
        </w:rPr>
        <w:t>.2评审的审查、评价和比较，</w:t>
      </w:r>
      <w:r>
        <w:rPr>
          <w:rFonts w:ascii="宋体" w:hAnsi="宋体" w:cs="宋体" w:hint="eastAsia"/>
          <w:kern w:val="0"/>
          <w:sz w:val="27"/>
          <w:szCs w:val="27"/>
        </w:rPr>
        <w:t>供应商</w:t>
      </w:r>
    </w:p>
    <w:p>
      <w:pPr>
        <w:widowControl/>
        <w:spacing w:line="500" w:lineRule="exact"/>
        <w:ind w:firstLine="135" w:firstLineChars="50"/>
        <w:jc w:val="left"/>
        <w:rPr>
          <w:rFonts w:ascii="宋体" w:hAnsi="宋体" w:cs="宋体"/>
          <w:kern w:val="0"/>
          <w:sz w:val="24"/>
        </w:rPr>
      </w:pPr>
      <w:r>
        <w:rPr>
          <w:rFonts w:ascii="宋体" w:hAnsi="宋体" w:cs="宋体"/>
          <w:kern w:val="0"/>
          <w:sz w:val="27"/>
          <w:szCs w:val="27"/>
        </w:rPr>
        <w:t>可应评委的提问对其提供产品的生产制造情况、产品技术性能、配置、特殊优点和售后服务等进行简要说明和澄清。有关澄清的要求和答复原则上应采用书面形式，但响应价格（校核时发现的算术错误除外）和其它实质性的内容不得更改。</w:t>
      </w:r>
    </w:p>
    <w:p>
      <w:pPr>
        <w:widowControl/>
        <w:spacing w:line="500" w:lineRule="exact"/>
        <w:ind w:firstLine="135" w:firstLineChars="50"/>
        <w:jc w:val="left"/>
        <w:rPr>
          <w:rFonts w:ascii="宋体" w:hAnsi="宋体" w:cs="宋体"/>
          <w:bCs/>
          <w:kern w:val="0"/>
          <w:sz w:val="27"/>
          <w:szCs w:val="27"/>
        </w:rPr>
      </w:pPr>
      <w:r>
        <w:rPr>
          <w:rFonts w:ascii="宋体" w:hAnsi="宋体" w:cs="宋体"/>
          <w:bCs/>
          <w:kern w:val="0"/>
          <w:sz w:val="27"/>
          <w:szCs w:val="27"/>
        </w:rPr>
        <w:t>2</w:t>
      </w:r>
      <w:r>
        <w:rPr>
          <w:rFonts w:ascii="宋体" w:hAnsi="宋体" w:cs="宋体" w:hint="eastAsia"/>
          <w:bCs/>
          <w:kern w:val="0"/>
          <w:sz w:val="27"/>
          <w:szCs w:val="27"/>
        </w:rPr>
        <w:t>7.3供应商</w:t>
      </w:r>
      <w:r>
        <w:rPr>
          <w:rFonts w:ascii="宋体" w:hAnsi="宋体" w:cs="宋体"/>
          <w:bCs/>
          <w:kern w:val="0"/>
          <w:sz w:val="27"/>
          <w:szCs w:val="27"/>
        </w:rPr>
        <w:t>必须保证竞谈响应文件所提供的全部资料真实可靠，并接受</w:t>
      </w:r>
      <w:r>
        <w:rPr>
          <w:rFonts w:ascii="宋体" w:hAnsi="宋体" w:cs="宋体" w:hint="eastAsia"/>
          <w:bCs/>
          <w:kern w:val="0"/>
          <w:sz w:val="27"/>
          <w:szCs w:val="27"/>
        </w:rPr>
        <w:t>谈判小组</w:t>
      </w:r>
      <w:r>
        <w:rPr>
          <w:rFonts w:ascii="宋体" w:hAnsi="宋体" w:cs="宋体"/>
          <w:bCs/>
          <w:kern w:val="0"/>
          <w:sz w:val="27"/>
          <w:szCs w:val="27"/>
        </w:rPr>
        <w:t>对其中任何资料进一步核实的要求。</w:t>
      </w:r>
    </w:p>
    <w:p>
      <w:pPr>
        <w:widowControl/>
        <w:spacing w:line="500" w:lineRule="exact"/>
        <w:jc w:val="left"/>
        <w:rPr>
          <w:rFonts w:ascii="宋体" w:hAnsi="宋体" w:cs="宋体"/>
          <w:b/>
          <w:bCs/>
          <w:kern w:val="0"/>
          <w:sz w:val="27"/>
          <w:szCs w:val="27"/>
        </w:rPr>
      </w:pPr>
      <w:r>
        <w:rPr>
          <w:rFonts w:ascii="宋体" w:hAnsi="宋体" w:cs="宋体" w:hint="eastAsia"/>
          <w:b/>
          <w:bCs/>
          <w:kern w:val="0"/>
          <w:sz w:val="27"/>
          <w:szCs w:val="27"/>
        </w:rPr>
        <w:t>28、谈判的步骤</w:t>
      </w:r>
    </w:p>
    <w:p>
      <w:pPr>
        <w:widowControl/>
        <w:spacing w:line="500" w:lineRule="exact"/>
        <w:ind w:firstLine="135" w:firstLineChars="50"/>
        <w:jc w:val="left"/>
        <w:rPr>
          <w:rFonts w:ascii="宋体" w:hAnsi="宋体" w:cs="宋体"/>
          <w:kern w:val="0"/>
          <w:sz w:val="27"/>
          <w:szCs w:val="27"/>
        </w:rPr>
      </w:pPr>
      <w:r>
        <w:rPr>
          <w:rFonts w:ascii="宋体" w:hAnsi="宋体" w:cs="宋体" w:hint="eastAsia"/>
          <w:bCs/>
          <w:kern w:val="0"/>
          <w:sz w:val="27"/>
          <w:szCs w:val="27"/>
        </w:rPr>
        <w:t>28.1</w:t>
      </w:r>
      <w:r>
        <w:rPr>
          <w:rFonts w:ascii="宋体" w:hAnsi="宋体" w:cs="宋体" w:hint="eastAsia"/>
          <w:kern w:val="0"/>
          <w:sz w:val="27"/>
          <w:szCs w:val="27"/>
        </w:rPr>
        <w:t>谈判：</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按照递交响应文件时间的顺序，谈判小组所有成员集中与单一供应商分别就符合采购需求、质量和服务等进行谈判，并了解其报价组成情况。谈判中，谈判的任何一方不得透露与谈判有关的其他供应商的技术资料、价格和其他信息。</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28.2 谈判文件修正</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（1）在谈判过程中，谈判小组可以根据谈判文件和谈判情况实质性变动</w:t>
      </w:r>
      <w:r>
        <w:rPr>
          <w:rFonts w:ascii="宋体" w:hAnsi="宋体" w:cs="宋体" w:hint="eastAsia"/>
          <w:b/>
          <w:bCs/>
          <w:kern w:val="0"/>
          <w:sz w:val="27"/>
          <w:szCs w:val="27"/>
          <w:u w:val="single"/>
        </w:rPr>
        <w:t>标注※号的条款</w:t>
      </w:r>
      <w:r>
        <w:rPr>
          <w:rFonts w:ascii="宋体" w:hAnsi="宋体" w:cs="宋体" w:hint="eastAsia"/>
          <w:kern w:val="0"/>
          <w:sz w:val="27"/>
          <w:szCs w:val="27"/>
        </w:rPr>
        <w:t>，但不得变动谈判文件中的其他内容。实质性变动的内容，须经采购人代表确认。</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（2）对谈判文件作出的实质性变动是谈判文件的有效组成部分，谈判小组应当及时以书面形式同时通知所有参加谈判的供应商。</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（3）供应商按照谈判文件的变动情况和谈判小组的要求重新提交响应文件，并由其法定代表人或授权代表签字或者加盖公章。</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4）谈判小组就修正后的响应文件与响应供应商分别进行谈判。采购人对谈判过程和谈判内容作记录，谈判小组召集人和响应供应商在记录上签字确认。谈判小组可以根据情况进行两轮谈判。第二轮谈判为最终的谈判。</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28.3最后报价</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（1）谈判结束后，谈判小组要求所有继续参加谈判的供应商在规定时间内提交最后报价，提交最后报价的供应商不得少于3家。</w:t>
      </w:r>
    </w:p>
    <w:p>
      <w:pPr>
        <w:widowControl/>
        <w:spacing w:line="500" w:lineRule="exact"/>
        <w:jc w:val="left"/>
        <w:rPr>
          <w:rFonts w:ascii="宋体" w:hAnsi="宋体" w:cs="宋体"/>
          <w:kern w:val="0"/>
          <w:sz w:val="27"/>
          <w:szCs w:val="27"/>
        </w:rPr>
        <w:sectPr>
          <w:footerReference w:type="default" r:id="rId33"/>
          <w:footerReference w:type="first" r:id="rId34"/>
          <w:type w:val="nextPage"/>
          <w:pgSz w:w="11906" w:h="16838"/>
          <w:pgMar w:top="1440" w:right="1080" w:bottom="1440" w:left="1080" w:header="851" w:footer="992" w:gutter="0"/>
          <w:pgNumType w:start="15"/>
          <w:cols w:num="1" w:space="720"/>
          <w:titlePg w:val="0"/>
          <w:docGrid w:linePitch="312" w:charSpace="0"/>
        </w:sectPr>
      </w:pPr>
      <w:r>
        <w:rPr>
          <w:rFonts w:ascii="宋体" w:hAnsi="宋体" w:cs="宋体" w:hint="eastAsia"/>
          <w:kern w:val="0"/>
          <w:sz w:val="27"/>
          <w:szCs w:val="27"/>
        </w:rPr>
        <w:t>（2）最后报价是供应商响应文件的有效组成部分。</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（3）最后报价如未作分项报价的，其分项报价则按总报价的降价比例计算。</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（4）若没有对谈判文件技术、商务要求作实质性修改或对技术、商务要求作了实质性修改，但没有提高采购要求，最后报价(含分项报价)不得高于上一轮报价；否则，视为无效响应。</w:t>
      </w:r>
    </w:p>
    <w:p>
      <w:pPr>
        <w:widowControl/>
        <w:spacing w:line="500" w:lineRule="exact"/>
        <w:jc w:val="left"/>
        <w:rPr>
          <w:rFonts w:ascii="宋体" w:hAnsi="宋体" w:cs="宋体"/>
          <w:kern w:val="0"/>
          <w:sz w:val="27"/>
          <w:szCs w:val="27"/>
        </w:rPr>
      </w:pPr>
      <w:r>
        <w:rPr>
          <w:rFonts w:ascii="宋体" w:hAnsi="宋体" w:cs="宋体" w:hint="eastAsia"/>
          <w:kern w:val="0"/>
          <w:sz w:val="27"/>
          <w:szCs w:val="27"/>
        </w:rPr>
        <w:t xml:space="preserve">（5）未在规定时间内提交最后报价或最后报价不符合谈判文件要求的，视为无效响应。 </w:t>
      </w:r>
    </w:p>
    <w:p>
      <w:pPr>
        <w:widowControl/>
        <w:spacing w:line="500" w:lineRule="exact"/>
        <w:jc w:val="left"/>
        <w:rPr>
          <w:rFonts w:ascii="宋体" w:hAnsi="宋体" w:cs="宋体"/>
          <w:bCs/>
          <w:kern w:val="0"/>
          <w:sz w:val="27"/>
          <w:szCs w:val="27"/>
        </w:rPr>
      </w:pPr>
      <w:r>
        <w:rPr>
          <w:rFonts w:ascii="宋体" w:hAnsi="宋体" w:cs="宋体" w:hint="eastAsia"/>
          <w:kern w:val="0"/>
          <w:sz w:val="27"/>
          <w:szCs w:val="27"/>
        </w:rPr>
        <w:t>（6）已提交响应文件的供应商，在提交最后报价之前，可以根据谈判情况退出谈判。</w:t>
      </w:r>
    </w:p>
    <w:p>
      <w:pPr>
        <w:widowControl/>
        <w:spacing w:line="500" w:lineRule="exact"/>
        <w:jc w:val="left"/>
        <w:rPr>
          <w:rFonts w:ascii="宋体" w:hAnsi="宋体" w:cs="宋体"/>
          <w:b/>
          <w:kern w:val="0"/>
          <w:sz w:val="24"/>
        </w:rPr>
      </w:pPr>
      <w:r>
        <w:rPr>
          <w:rFonts w:ascii="宋体" w:hAnsi="宋体" w:cs="宋体" w:hint="eastAsia"/>
          <w:b/>
          <w:kern w:val="0"/>
          <w:sz w:val="27"/>
          <w:szCs w:val="27"/>
        </w:rPr>
        <w:t>29、</w:t>
      </w:r>
      <w:r>
        <w:rPr>
          <w:rFonts w:ascii="宋体" w:hAnsi="宋体" w:cs="宋体"/>
          <w:b/>
          <w:kern w:val="0"/>
          <w:sz w:val="27"/>
          <w:szCs w:val="27"/>
        </w:rPr>
        <w:t>评审办法</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29.1根据质量和服务均能满足竞争性谈判文件实质性响应要求且最后报价最低的原则确定成交候选供应商。</w:t>
      </w:r>
    </w:p>
    <w:p>
      <w:pPr>
        <w:widowControl/>
        <w:spacing w:line="500" w:lineRule="exact"/>
        <w:ind w:firstLine="135" w:firstLineChars="50"/>
        <w:jc w:val="left"/>
        <w:rPr>
          <w:rFonts w:ascii="宋体" w:hAnsi="宋体" w:cs="宋体"/>
          <w:kern w:val="0"/>
          <w:sz w:val="27"/>
          <w:szCs w:val="27"/>
        </w:rPr>
      </w:pPr>
      <w:r>
        <w:rPr>
          <w:rFonts w:ascii="宋体" w:hAnsi="宋体" w:cs="宋体" w:hint="eastAsia"/>
          <w:kern w:val="0"/>
          <w:sz w:val="27"/>
          <w:szCs w:val="27"/>
        </w:rPr>
        <w:t>29.2谈判小组认为，成交候选供应商的最后报价或者最后报价某些分项报价明显不合理或者低于成本，有可能影响商品质量和不能诚信履约的，应当要求其在规定的期限内提供书面文件予以解释说明，并提交相关证明材料。</w:t>
      </w:r>
    </w:p>
    <w:p>
      <w:pPr>
        <w:pStyle w:val="Heading2"/>
        <w:ind w:firstLine="0"/>
        <w:rPr>
          <w:kern w:val="0"/>
        </w:rPr>
      </w:pPr>
      <w:bookmarkStart w:id="21" w:name="_Toc54871725"/>
      <w:bookmarkStart w:id="22" w:name="_Toc19453"/>
      <w:r>
        <w:rPr>
          <w:kern w:val="0"/>
        </w:rPr>
        <w:t>（</w:t>
      </w:r>
      <w:r>
        <w:rPr>
          <w:rFonts w:hint="eastAsia"/>
          <w:kern w:val="0"/>
        </w:rPr>
        <w:t>六</w:t>
      </w:r>
      <w:r>
        <w:rPr>
          <w:kern w:val="0"/>
        </w:rPr>
        <w:t>）</w:t>
      </w:r>
      <w:r>
        <w:rPr>
          <w:rFonts w:hint="eastAsia"/>
          <w:kern w:val="0"/>
        </w:rPr>
        <w:t>成交</w:t>
      </w:r>
      <w:r>
        <w:rPr>
          <w:kern w:val="0"/>
        </w:rPr>
        <w:t>与</w:t>
      </w:r>
      <w:r>
        <w:rPr>
          <w:rFonts w:hint="eastAsia"/>
          <w:kern w:val="0"/>
        </w:rPr>
        <w:t>签订合同</w:t>
      </w:r>
      <w:bookmarkEnd w:id="21"/>
      <w:bookmarkEnd w:id="22"/>
    </w:p>
    <w:p>
      <w:pPr>
        <w:widowControl/>
        <w:spacing w:line="500" w:lineRule="exact"/>
        <w:jc w:val="left"/>
        <w:rPr>
          <w:rFonts w:ascii="宋体" w:hAnsi="宋体"/>
          <w:sz w:val="27"/>
          <w:szCs w:val="27"/>
        </w:rPr>
      </w:pPr>
      <w:r>
        <w:rPr>
          <w:rFonts w:ascii="宋体" w:hAnsi="宋体" w:hint="eastAsia"/>
          <w:b/>
          <w:bCs/>
          <w:sz w:val="27"/>
          <w:szCs w:val="27"/>
        </w:rPr>
        <w:t>30、确定成交供应商</w:t>
      </w:r>
      <w:r>
        <w:rPr>
          <w:rFonts w:ascii="宋体" w:hAnsi="宋体" w:hint="eastAsia"/>
          <w:sz w:val="27"/>
          <w:szCs w:val="27"/>
        </w:rPr>
        <w:t xml:space="preserve">     </w:t>
      </w:r>
    </w:p>
    <w:p>
      <w:pPr>
        <w:spacing w:line="500" w:lineRule="exact"/>
        <w:ind w:firstLine="135" w:firstLineChars="50"/>
        <w:rPr>
          <w:rFonts w:ascii="宋体" w:hAnsi="宋体"/>
          <w:sz w:val="27"/>
          <w:szCs w:val="27"/>
        </w:rPr>
      </w:pPr>
      <w:r>
        <w:rPr>
          <w:rFonts w:ascii="宋体" w:hAnsi="宋体" w:hint="eastAsia"/>
          <w:sz w:val="27"/>
          <w:szCs w:val="27"/>
        </w:rPr>
        <w:t>30.1采购人应当自收到评审报告之日起５个工作日内，在评审报告确定的成交候选人名单中按顺序确定成交供应商。</w:t>
      </w:r>
    </w:p>
    <w:p>
      <w:pPr>
        <w:spacing w:line="500" w:lineRule="exact"/>
        <w:rPr>
          <w:rFonts w:ascii="宋体" w:hAnsi="宋体"/>
          <w:b/>
          <w:bCs/>
          <w:sz w:val="27"/>
          <w:szCs w:val="27"/>
        </w:rPr>
      </w:pPr>
      <w:r>
        <w:rPr>
          <w:rFonts w:ascii="宋体" w:hAnsi="宋体" w:hint="eastAsia"/>
          <w:b/>
          <w:bCs/>
          <w:sz w:val="27"/>
          <w:szCs w:val="27"/>
        </w:rPr>
        <w:t>31、成交通知书</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31</w:t>
      </w:r>
      <w:r>
        <w:rPr>
          <w:rFonts w:ascii="宋体" w:hAnsi="宋体"/>
          <w:kern w:val="0"/>
          <w:sz w:val="27"/>
          <w:szCs w:val="27"/>
        </w:rPr>
        <w:t>.1</w:t>
      </w:r>
      <w:r>
        <w:rPr>
          <w:rFonts w:ascii="宋体" w:hAnsi="宋体" w:hint="eastAsia"/>
          <w:sz w:val="27"/>
          <w:szCs w:val="27"/>
        </w:rPr>
        <w:t>采购人在成交供应商确定后2个工作日内向成交供应商发出《成交通知书》。</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31</w:t>
      </w:r>
      <w:r>
        <w:rPr>
          <w:rFonts w:ascii="宋体" w:hAnsi="宋体"/>
          <w:kern w:val="0"/>
          <w:sz w:val="27"/>
          <w:szCs w:val="27"/>
        </w:rPr>
        <w:t>.2</w:t>
      </w:r>
      <w:r>
        <w:rPr>
          <w:rFonts w:ascii="宋体" w:hAnsi="宋体" w:hint="eastAsia"/>
          <w:kern w:val="0"/>
          <w:sz w:val="27"/>
          <w:szCs w:val="27"/>
        </w:rPr>
        <w:t>《成交通知书》是合同的一个组成部分。</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31</w:t>
      </w:r>
      <w:r>
        <w:rPr>
          <w:rFonts w:ascii="宋体" w:hAnsi="宋体"/>
          <w:kern w:val="0"/>
          <w:sz w:val="27"/>
          <w:szCs w:val="27"/>
        </w:rPr>
        <w:t>.3</w:t>
      </w:r>
      <w:r>
        <w:rPr>
          <w:rFonts w:ascii="宋体" w:hAnsi="宋体" w:hint="eastAsia"/>
          <w:kern w:val="0"/>
          <w:sz w:val="27"/>
          <w:szCs w:val="27"/>
        </w:rPr>
        <w:t xml:space="preserve"> 当《成交通知书》发出后，</w:t>
      </w:r>
      <w:r>
        <w:rPr>
          <w:rFonts w:ascii="宋体" w:hAnsi="宋体" w:cs="宋体" w:hint="eastAsia"/>
          <w:kern w:val="0"/>
          <w:sz w:val="27"/>
          <w:szCs w:val="27"/>
        </w:rPr>
        <w:t>采购人</w:t>
      </w:r>
      <w:r>
        <w:rPr>
          <w:rFonts w:ascii="宋体" w:hAnsi="宋体" w:hint="eastAsia"/>
          <w:kern w:val="0"/>
          <w:sz w:val="27"/>
          <w:szCs w:val="27"/>
        </w:rPr>
        <w:t>将通知所有未成交的供应商。</w:t>
      </w:r>
    </w:p>
    <w:p>
      <w:pPr>
        <w:spacing w:line="500" w:lineRule="exact"/>
        <w:rPr>
          <w:rFonts w:ascii="宋体" w:hAnsi="宋体"/>
          <w:b/>
          <w:bCs/>
          <w:sz w:val="27"/>
          <w:szCs w:val="27"/>
        </w:rPr>
        <w:sectPr>
          <w:footerReference w:type="default" r:id="rId35"/>
          <w:footerReference w:type="first" r:id="rId36"/>
          <w:type w:val="nextPage"/>
          <w:pgSz w:w="11906" w:h="16838"/>
          <w:pgMar w:top="1440" w:right="1080" w:bottom="1440" w:left="1080" w:header="851" w:footer="992" w:gutter="0"/>
          <w:pgNumType w:start="16"/>
          <w:cols w:num="1" w:space="720"/>
          <w:titlePg w:val="0"/>
          <w:docGrid w:linePitch="312" w:charSpace="0"/>
        </w:sectPr>
      </w:pPr>
      <w:r>
        <w:rPr>
          <w:rFonts w:ascii="宋体" w:hAnsi="宋体" w:hint="eastAsia"/>
          <w:b/>
          <w:bCs/>
          <w:sz w:val="27"/>
          <w:szCs w:val="27"/>
        </w:rPr>
        <w:t>32、签订合同</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32</w:t>
      </w:r>
      <w:r>
        <w:rPr>
          <w:rFonts w:ascii="宋体" w:hAnsi="宋体"/>
          <w:kern w:val="0"/>
          <w:sz w:val="27"/>
          <w:szCs w:val="27"/>
        </w:rPr>
        <w:t>.1</w:t>
      </w:r>
      <w:r>
        <w:rPr>
          <w:rFonts w:ascii="宋体" w:hAnsi="宋体" w:hint="eastAsia"/>
          <w:kern w:val="0"/>
          <w:sz w:val="27"/>
          <w:szCs w:val="27"/>
        </w:rPr>
        <w:t xml:space="preserve"> 成交供应商应在《成交通知书》发出之日起十日内与采购人签订合同，否则按有效期内撤回其处理。</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32</w:t>
      </w:r>
      <w:r>
        <w:rPr>
          <w:rFonts w:ascii="宋体" w:hAnsi="宋体"/>
          <w:kern w:val="0"/>
          <w:sz w:val="27"/>
          <w:szCs w:val="27"/>
        </w:rPr>
        <w:t>.2</w:t>
      </w:r>
      <w:r>
        <w:rPr>
          <w:rFonts w:ascii="宋体" w:hAnsi="宋体" w:hint="eastAsia"/>
          <w:kern w:val="0"/>
          <w:sz w:val="27"/>
          <w:szCs w:val="27"/>
        </w:rPr>
        <w:t xml:space="preserve"> 谈判文件、成交供应商的响应文件及评审过程中有关澄清文件均应作为合同附件。</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32.3 合同履行中，采购人需追加与合同标的相同的货物的，在不改变合同其他条款的前提下，可以与供应商协商签订补充合同，但所有补充合同的采购金额不得超过原合同采购金额的百分之十。</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32.4 成交供应商拒绝签订政府采购合同的，采购人可以按谈判小组推荐的成交候选人排名顺序确定下一个候选人为成交供应商，也可以重新开展政府采购活动。拒绝签订政府采购合同的成交供应商不得参加该项目重新开展的采购活动。</w:t>
      </w:r>
    </w:p>
    <w:p>
      <w:pPr>
        <w:pStyle w:val="Heading2"/>
        <w:ind w:firstLine="0"/>
        <w:rPr>
          <w:kern w:val="0"/>
        </w:rPr>
      </w:pPr>
      <w:bookmarkStart w:id="23" w:name="_Toc54871726"/>
      <w:bookmarkStart w:id="24" w:name="_Toc27521"/>
      <w:r>
        <w:rPr>
          <w:kern w:val="0"/>
        </w:rPr>
        <w:t>（</w:t>
      </w:r>
      <w:r>
        <w:rPr>
          <w:rFonts w:hint="eastAsia"/>
          <w:kern w:val="0"/>
        </w:rPr>
        <w:t>七</w:t>
      </w:r>
      <w:r>
        <w:rPr>
          <w:kern w:val="0"/>
        </w:rPr>
        <w:t>）</w:t>
      </w:r>
      <w:r>
        <w:rPr>
          <w:rFonts w:hint="eastAsia"/>
        </w:rPr>
        <w:t>询问和质疑</w:t>
      </w:r>
      <w:bookmarkEnd w:id="23"/>
      <w:bookmarkEnd w:id="24"/>
    </w:p>
    <w:p>
      <w:pPr>
        <w:autoSpaceDE w:val="0"/>
        <w:autoSpaceDN w:val="0"/>
        <w:adjustRightInd w:val="0"/>
        <w:snapToGrid w:val="0"/>
        <w:spacing w:line="500" w:lineRule="exact"/>
        <w:ind w:right="32" w:firstLine="135" w:firstLineChars="50"/>
        <w:rPr>
          <w:rFonts w:ascii="宋体" w:hAnsi="宋体"/>
          <w:b/>
          <w:bCs/>
          <w:kern w:val="0"/>
          <w:sz w:val="27"/>
          <w:szCs w:val="27"/>
        </w:rPr>
      </w:pPr>
      <w:r>
        <w:rPr>
          <w:rFonts w:ascii="宋体" w:hAnsi="宋体" w:hint="eastAsia"/>
          <w:b/>
          <w:bCs/>
          <w:kern w:val="0"/>
          <w:sz w:val="27"/>
          <w:szCs w:val="27"/>
        </w:rPr>
        <w:t>34.询问</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34.1供应商对采购活动事项有疑问的，可以向采购人提出询问，采购人应当在3个工作日内对供应商依法提出询问作出答复。</w:t>
      </w:r>
    </w:p>
    <w:p>
      <w:pPr>
        <w:autoSpaceDE w:val="0"/>
        <w:autoSpaceDN w:val="0"/>
        <w:adjustRightInd w:val="0"/>
        <w:snapToGrid w:val="0"/>
        <w:spacing w:line="500" w:lineRule="exact"/>
        <w:ind w:right="32" w:firstLine="135" w:firstLineChars="50"/>
        <w:rPr>
          <w:rFonts w:ascii="宋体" w:hAnsi="宋体"/>
          <w:b/>
          <w:bCs/>
          <w:kern w:val="0"/>
          <w:sz w:val="27"/>
          <w:szCs w:val="27"/>
        </w:rPr>
      </w:pPr>
      <w:r>
        <w:rPr>
          <w:rFonts w:ascii="宋体" w:hAnsi="宋体" w:hint="eastAsia"/>
          <w:b/>
          <w:bCs/>
          <w:kern w:val="0"/>
          <w:sz w:val="27"/>
          <w:szCs w:val="27"/>
        </w:rPr>
        <w:t>35.质疑</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35.1 供应商认为采购文件、采购过程和成交结果使自己的权益受到损害的，可以按以下规定提出质疑。</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（1）对可以质疑的谈判文件提出质疑的，为收到谈判文件之日或者谈判文件公告期限届满之日起3 个工作日内，以书面形式向采购人或者采购人提交；</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（2）对采购过程提出质疑的，为各采购程序环节结束之日起3个工作日内，以书面形式向采购人或者采购人提交；</w:t>
      </w:r>
    </w:p>
    <w:p>
      <w:pPr>
        <w:autoSpaceDE w:val="0"/>
        <w:autoSpaceDN w:val="0"/>
        <w:adjustRightInd w:val="0"/>
        <w:snapToGrid w:val="0"/>
        <w:spacing w:line="500" w:lineRule="exact"/>
        <w:ind w:right="32" w:firstLine="135" w:firstLineChars="50"/>
        <w:rPr>
          <w:rFonts w:ascii="宋体" w:hAnsi="宋体"/>
          <w:kern w:val="0"/>
          <w:sz w:val="27"/>
          <w:szCs w:val="27"/>
        </w:rPr>
        <w:sectPr>
          <w:footerReference w:type="default" r:id="rId37"/>
          <w:footerReference w:type="first" r:id="rId38"/>
          <w:type w:val="nextPage"/>
          <w:pgSz w:w="11906" w:h="16838"/>
          <w:pgMar w:top="1440" w:right="1080" w:bottom="1440" w:left="1080" w:header="851" w:footer="992" w:gutter="0"/>
          <w:pgNumType w:start="17"/>
          <w:cols w:num="1" w:space="720"/>
          <w:titlePg w:val="0"/>
          <w:docGrid w:linePitch="312" w:charSpace="0"/>
        </w:sectPr>
      </w:pPr>
      <w:r>
        <w:rPr>
          <w:rFonts w:ascii="宋体" w:hAnsi="宋体" w:hint="eastAsia"/>
          <w:kern w:val="0"/>
          <w:sz w:val="27"/>
          <w:szCs w:val="27"/>
        </w:rPr>
        <w:t>（3）对成交结果提出质疑的，为成交结果公告期限届满之日起3个工作日内以书面形式向采购人或者采购人提交。</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35.2 供应商提出质疑应当提交质疑函。质疑函应当包括但不限于下列内容：</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（1）供应商的名称、地址、邮编、联系人及联系电话；</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（2）质疑项目的名称、编号；</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（3）质疑事项；</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（4）事实依据和证明材料；</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（5）法律依据；</w:t>
      </w:r>
    </w:p>
    <w:p>
      <w:pPr>
        <w:autoSpaceDE w:val="0"/>
        <w:autoSpaceDN w:val="0"/>
        <w:adjustRightInd w:val="0"/>
        <w:snapToGrid w:val="0"/>
        <w:spacing w:line="500" w:lineRule="exact"/>
        <w:ind w:right="32" w:firstLine="135" w:firstLineChars="50"/>
        <w:rPr>
          <w:rFonts w:ascii="宋体" w:hAnsi="宋体"/>
          <w:kern w:val="0"/>
          <w:sz w:val="27"/>
          <w:szCs w:val="27"/>
        </w:rPr>
      </w:pPr>
      <w:r>
        <w:rPr>
          <w:rFonts w:ascii="宋体" w:hAnsi="宋体" w:hint="eastAsia"/>
          <w:kern w:val="0"/>
          <w:sz w:val="27"/>
          <w:szCs w:val="27"/>
        </w:rPr>
        <w:t>（6）提出质疑的日期。</w:t>
      </w:r>
    </w:p>
    <w:p>
      <w:pPr>
        <w:autoSpaceDE w:val="0"/>
        <w:autoSpaceDN w:val="0"/>
        <w:adjustRightInd w:val="0"/>
        <w:snapToGrid w:val="0"/>
        <w:spacing w:line="500" w:lineRule="exact"/>
        <w:ind w:right="32"/>
        <w:rPr>
          <w:rFonts w:ascii="宋体" w:hAnsi="宋体"/>
          <w:kern w:val="0"/>
          <w:sz w:val="27"/>
          <w:szCs w:val="27"/>
        </w:rPr>
      </w:pPr>
      <w:r>
        <w:rPr>
          <w:rFonts w:ascii="宋体" w:hAnsi="宋体" w:hint="eastAsia"/>
          <w:kern w:val="0"/>
          <w:sz w:val="27"/>
          <w:szCs w:val="27"/>
        </w:rPr>
        <w:t>质疑函应当署名。供应商为自然人的，应当由本人签字；供应商为法人或者其他组织的，应当由法定代表人或者主要负责人签字盖章并加盖公章。</w:t>
      </w:r>
    </w:p>
    <w:p>
      <w:pPr>
        <w:autoSpaceDE w:val="0"/>
        <w:autoSpaceDN w:val="0"/>
        <w:adjustRightInd w:val="0"/>
        <w:snapToGrid w:val="0"/>
        <w:spacing w:line="500" w:lineRule="exact"/>
        <w:ind w:right="32"/>
        <w:rPr>
          <w:rFonts w:ascii="宋体" w:hAnsi="宋体"/>
          <w:kern w:val="0"/>
          <w:sz w:val="27"/>
          <w:szCs w:val="27"/>
        </w:rPr>
      </w:pPr>
      <w:r>
        <w:rPr>
          <w:rFonts w:ascii="宋体" w:hAnsi="宋体" w:hint="eastAsia"/>
          <w:kern w:val="0"/>
          <w:sz w:val="27"/>
          <w:szCs w:val="27"/>
        </w:rPr>
        <w:t>35.3 采购人在收到质疑函之日起3个工作日内做出答复。质疑供应商对采购人、采购人的答复不满意或者采购人未在规定的时间内作出答复的，可以在答复期满后7个工作日内向江西广播电视传媒有限公司管理部投诉。</w:t>
      </w:r>
    </w:p>
    <w:p>
      <w:pPr>
        <w:pStyle w:val="Heading2"/>
        <w:ind w:firstLine="0"/>
        <w:rPr>
          <w:rFonts w:ascii="宋体" w:hAnsi="宋体"/>
          <w:sz w:val="27"/>
          <w:szCs w:val="27"/>
        </w:rPr>
      </w:pPr>
      <w:bookmarkStart w:id="25" w:name="_Toc30885"/>
      <w:bookmarkStart w:id="26" w:name="_Toc1824"/>
      <w:bookmarkStart w:id="27" w:name="_Toc54871727"/>
      <w:r>
        <w:rPr>
          <w:rFonts w:hint="eastAsia"/>
        </w:rPr>
        <w:t>（八）附则</w:t>
      </w:r>
      <w:bookmarkEnd w:id="25"/>
      <w:bookmarkEnd w:id="26"/>
      <w:bookmarkEnd w:id="27"/>
    </w:p>
    <w:p>
      <w:pPr>
        <w:autoSpaceDE w:val="0"/>
        <w:autoSpaceDN w:val="0"/>
        <w:adjustRightInd w:val="0"/>
        <w:snapToGrid w:val="0"/>
        <w:spacing w:line="500" w:lineRule="exact"/>
        <w:ind w:right="32"/>
        <w:rPr>
          <w:rFonts w:ascii="宋体" w:hAnsi="宋体"/>
          <w:b/>
          <w:bCs/>
          <w:kern w:val="0"/>
          <w:sz w:val="27"/>
          <w:szCs w:val="27"/>
        </w:rPr>
      </w:pPr>
      <w:r>
        <w:rPr>
          <w:rFonts w:ascii="宋体" w:hAnsi="宋体" w:hint="eastAsia"/>
          <w:b/>
          <w:bCs/>
          <w:kern w:val="0"/>
          <w:sz w:val="27"/>
          <w:szCs w:val="27"/>
        </w:rPr>
        <w:t>36、解释权</w:t>
      </w:r>
    </w:p>
    <w:p>
      <w:pPr>
        <w:autoSpaceDE w:val="0"/>
        <w:autoSpaceDN w:val="0"/>
        <w:adjustRightInd w:val="0"/>
        <w:snapToGrid w:val="0"/>
        <w:spacing w:line="500" w:lineRule="exact"/>
        <w:ind w:right="32"/>
        <w:rPr>
          <w:rFonts w:ascii="宋体" w:hAnsi="宋体"/>
          <w:sz w:val="27"/>
          <w:szCs w:val="27"/>
        </w:rPr>
      </w:pPr>
      <w:r>
        <w:rPr>
          <w:rFonts w:ascii="宋体" w:hAnsi="宋体" w:hint="eastAsia"/>
          <w:kern w:val="0"/>
          <w:sz w:val="27"/>
          <w:szCs w:val="27"/>
        </w:rPr>
        <w:t>36.1 本谈判文件是根据国家有关法律、法规以及政府采购管理有关规定编制，解释权属</w:t>
      </w:r>
      <w:r>
        <w:rPr>
          <w:rFonts w:ascii="宋体" w:hAnsi="宋体" w:hint="eastAsia"/>
          <w:sz w:val="27"/>
          <w:szCs w:val="27"/>
        </w:rPr>
        <w:t>江西广播电视台。</w:t>
      </w:r>
    </w:p>
    <w:p>
      <w:pPr>
        <w:autoSpaceDE w:val="0"/>
        <w:autoSpaceDN w:val="0"/>
        <w:adjustRightInd w:val="0"/>
        <w:snapToGrid w:val="0"/>
        <w:spacing w:line="500" w:lineRule="exact"/>
        <w:ind w:right="32"/>
        <w:rPr>
          <w:rFonts w:ascii="宋体" w:hAnsi="宋体"/>
          <w:b/>
          <w:bCs/>
          <w:sz w:val="27"/>
          <w:szCs w:val="27"/>
        </w:rPr>
      </w:pPr>
      <w:r>
        <w:rPr>
          <w:rFonts w:ascii="宋体" w:hAnsi="宋体" w:hint="eastAsia"/>
          <w:b/>
          <w:bCs/>
          <w:sz w:val="27"/>
          <w:szCs w:val="27"/>
        </w:rPr>
        <w:t>37、未尽事宜</w:t>
      </w:r>
    </w:p>
    <w:p>
      <w:pPr>
        <w:widowControl/>
        <w:spacing w:line="500" w:lineRule="exact"/>
        <w:jc w:val="left"/>
        <w:rPr>
          <w:rFonts w:ascii="宋体" w:hAnsi="宋体" w:cs="宋体"/>
          <w:bCs/>
          <w:kern w:val="0"/>
          <w:sz w:val="27"/>
          <w:szCs w:val="27"/>
        </w:rPr>
      </w:pPr>
      <w:r>
        <w:rPr>
          <w:rFonts w:ascii="宋体" w:hAnsi="宋体" w:hint="eastAsia"/>
          <w:sz w:val="27"/>
          <w:szCs w:val="27"/>
        </w:rPr>
        <w:t>37.1 按《中华人民共和国政府采购法》、《中华人民共和国政府采购法实施条例》、《政府采购非招标采购方式管理办法》（财政部令第74号）及有关法律、法规的规定执行。</w:t>
      </w:r>
      <w:bookmarkStart w:id="28" w:name="_Toc414959380"/>
    </w:p>
    <w:p>
      <w:pPr>
        <w:rPr>
          <w:kern w:val="0"/>
        </w:rPr>
        <w:sectPr>
          <w:footerReference w:type="default" r:id="rId39"/>
          <w:footerReference w:type="first" r:id="rId40"/>
          <w:type w:val="nextPage"/>
          <w:pgSz w:w="11906" w:h="16838"/>
          <w:pgMar w:top="1440" w:right="1080" w:bottom="1440" w:left="1080" w:header="851" w:footer="992" w:gutter="0"/>
          <w:pgNumType w:start="18"/>
          <w:cols w:num="1" w:space="720"/>
          <w:titlePg w:val="0"/>
          <w:docGrid w:linePitch="312" w:charSpace="0"/>
        </w:sectPr>
      </w:pPr>
    </w:p>
    <w:bookmarkEnd w:id="28"/>
    <w:p>
      <w:pPr>
        <w:pStyle w:val="Heading1"/>
        <w:spacing w:before="100" w:after="90" w:line="360" w:lineRule="auto"/>
        <w:jc w:val="center"/>
        <w:rPr>
          <w:kern w:val="0"/>
        </w:rPr>
      </w:pPr>
      <w:bookmarkStart w:id="29" w:name="_Toc19439"/>
      <w:bookmarkStart w:id="30" w:name="_Toc54871728"/>
      <w:r>
        <w:rPr>
          <w:rFonts w:hint="eastAsia"/>
          <w:kern w:val="0"/>
        </w:rPr>
        <w:t xml:space="preserve">※ </w:t>
      </w:r>
      <w:r>
        <w:rPr>
          <w:kern w:val="0"/>
        </w:rPr>
        <w:t>三、采购项目</w:t>
      </w:r>
      <w:r>
        <w:rPr>
          <w:rFonts w:hint="eastAsia"/>
          <w:kern w:val="0"/>
        </w:rPr>
        <w:t>需</w:t>
      </w:r>
      <w:r>
        <w:rPr>
          <w:kern w:val="0"/>
        </w:rPr>
        <w:t>求</w:t>
      </w:r>
      <w:bookmarkEnd w:id="29"/>
      <w:bookmarkEnd w:id="30"/>
    </w:p>
    <w:p>
      <w:pPr>
        <w:spacing w:line="500" w:lineRule="exact"/>
        <w:rPr>
          <w:rFonts w:ascii="宋体" w:hAnsi="宋体" w:cs="宋体"/>
          <w:kern w:val="0"/>
          <w:sz w:val="27"/>
          <w:szCs w:val="27"/>
        </w:rPr>
      </w:pPr>
      <w:r>
        <w:rPr>
          <w:rFonts w:ascii="宋体" w:hAnsi="宋体" w:cs="宋体" w:hint="eastAsia"/>
          <w:kern w:val="0"/>
          <w:sz w:val="27"/>
          <w:szCs w:val="27"/>
        </w:rPr>
        <w:t>（一）供应商须提供全新、原装，并符合质量标准的产品。</w:t>
      </w:r>
    </w:p>
    <w:p>
      <w:pPr>
        <w:spacing w:line="500" w:lineRule="exact"/>
        <w:rPr>
          <w:rFonts w:ascii="宋体" w:hAnsi="宋体" w:cs="宋体"/>
          <w:kern w:val="0"/>
          <w:sz w:val="27"/>
          <w:szCs w:val="27"/>
        </w:rPr>
      </w:pPr>
      <w:r>
        <w:rPr>
          <w:rFonts w:ascii="宋体" w:hAnsi="宋体" w:cs="宋体" w:hint="eastAsia"/>
          <w:kern w:val="0"/>
          <w:sz w:val="27"/>
          <w:szCs w:val="27"/>
        </w:rPr>
        <w:t>（二）所有产品的知识产权问题，由各供应商自行负责。</w:t>
      </w:r>
    </w:p>
    <w:p>
      <w:pPr>
        <w:spacing w:line="500" w:lineRule="exact"/>
        <w:rPr>
          <w:rFonts w:ascii="宋体" w:hAnsi="宋体" w:cs="宋体"/>
          <w:sz w:val="27"/>
          <w:szCs w:val="27"/>
        </w:rPr>
      </w:pPr>
      <w:r>
        <w:rPr>
          <w:rFonts w:ascii="宋体" w:hAnsi="宋体" w:cs="宋体" w:hint="eastAsia"/>
          <w:kern w:val="0"/>
          <w:sz w:val="27"/>
          <w:szCs w:val="27"/>
        </w:rPr>
        <w:t>（三）</w:t>
      </w:r>
      <w:r>
        <w:rPr>
          <w:rFonts w:ascii="宋体" w:hAnsi="宋体" w:cs="宋体" w:hint="eastAsia"/>
          <w:sz w:val="27"/>
          <w:szCs w:val="27"/>
        </w:rPr>
        <w:t>本谈判文件提出的是最低限度的要求，供应商的方案应达到或优于本谈判文件要求，且符合国家有关标准和规范要求。</w:t>
      </w:r>
    </w:p>
    <w:p>
      <w:pPr>
        <w:pStyle w:val="BodyText2"/>
        <w:spacing w:line="500" w:lineRule="exact"/>
        <w:jc w:val="left"/>
        <w:rPr>
          <w:rFonts w:hAnsi="宋体" w:cs="宋体"/>
          <w:sz w:val="27"/>
          <w:szCs w:val="27"/>
        </w:rPr>
      </w:pPr>
      <w:r>
        <w:rPr>
          <w:rFonts w:hAnsi="宋体" w:cs="宋体" w:hint="eastAsia"/>
          <w:sz w:val="27"/>
          <w:szCs w:val="27"/>
        </w:rPr>
        <w:t>（四）技术规格及商务要求</w:t>
      </w:r>
    </w:p>
    <w:p>
      <w:pPr>
        <w:spacing w:line="520" w:lineRule="exact"/>
        <w:jc w:val="center"/>
        <w:rPr>
          <w:rFonts w:ascii="宋体" w:hAnsi="宋体" w:cs="宋体"/>
          <w:b/>
          <w:bCs/>
          <w:sz w:val="28"/>
          <w:szCs w:val="27"/>
        </w:rPr>
      </w:pPr>
      <w:r>
        <w:rPr>
          <w:rFonts w:ascii="宋体" w:hAnsi="宋体" w:cs="宋体" w:hint="eastAsia"/>
          <w:b/>
          <w:bCs/>
          <w:sz w:val="28"/>
          <w:szCs w:val="27"/>
        </w:rPr>
        <w:t>采购清单</w:t>
      </w:r>
    </w:p>
    <w:tbl>
      <w:tblPr>
        <w:tblStyle w:val="TableGrid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17"/>
        <w:gridCol w:w="1985"/>
        <w:gridCol w:w="1842"/>
        <w:gridCol w:w="851"/>
        <w:gridCol w:w="302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17" w:type="dxa"/>
          </w:tcPr>
          <w:p>
            <w:pPr>
              <w:pStyle w:val="TOC1"/>
              <w:rPr>
                <w:b w:val="0"/>
                <w:bCs w:val="0"/>
                <w:sz w:val="24"/>
                <w:szCs w:val="24"/>
              </w:rPr>
            </w:pPr>
            <w:r>
              <w:rPr>
                <w:rFonts w:hint="eastAsia"/>
                <w:b w:val="0"/>
                <w:bCs w:val="0"/>
                <w:sz w:val="24"/>
                <w:szCs w:val="24"/>
              </w:rPr>
              <w:t>序号</w:t>
            </w:r>
          </w:p>
        </w:tc>
        <w:tc>
          <w:tcPr>
            <w:tcW w:w="1985" w:type="dxa"/>
          </w:tcPr>
          <w:p>
            <w:pPr>
              <w:pStyle w:val="TOC1"/>
              <w:rPr>
                <w:b w:val="0"/>
                <w:bCs w:val="0"/>
                <w:sz w:val="24"/>
                <w:szCs w:val="24"/>
              </w:rPr>
            </w:pPr>
            <w:r>
              <w:rPr>
                <w:rFonts w:hint="eastAsia"/>
                <w:b w:val="0"/>
                <w:bCs w:val="0"/>
                <w:sz w:val="24"/>
                <w:szCs w:val="24"/>
              </w:rPr>
              <w:t>设备名称</w:t>
            </w:r>
          </w:p>
        </w:tc>
        <w:tc>
          <w:tcPr>
            <w:tcW w:w="1842" w:type="dxa"/>
          </w:tcPr>
          <w:p>
            <w:pPr>
              <w:pStyle w:val="TOC1"/>
              <w:rPr>
                <w:b w:val="0"/>
                <w:bCs w:val="0"/>
                <w:sz w:val="24"/>
                <w:szCs w:val="24"/>
              </w:rPr>
            </w:pPr>
            <w:r>
              <w:rPr>
                <w:rFonts w:hint="eastAsia"/>
                <w:b w:val="0"/>
                <w:bCs w:val="0"/>
                <w:sz w:val="24"/>
                <w:szCs w:val="24"/>
              </w:rPr>
              <w:t>设备规格</w:t>
            </w:r>
          </w:p>
        </w:tc>
        <w:tc>
          <w:tcPr>
            <w:tcW w:w="851" w:type="dxa"/>
          </w:tcPr>
          <w:p>
            <w:pPr>
              <w:pStyle w:val="TOC1"/>
              <w:rPr>
                <w:b w:val="0"/>
                <w:bCs w:val="0"/>
                <w:sz w:val="24"/>
                <w:szCs w:val="24"/>
              </w:rPr>
            </w:pPr>
            <w:r>
              <w:rPr>
                <w:rFonts w:hint="eastAsia"/>
                <w:b w:val="0"/>
                <w:bCs w:val="0"/>
                <w:sz w:val="24"/>
                <w:szCs w:val="24"/>
              </w:rPr>
              <w:t>数量</w:t>
            </w:r>
          </w:p>
        </w:tc>
        <w:tc>
          <w:tcPr>
            <w:tcW w:w="3027" w:type="dxa"/>
          </w:tcPr>
          <w:p>
            <w:pPr>
              <w:pStyle w:val="TOC1"/>
              <w:rPr>
                <w:b w:val="0"/>
                <w:bCs w:val="0"/>
                <w:sz w:val="24"/>
                <w:szCs w:val="24"/>
              </w:rPr>
            </w:pPr>
            <w:r>
              <w:rPr>
                <w:rFonts w:hint="eastAsia"/>
                <w:b w:val="0"/>
                <w:bCs w:val="0"/>
                <w:sz w:val="24"/>
                <w:szCs w:val="24"/>
              </w:rPr>
              <w:t>技术描述</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p>
        </w:tc>
        <w:tc>
          <w:tcPr>
            <w:tcW w:w="1985" w:type="dxa"/>
            <w:vAlign w:val="center"/>
          </w:tcPr>
          <w:p>
            <w:pPr>
              <w:pStyle w:val="TOC1"/>
              <w:rPr>
                <w:b w:val="0"/>
                <w:bCs w:val="0"/>
                <w:sz w:val="24"/>
                <w:szCs w:val="24"/>
              </w:rPr>
            </w:pPr>
            <w:r>
              <w:rPr>
                <w:rFonts w:hint="eastAsia"/>
                <w:b w:val="0"/>
                <w:bCs w:val="0"/>
                <w:sz w:val="24"/>
                <w:szCs w:val="24"/>
              </w:rPr>
              <w:t>空调协议开发</w:t>
            </w:r>
          </w:p>
        </w:tc>
        <w:tc>
          <w:tcPr>
            <w:tcW w:w="1842" w:type="dxa"/>
            <w:vAlign w:val="center"/>
          </w:tcPr>
          <w:p>
            <w:pPr>
              <w:pStyle w:val="TOC1"/>
              <w:rPr>
                <w:b w:val="0"/>
                <w:bCs w:val="0"/>
                <w:sz w:val="24"/>
                <w:szCs w:val="24"/>
              </w:rPr>
            </w:pPr>
            <w:r>
              <w:rPr>
                <w:rFonts w:hint="eastAsia"/>
                <w:b w:val="0"/>
                <w:bCs w:val="0"/>
                <w:sz w:val="24"/>
                <w:szCs w:val="24"/>
              </w:rPr>
              <w:t>4</w:t>
            </w:r>
            <w:r>
              <w:rPr>
                <w:b w:val="0"/>
                <w:bCs w:val="0"/>
                <w:sz w:val="24"/>
                <w:szCs w:val="24"/>
              </w:rPr>
              <w:t>85</w:t>
            </w:r>
            <w:r>
              <w:rPr>
                <w:rFonts w:hint="eastAsia"/>
                <w:b w:val="0"/>
                <w:bCs w:val="0"/>
                <w:sz w:val="24"/>
                <w:szCs w:val="24"/>
              </w:rPr>
              <w:t>协议</w:t>
            </w:r>
          </w:p>
        </w:tc>
        <w:tc>
          <w:tcPr>
            <w:tcW w:w="851" w:type="dxa"/>
            <w:vAlign w:val="center"/>
          </w:tcPr>
          <w:p>
            <w:pPr>
              <w:pStyle w:val="TOC1"/>
              <w:rPr>
                <w:b w:val="0"/>
                <w:bCs w:val="0"/>
                <w:sz w:val="24"/>
                <w:szCs w:val="24"/>
              </w:rPr>
            </w:pPr>
            <w:r>
              <w:rPr>
                <w:rFonts w:hint="eastAsia"/>
                <w:b w:val="0"/>
                <w:bCs w:val="0"/>
                <w:sz w:val="24"/>
                <w:szCs w:val="24"/>
              </w:rPr>
              <w:t>1项</w:t>
            </w:r>
          </w:p>
        </w:tc>
        <w:tc>
          <w:tcPr>
            <w:tcW w:w="3027" w:type="dxa"/>
            <w:vAlign w:val="center"/>
          </w:tcPr>
          <w:p>
            <w:pPr>
              <w:pStyle w:val="TOC1"/>
              <w:rPr>
                <w:rFonts w:eastAsia="宋体" w:hint="eastAsia"/>
                <w:b w:val="0"/>
                <w:bCs w:val="0"/>
                <w:sz w:val="24"/>
                <w:szCs w:val="24"/>
                <w:lang w:eastAsia="zh-CN"/>
              </w:rPr>
            </w:pPr>
            <w:r>
              <w:rPr>
                <w:rFonts w:hint="eastAsia"/>
                <w:b w:val="0"/>
                <w:bCs w:val="0"/>
                <w:sz w:val="24"/>
                <w:szCs w:val="24"/>
                <w:lang w:val="en-US" w:eastAsia="zh-CN"/>
              </w:rPr>
              <w:t>与艾默生空调对接的</w:t>
            </w:r>
            <w:r>
              <w:rPr>
                <w:rFonts w:hint="eastAsia"/>
                <w:b w:val="0"/>
                <w:bCs w:val="0"/>
                <w:sz w:val="24"/>
                <w:szCs w:val="24"/>
              </w:rPr>
              <w:t>通讯</w:t>
            </w:r>
            <w:r>
              <w:rPr>
                <w:rFonts w:hint="eastAsia"/>
                <w:b w:val="0"/>
                <w:bCs w:val="0"/>
                <w:sz w:val="24"/>
                <w:szCs w:val="24"/>
                <w:lang w:val="en-US" w:eastAsia="zh-CN"/>
              </w:rPr>
              <w:t>协议</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2</w:t>
            </w:r>
          </w:p>
        </w:tc>
        <w:tc>
          <w:tcPr>
            <w:tcW w:w="1985" w:type="dxa"/>
            <w:vAlign w:val="center"/>
          </w:tcPr>
          <w:p>
            <w:pPr>
              <w:pStyle w:val="TOC1"/>
              <w:rPr>
                <w:b w:val="0"/>
                <w:bCs w:val="0"/>
                <w:sz w:val="24"/>
                <w:szCs w:val="24"/>
              </w:rPr>
            </w:pPr>
            <w:r>
              <w:rPr>
                <w:rFonts w:hint="eastAsia"/>
                <w:b w:val="0"/>
                <w:bCs w:val="0"/>
                <w:sz w:val="24"/>
                <w:szCs w:val="24"/>
              </w:rPr>
              <w:t>电量仪协议开发</w:t>
            </w:r>
          </w:p>
        </w:tc>
        <w:tc>
          <w:tcPr>
            <w:tcW w:w="1842" w:type="dxa"/>
            <w:vAlign w:val="center"/>
          </w:tcPr>
          <w:p>
            <w:pPr>
              <w:pStyle w:val="TOC1"/>
              <w:rPr>
                <w:b w:val="0"/>
                <w:bCs w:val="0"/>
                <w:sz w:val="24"/>
                <w:szCs w:val="24"/>
              </w:rPr>
            </w:pPr>
            <w:r>
              <w:rPr>
                <w:rFonts w:hint="eastAsia"/>
                <w:b w:val="0"/>
                <w:bCs w:val="0"/>
                <w:sz w:val="24"/>
                <w:szCs w:val="24"/>
              </w:rPr>
              <w:t>4</w:t>
            </w:r>
            <w:r>
              <w:rPr>
                <w:b w:val="0"/>
                <w:bCs w:val="0"/>
                <w:sz w:val="24"/>
                <w:szCs w:val="24"/>
              </w:rPr>
              <w:t>85</w:t>
            </w:r>
            <w:r>
              <w:rPr>
                <w:rFonts w:hint="eastAsia"/>
                <w:b w:val="0"/>
                <w:bCs w:val="0"/>
                <w:sz w:val="24"/>
                <w:szCs w:val="24"/>
              </w:rPr>
              <w:t>协议</w:t>
            </w:r>
          </w:p>
        </w:tc>
        <w:tc>
          <w:tcPr>
            <w:tcW w:w="851" w:type="dxa"/>
            <w:vAlign w:val="center"/>
          </w:tcPr>
          <w:p>
            <w:pPr>
              <w:pStyle w:val="TOC1"/>
              <w:rPr>
                <w:b w:val="0"/>
                <w:bCs w:val="0"/>
                <w:sz w:val="24"/>
                <w:szCs w:val="24"/>
              </w:rPr>
            </w:pPr>
            <w:r>
              <w:rPr>
                <w:rFonts w:hint="eastAsia"/>
                <w:b w:val="0"/>
                <w:bCs w:val="0"/>
                <w:sz w:val="24"/>
                <w:szCs w:val="24"/>
              </w:rPr>
              <w:t>1项</w:t>
            </w:r>
          </w:p>
        </w:tc>
        <w:tc>
          <w:tcPr>
            <w:tcW w:w="3027" w:type="dxa"/>
            <w:vAlign w:val="center"/>
          </w:tcPr>
          <w:p>
            <w:pPr>
              <w:pStyle w:val="TOC1"/>
              <w:rPr>
                <w:b w:val="0"/>
                <w:bCs w:val="0"/>
                <w:sz w:val="24"/>
                <w:szCs w:val="24"/>
              </w:rPr>
            </w:pPr>
            <w:r>
              <w:rPr>
                <w:rFonts w:hint="eastAsia"/>
                <w:b w:val="0"/>
                <w:bCs w:val="0"/>
                <w:sz w:val="24"/>
                <w:szCs w:val="24"/>
                <w:lang w:val="en-US" w:eastAsia="zh-CN"/>
              </w:rPr>
              <w:t>与配电柜对接的</w:t>
            </w:r>
            <w:r>
              <w:rPr>
                <w:rFonts w:hint="eastAsia"/>
                <w:b w:val="0"/>
                <w:bCs w:val="0"/>
                <w:sz w:val="24"/>
                <w:szCs w:val="24"/>
              </w:rPr>
              <w:t>通讯</w:t>
            </w:r>
            <w:r>
              <w:rPr>
                <w:rFonts w:hint="eastAsia"/>
                <w:b w:val="0"/>
                <w:bCs w:val="0"/>
                <w:sz w:val="24"/>
                <w:szCs w:val="24"/>
                <w:lang w:val="en-US" w:eastAsia="zh-CN"/>
              </w:rPr>
              <w:t>协议</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3</w:t>
            </w:r>
          </w:p>
        </w:tc>
        <w:tc>
          <w:tcPr>
            <w:tcW w:w="1985" w:type="dxa"/>
            <w:vAlign w:val="center"/>
          </w:tcPr>
          <w:p>
            <w:pPr>
              <w:pStyle w:val="TOC1"/>
              <w:rPr>
                <w:b w:val="0"/>
                <w:bCs w:val="0"/>
                <w:sz w:val="24"/>
                <w:szCs w:val="24"/>
              </w:rPr>
            </w:pPr>
            <w:r>
              <w:rPr>
                <w:rFonts w:hint="eastAsia"/>
                <w:b w:val="0"/>
                <w:bCs w:val="0"/>
                <w:sz w:val="24"/>
                <w:szCs w:val="24"/>
              </w:rPr>
              <w:t>漏水检测器</w:t>
            </w:r>
          </w:p>
        </w:tc>
        <w:tc>
          <w:tcPr>
            <w:tcW w:w="1842" w:type="dxa"/>
            <w:vAlign w:val="center"/>
          </w:tcPr>
          <w:p>
            <w:pPr>
              <w:pStyle w:val="TOC1"/>
              <w:rPr>
                <w:b w:val="0"/>
                <w:bCs w:val="0"/>
                <w:sz w:val="24"/>
                <w:szCs w:val="24"/>
              </w:rPr>
            </w:pPr>
            <w:r>
              <w:rPr>
                <w:rFonts w:hint="eastAsia"/>
                <w:b w:val="0"/>
                <w:bCs w:val="0"/>
                <w:sz w:val="24"/>
                <w:szCs w:val="24"/>
              </w:rPr>
              <w:t>线式</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6米，安装在空调底部</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4</w:t>
            </w:r>
          </w:p>
        </w:tc>
        <w:tc>
          <w:tcPr>
            <w:tcW w:w="1985" w:type="dxa"/>
            <w:vAlign w:val="center"/>
          </w:tcPr>
          <w:p>
            <w:pPr>
              <w:pStyle w:val="TOC1"/>
              <w:rPr>
                <w:b w:val="0"/>
                <w:bCs w:val="0"/>
                <w:sz w:val="24"/>
                <w:szCs w:val="24"/>
              </w:rPr>
            </w:pPr>
            <w:r>
              <w:rPr>
                <w:rFonts w:hint="eastAsia"/>
                <w:b w:val="0"/>
                <w:bCs w:val="0"/>
                <w:sz w:val="24"/>
                <w:szCs w:val="24"/>
              </w:rPr>
              <w:t>温湿度传感器</w:t>
            </w:r>
          </w:p>
        </w:tc>
        <w:tc>
          <w:tcPr>
            <w:tcW w:w="1842" w:type="dxa"/>
            <w:vAlign w:val="center"/>
          </w:tcPr>
          <w:p>
            <w:pPr>
              <w:pStyle w:val="TOC1"/>
              <w:rPr>
                <w:b w:val="0"/>
                <w:bCs w:val="0"/>
                <w:sz w:val="24"/>
                <w:szCs w:val="24"/>
              </w:rPr>
            </w:pPr>
            <w:r>
              <w:rPr>
                <w:rFonts w:hint="eastAsia"/>
                <w:b w:val="0"/>
                <w:bCs w:val="0"/>
                <w:sz w:val="24"/>
                <w:szCs w:val="24"/>
              </w:rPr>
              <w:t>有线探头式</w:t>
            </w:r>
          </w:p>
        </w:tc>
        <w:tc>
          <w:tcPr>
            <w:tcW w:w="851" w:type="dxa"/>
            <w:vAlign w:val="center"/>
          </w:tcPr>
          <w:p>
            <w:pPr>
              <w:pStyle w:val="TOC1"/>
              <w:rPr>
                <w:b w:val="0"/>
                <w:bCs w:val="0"/>
                <w:sz w:val="24"/>
                <w:szCs w:val="24"/>
              </w:rPr>
            </w:pPr>
            <w:r>
              <w:rPr>
                <w:rFonts w:hint="eastAsia"/>
                <w:b w:val="0"/>
                <w:bCs w:val="0"/>
                <w:sz w:val="24"/>
                <w:szCs w:val="24"/>
              </w:rPr>
              <w:t>3套</w:t>
            </w:r>
          </w:p>
        </w:tc>
        <w:tc>
          <w:tcPr>
            <w:tcW w:w="3027" w:type="dxa"/>
            <w:vAlign w:val="center"/>
          </w:tcPr>
          <w:p>
            <w:pPr>
              <w:pStyle w:val="TOC1"/>
              <w:rPr>
                <w:b w:val="0"/>
                <w:bCs w:val="0"/>
                <w:sz w:val="24"/>
                <w:szCs w:val="24"/>
              </w:rPr>
            </w:pPr>
            <w:r>
              <w:rPr>
                <w:rFonts w:hint="eastAsia"/>
                <w:b w:val="0"/>
                <w:bCs w:val="0"/>
                <w:sz w:val="24"/>
                <w:szCs w:val="24"/>
              </w:rPr>
              <w:t>安装在机柜或冷通道内部</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5</w:t>
            </w:r>
          </w:p>
        </w:tc>
        <w:tc>
          <w:tcPr>
            <w:tcW w:w="1985" w:type="dxa"/>
            <w:vAlign w:val="center"/>
          </w:tcPr>
          <w:p>
            <w:pPr>
              <w:pStyle w:val="TOC1"/>
              <w:rPr>
                <w:b w:val="0"/>
                <w:bCs w:val="0"/>
                <w:sz w:val="24"/>
                <w:szCs w:val="24"/>
              </w:rPr>
            </w:pPr>
            <w:r>
              <w:rPr>
                <w:rFonts w:hint="eastAsia"/>
                <w:b w:val="0"/>
                <w:bCs w:val="0"/>
                <w:sz w:val="24"/>
                <w:szCs w:val="24"/>
              </w:rPr>
              <w:t>温度传感器</w:t>
            </w:r>
          </w:p>
        </w:tc>
        <w:tc>
          <w:tcPr>
            <w:tcW w:w="1842" w:type="dxa"/>
            <w:vAlign w:val="center"/>
          </w:tcPr>
          <w:p>
            <w:pPr>
              <w:pStyle w:val="TOC1"/>
              <w:rPr>
                <w:b w:val="0"/>
                <w:bCs w:val="0"/>
                <w:sz w:val="24"/>
                <w:szCs w:val="24"/>
              </w:rPr>
            </w:pPr>
            <w:r>
              <w:rPr>
                <w:rFonts w:hint="eastAsia"/>
                <w:b w:val="0"/>
                <w:bCs w:val="0"/>
                <w:sz w:val="24"/>
                <w:szCs w:val="24"/>
              </w:rPr>
              <w:t>无线探头式</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安装在机房内吊顶处</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6</w:t>
            </w:r>
          </w:p>
        </w:tc>
        <w:tc>
          <w:tcPr>
            <w:tcW w:w="1985" w:type="dxa"/>
            <w:vAlign w:val="center"/>
          </w:tcPr>
          <w:p>
            <w:pPr>
              <w:pStyle w:val="TOC1"/>
              <w:rPr>
                <w:b w:val="0"/>
                <w:bCs w:val="0"/>
                <w:sz w:val="24"/>
                <w:szCs w:val="24"/>
              </w:rPr>
            </w:pPr>
            <w:r>
              <w:rPr>
                <w:rFonts w:hint="eastAsia"/>
                <w:b w:val="0"/>
                <w:bCs w:val="0"/>
                <w:sz w:val="24"/>
                <w:szCs w:val="24"/>
              </w:rPr>
              <w:t>双门网络门禁控制器</w:t>
            </w:r>
          </w:p>
        </w:tc>
        <w:tc>
          <w:tcPr>
            <w:tcW w:w="1842" w:type="dxa"/>
            <w:vAlign w:val="center"/>
          </w:tcPr>
          <w:p>
            <w:pPr>
              <w:pStyle w:val="TOC1"/>
              <w:rPr>
                <w:b w:val="0"/>
                <w:bCs w:val="0"/>
                <w:sz w:val="24"/>
                <w:szCs w:val="24"/>
              </w:rPr>
            </w:pPr>
            <w:r>
              <w:rPr>
                <w:rFonts w:hint="eastAsia"/>
                <w:b w:val="0"/>
                <w:bCs w:val="0"/>
                <w:sz w:val="24"/>
                <w:szCs w:val="24"/>
              </w:rPr>
              <w:t>明装</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管理机房两扇门，网络通讯。</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7</w:t>
            </w:r>
          </w:p>
        </w:tc>
        <w:tc>
          <w:tcPr>
            <w:tcW w:w="1985" w:type="dxa"/>
            <w:vAlign w:val="center"/>
          </w:tcPr>
          <w:p>
            <w:pPr>
              <w:pStyle w:val="TOC1"/>
              <w:rPr>
                <w:b w:val="0"/>
                <w:bCs w:val="0"/>
                <w:sz w:val="24"/>
                <w:szCs w:val="24"/>
              </w:rPr>
            </w:pPr>
            <w:r>
              <w:rPr>
                <w:rFonts w:hint="eastAsia"/>
                <w:b w:val="0"/>
                <w:bCs w:val="0"/>
                <w:sz w:val="24"/>
                <w:szCs w:val="24"/>
              </w:rPr>
              <w:t>集中监控服务器</w:t>
            </w:r>
          </w:p>
        </w:tc>
        <w:tc>
          <w:tcPr>
            <w:tcW w:w="1842" w:type="dxa"/>
            <w:vAlign w:val="center"/>
          </w:tcPr>
          <w:p>
            <w:pPr>
              <w:pStyle w:val="TOC1"/>
              <w:rPr>
                <w:rFonts w:eastAsia="宋体" w:hint="eastAsia"/>
                <w:b w:val="0"/>
                <w:bCs w:val="0"/>
                <w:sz w:val="24"/>
                <w:szCs w:val="24"/>
                <w:lang w:val="en-US" w:eastAsia="zh-CN"/>
              </w:rPr>
            </w:pPr>
            <w:r>
              <w:rPr>
                <w:rFonts w:hint="eastAsia"/>
                <w:b w:val="0"/>
                <w:bCs w:val="0"/>
                <w:sz w:val="24"/>
                <w:szCs w:val="24"/>
                <w:lang w:val="en-US" w:eastAsia="zh-CN"/>
              </w:rPr>
              <w:t>机架式</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集中监控中心机房新建的温湿度、漏水、精密空调、配电柜等，并集成大楼4楼现有机房监控系统，实现一体化集中管理和告警。</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8</w:t>
            </w:r>
          </w:p>
        </w:tc>
        <w:tc>
          <w:tcPr>
            <w:tcW w:w="1985" w:type="dxa"/>
            <w:vAlign w:val="center"/>
          </w:tcPr>
          <w:p>
            <w:pPr>
              <w:pStyle w:val="TOC1"/>
              <w:rPr>
                <w:b w:val="0"/>
                <w:bCs w:val="0"/>
                <w:sz w:val="24"/>
                <w:szCs w:val="24"/>
              </w:rPr>
            </w:pPr>
            <w:r>
              <w:rPr>
                <w:rFonts w:hint="eastAsia"/>
                <w:b w:val="0"/>
                <w:bCs w:val="0"/>
                <w:sz w:val="24"/>
                <w:szCs w:val="24"/>
              </w:rPr>
              <w:t>智能设备采集器</w:t>
            </w:r>
          </w:p>
        </w:tc>
        <w:tc>
          <w:tcPr>
            <w:tcW w:w="1842" w:type="dxa"/>
            <w:vAlign w:val="center"/>
          </w:tcPr>
          <w:p>
            <w:pPr>
              <w:pStyle w:val="TOC1"/>
              <w:rPr>
                <w:rFonts w:eastAsia="宋体" w:hint="eastAsia"/>
                <w:b w:val="0"/>
                <w:bCs w:val="0"/>
                <w:sz w:val="24"/>
                <w:szCs w:val="24"/>
                <w:lang w:val="en-US" w:eastAsia="zh-CN"/>
              </w:rPr>
            </w:pPr>
            <w:r>
              <w:rPr>
                <w:rFonts w:hint="eastAsia"/>
                <w:b w:val="0"/>
                <w:bCs w:val="0"/>
                <w:sz w:val="24"/>
                <w:szCs w:val="24"/>
                <w:lang w:val="en-US" w:eastAsia="zh-CN"/>
              </w:rPr>
              <w:t>机架式</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spacing w:after="0"/>
              <w:rPr>
                <w:b w:val="0"/>
                <w:bCs w:val="0"/>
                <w:sz w:val="24"/>
                <w:szCs w:val="24"/>
              </w:rPr>
            </w:pPr>
          </w:p>
        </w:tc>
      </w:tr>
    </w:tbl>
    <w:p>
      <w:pPr>
        <w:sectPr>
          <w:footerReference w:type="default" r:id="rId41"/>
          <w:footerReference w:type="first" r:id="rId42"/>
          <w:type w:val="nextPage"/>
          <w:pgSz w:w="11906" w:h="16838"/>
          <w:pgMar w:top="1440" w:right="1080" w:bottom="1440" w:left="1080" w:header="851" w:footer="992" w:gutter="0"/>
          <w:pgNumType w:start="19"/>
          <w:cols w:num="1" w:space="720"/>
          <w:titlePg w:val="0"/>
          <w:docGrid w:linePitch="312" w:charSpace="0"/>
        </w:sectPr>
      </w:pPr>
    </w:p>
    <w:tbl>
      <w:tblPr>
        <w:tblStyle w:val="TableGrid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17"/>
        <w:gridCol w:w="1985"/>
        <w:gridCol w:w="1842"/>
        <w:gridCol w:w="851"/>
        <w:gridCol w:w="302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17" w:type="dxa"/>
            <w:vAlign w:val="center"/>
          </w:tcPr>
          <w:p/>
        </w:tc>
        <w:tc>
          <w:tcPr>
            <w:tcW w:w="1985" w:type="dxa"/>
            <w:vAlign w:val="center"/>
          </w:tcPr>
          <w:p/>
        </w:tc>
        <w:tc>
          <w:tcPr>
            <w:tcW w:w="1842" w:type="dxa"/>
            <w:vAlign w:val="center"/>
          </w:tcPr>
          <w:p/>
        </w:tc>
        <w:tc>
          <w:tcPr>
            <w:tcW w:w="851" w:type="dxa"/>
            <w:vAlign w:val="center"/>
          </w:tcPr>
          <w:p/>
        </w:tc>
        <w:tc>
          <w:tcPr>
            <w:tcW w:w="3027" w:type="dxa"/>
            <w:vAlign w:val="center"/>
          </w:tcPr>
          <w:p>
            <w:pPr>
              <w:pStyle w:val="TOC1"/>
              <w:spacing w:before="0"/>
              <w:rPr>
                <w:b w:val="0"/>
                <w:bCs w:val="0"/>
                <w:sz w:val="24"/>
                <w:szCs w:val="24"/>
              </w:rPr>
            </w:pPr>
            <w:r>
              <w:rPr>
                <w:rFonts w:hint="eastAsia"/>
                <w:b w:val="0"/>
                <w:bCs w:val="0"/>
                <w:sz w:val="24"/>
                <w:szCs w:val="24"/>
              </w:rPr>
              <w:t>网络通讯服务器，1U，19寸，机架式安装，220V交流供电,2个RS-485串口,6个网口,可支持4个Modbus串口设备，自带6口交换机，8路12V直流电源输出。支持接入第三方设备或串口设备专用。</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9</w:t>
            </w:r>
          </w:p>
        </w:tc>
        <w:tc>
          <w:tcPr>
            <w:tcW w:w="1985" w:type="dxa"/>
            <w:vAlign w:val="center"/>
          </w:tcPr>
          <w:p>
            <w:pPr>
              <w:pStyle w:val="TOC1"/>
              <w:rPr>
                <w:b w:val="0"/>
                <w:bCs w:val="0"/>
                <w:sz w:val="24"/>
                <w:szCs w:val="24"/>
              </w:rPr>
            </w:pPr>
            <w:r>
              <w:rPr>
                <w:rFonts w:hint="eastAsia"/>
                <w:b w:val="0"/>
                <w:bCs w:val="0"/>
                <w:sz w:val="24"/>
                <w:szCs w:val="24"/>
              </w:rPr>
              <w:t>环境监控基站</w:t>
            </w:r>
          </w:p>
        </w:tc>
        <w:tc>
          <w:tcPr>
            <w:tcW w:w="1842" w:type="dxa"/>
            <w:vAlign w:val="center"/>
          </w:tcPr>
          <w:p>
            <w:pPr>
              <w:pStyle w:val="TOC1"/>
              <w:rPr>
                <w:rFonts w:eastAsia="宋体" w:hint="eastAsia"/>
                <w:b w:val="0"/>
                <w:bCs w:val="0"/>
                <w:sz w:val="24"/>
                <w:szCs w:val="24"/>
                <w:lang w:eastAsia="zh-CN"/>
              </w:rPr>
            </w:pPr>
            <w:r>
              <w:rPr>
                <w:rFonts w:hint="eastAsia"/>
                <w:b w:val="0"/>
                <w:bCs w:val="0"/>
                <w:sz w:val="24"/>
                <w:szCs w:val="24"/>
                <w:lang w:val="en-US" w:eastAsia="zh-CN"/>
              </w:rPr>
              <w:t>机架式</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机架式安装，接入机房温湿度传感器、无线传感器和漏水传感器等，嵌入式W</w:t>
            </w:r>
            <w:r>
              <w:rPr>
                <w:b w:val="0"/>
                <w:bCs w:val="0"/>
                <w:sz w:val="24"/>
                <w:szCs w:val="24"/>
              </w:rPr>
              <w:t>EB</w:t>
            </w:r>
            <w:r>
              <w:rPr>
                <w:rFonts w:hint="eastAsia"/>
                <w:b w:val="0"/>
                <w:bCs w:val="0"/>
                <w:sz w:val="24"/>
                <w:szCs w:val="24"/>
              </w:rPr>
              <w:t>管理界面，I</w:t>
            </w:r>
            <w:r>
              <w:rPr>
                <w:b w:val="0"/>
                <w:bCs w:val="0"/>
                <w:sz w:val="24"/>
                <w:szCs w:val="24"/>
              </w:rPr>
              <w:t>P</w:t>
            </w:r>
            <w:r>
              <w:rPr>
                <w:rFonts w:hint="eastAsia"/>
                <w:b w:val="0"/>
                <w:bCs w:val="0"/>
                <w:sz w:val="24"/>
                <w:szCs w:val="24"/>
              </w:rPr>
              <w:t>地址原厂访问。可独立集中监控平台自行对以上数据等进行监控管理.</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r>
              <w:rPr>
                <w:b w:val="0"/>
                <w:bCs w:val="0"/>
                <w:sz w:val="24"/>
                <w:szCs w:val="24"/>
              </w:rPr>
              <w:t>0</w:t>
            </w:r>
          </w:p>
        </w:tc>
        <w:tc>
          <w:tcPr>
            <w:tcW w:w="1985" w:type="dxa"/>
            <w:vAlign w:val="center"/>
          </w:tcPr>
          <w:p>
            <w:pPr>
              <w:pStyle w:val="TOC1"/>
              <w:rPr>
                <w:b w:val="0"/>
                <w:bCs w:val="0"/>
                <w:sz w:val="24"/>
                <w:szCs w:val="24"/>
              </w:rPr>
            </w:pPr>
            <w:r>
              <w:rPr>
                <w:rFonts w:hint="eastAsia"/>
                <w:b w:val="0"/>
                <w:bCs w:val="0"/>
                <w:sz w:val="24"/>
                <w:szCs w:val="24"/>
              </w:rPr>
              <w:t>告警器</w:t>
            </w:r>
          </w:p>
        </w:tc>
        <w:tc>
          <w:tcPr>
            <w:tcW w:w="1842" w:type="dxa"/>
            <w:vAlign w:val="center"/>
          </w:tcPr>
          <w:p>
            <w:pPr>
              <w:pStyle w:val="TOC1"/>
              <w:rPr>
                <w:b w:val="0"/>
                <w:bCs w:val="0"/>
                <w:sz w:val="24"/>
                <w:szCs w:val="24"/>
              </w:rPr>
            </w:pPr>
            <w:r>
              <w:rPr>
                <w:rFonts w:hint="eastAsia"/>
                <w:b w:val="0"/>
                <w:bCs w:val="0"/>
                <w:sz w:val="24"/>
                <w:szCs w:val="24"/>
              </w:rPr>
              <w:t>声光告警</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含电源适配器和延长U</w:t>
            </w:r>
            <w:r>
              <w:rPr>
                <w:b w:val="0"/>
                <w:bCs w:val="0"/>
                <w:sz w:val="24"/>
                <w:szCs w:val="24"/>
              </w:rPr>
              <w:t>SB</w:t>
            </w:r>
            <w:r>
              <w:rPr>
                <w:rFonts w:hint="eastAsia"/>
                <w:b w:val="0"/>
                <w:bCs w:val="0"/>
                <w:sz w:val="24"/>
                <w:szCs w:val="24"/>
              </w:rPr>
              <w:t>线缆，安装在监控中心。</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r>
              <w:rPr>
                <w:b w:val="0"/>
                <w:bCs w:val="0"/>
                <w:sz w:val="24"/>
                <w:szCs w:val="24"/>
              </w:rPr>
              <w:t>1</w:t>
            </w:r>
          </w:p>
        </w:tc>
        <w:tc>
          <w:tcPr>
            <w:tcW w:w="1985" w:type="dxa"/>
            <w:vAlign w:val="center"/>
          </w:tcPr>
          <w:p>
            <w:pPr>
              <w:pStyle w:val="TOC1"/>
              <w:rPr>
                <w:b w:val="0"/>
                <w:bCs w:val="0"/>
                <w:sz w:val="24"/>
                <w:szCs w:val="24"/>
              </w:rPr>
            </w:pPr>
            <w:r>
              <w:rPr>
                <w:rFonts w:hint="eastAsia"/>
                <w:b w:val="0"/>
                <w:bCs w:val="0"/>
                <w:sz w:val="24"/>
                <w:szCs w:val="24"/>
              </w:rPr>
              <w:t>短信告警平台</w:t>
            </w:r>
          </w:p>
        </w:tc>
        <w:tc>
          <w:tcPr>
            <w:tcW w:w="1842" w:type="dxa"/>
            <w:vAlign w:val="center"/>
          </w:tcPr>
          <w:p>
            <w:pPr>
              <w:pStyle w:val="TOC1"/>
              <w:rPr>
                <w:b w:val="0"/>
                <w:bCs w:val="0"/>
                <w:sz w:val="24"/>
                <w:szCs w:val="24"/>
              </w:rPr>
            </w:pPr>
            <w:r>
              <w:rPr>
                <w:rFonts w:hint="eastAsia"/>
                <w:b w:val="0"/>
                <w:bCs w:val="0"/>
                <w:sz w:val="24"/>
                <w:szCs w:val="24"/>
              </w:rPr>
              <w:t>短信告警</w:t>
            </w:r>
          </w:p>
        </w:tc>
        <w:tc>
          <w:tcPr>
            <w:tcW w:w="851" w:type="dxa"/>
            <w:vAlign w:val="center"/>
          </w:tcPr>
          <w:p>
            <w:pPr>
              <w:pStyle w:val="TOC1"/>
              <w:rPr>
                <w:b w:val="0"/>
                <w:bCs w:val="0"/>
                <w:sz w:val="24"/>
                <w:szCs w:val="24"/>
              </w:rPr>
            </w:pPr>
            <w:r>
              <w:rPr>
                <w:rFonts w:hint="eastAsia"/>
                <w:b w:val="0"/>
                <w:bCs w:val="0"/>
                <w:sz w:val="24"/>
                <w:szCs w:val="24"/>
              </w:rPr>
              <w:t>1套</w:t>
            </w:r>
          </w:p>
        </w:tc>
        <w:tc>
          <w:tcPr>
            <w:tcW w:w="3027" w:type="dxa"/>
            <w:vAlign w:val="center"/>
          </w:tcPr>
          <w:p>
            <w:pPr>
              <w:pStyle w:val="TOC1"/>
              <w:rPr>
                <w:b w:val="0"/>
                <w:bCs w:val="0"/>
                <w:sz w:val="24"/>
                <w:szCs w:val="24"/>
              </w:rPr>
            </w:pPr>
            <w:r>
              <w:rPr>
                <w:rFonts w:hint="eastAsia"/>
                <w:b w:val="0"/>
                <w:bCs w:val="0"/>
                <w:sz w:val="24"/>
                <w:szCs w:val="24"/>
              </w:rPr>
              <w:t>含短信告警管理平台软件，短信告警器，实现机房的短信告警功能。</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r>
              <w:rPr>
                <w:b w:val="0"/>
                <w:bCs w:val="0"/>
                <w:sz w:val="24"/>
                <w:szCs w:val="24"/>
              </w:rPr>
              <w:t>2</w:t>
            </w:r>
          </w:p>
        </w:tc>
        <w:tc>
          <w:tcPr>
            <w:tcW w:w="1985" w:type="dxa"/>
            <w:vAlign w:val="center"/>
          </w:tcPr>
          <w:p>
            <w:pPr>
              <w:pStyle w:val="TOC1"/>
              <w:rPr>
                <w:b w:val="0"/>
                <w:bCs w:val="0"/>
                <w:sz w:val="24"/>
                <w:szCs w:val="24"/>
              </w:rPr>
            </w:pPr>
            <w:r>
              <w:rPr>
                <w:rFonts w:hint="eastAsia"/>
                <w:b w:val="0"/>
                <w:bCs w:val="0"/>
                <w:sz w:val="24"/>
                <w:szCs w:val="24"/>
              </w:rPr>
              <w:t>附件</w:t>
            </w:r>
          </w:p>
        </w:tc>
        <w:tc>
          <w:tcPr>
            <w:tcW w:w="1842" w:type="dxa"/>
            <w:vAlign w:val="center"/>
          </w:tcPr>
          <w:p>
            <w:pPr>
              <w:pStyle w:val="TOC1"/>
              <w:rPr>
                <w:b w:val="0"/>
                <w:bCs w:val="0"/>
                <w:sz w:val="24"/>
                <w:szCs w:val="24"/>
              </w:rPr>
            </w:pPr>
            <w:r>
              <w:rPr>
                <w:rFonts w:hint="eastAsia"/>
                <w:b w:val="0"/>
                <w:bCs w:val="0"/>
                <w:sz w:val="24"/>
                <w:szCs w:val="24"/>
              </w:rPr>
              <w:t>配套</w:t>
            </w:r>
          </w:p>
        </w:tc>
        <w:tc>
          <w:tcPr>
            <w:tcW w:w="851" w:type="dxa"/>
            <w:vAlign w:val="center"/>
          </w:tcPr>
          <w:p>
            <w:pPr>
              <w:pStyle w:val="TOC1"/>
              <w:rPr>
                <w:b w:val="0"/>
                <w:bCs w:val="0"/>
                <w:sz w:val="24"/>
                <w:szCs w:val="24"/>
              </w:rPr>
            </w:pPr>
            <w:r>
              <w:rPr>
                <w:rFonts w:hint="eastAsia"/>
                <w:b w:val="0"/>
                <w:bCs w:val="0"/>
                <w:sz w:val="24"/>
                <w:szCs w:val="24"/>
              </w:rPr>
              <w:t>1批</w:t>
            </w:r>
          </w:p>
        </w:tc>
        <w:tc>
          <w:tcPr>
            <w:tcW w:w="3027" w:type="dxa"/>
            <w:vAlign w:val="center"/>
          </w:tcPr>
          <w:p>
            <w:pPr>
              <w:pStyle w:val="TOC1"/>
              <w:rPr>
                <w:b w:val="0"/>
                <w:bCs w:val="0"/>
                <w:sz w:val="24"/>
                <w:szCs w:val="24"/>
              </w:rPr>
            </w:pPr>
            <w:r>
              <w:rPr>
                <w:rFonts w:hint="eastAsia"/>
                <w:b w:val="0"/>
                <w:bCs w:val="0"/>
                <w:sz w:val="24"/>
                <w:szCs w:val="24"/>
              </w:rPr>
              <w:t>线缆、网线、扎带等。</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r>
              <w:rPr>
                <w:b w:val="0"/>
                <w:bCs w:val="0"/>
                <w:sz w:val="24"/>
                <w:szCs w:val="24"/>
              </w:rPr>
              <w:t>3</w:t>
            </w:r>
          </w:p>
        </w:tc>
        <w:tc>
          <w:tcPr>
            <w:tcW w:w="1985" w:type="dxa"/>
            <w:vAlign w:val="center"/>
          </w:tcPr>
          <w:p>
            <w:pPr>
              <w:pStyle w:val="TOC1"/>
              <w:rPr>
                <w:b w:val="0"/>
                <w:bCs w:val="0"/>
                <w:sz w:val="24"/>
                <w:szCs w:val="24"/>
              </w:rPr>
            </w:pPr>
            <w:r>
              <w:rPr>
                <w:rFonts w:hint="eastAsia"/>
                <w:b w:val="0"/>
                <w:bCs w:val="0"/>
                <w:sz w:val="24"/>
                <w:szCs w:val="24"/>
              </w:rPr>
              <w:t>安装及调试等</w:t>
            </w:r>
          </w:p>
        </w:tc>
        <w:tc>
          <w:tcPr>
            <w:tcW w:w="1842" w:type="dxa"/>
            <w:vAlign w:val="center"/>
          </w:tcPr>
          <w:p>
            <w:pPr>
              <w:pStyle w:val="TOC1"/>
              <w:rPr>
                <w:b w:val="0"/>
                <w:bCs w:val="0"/>
                <w:sz w:val="24"/>
                <w:szCs w:val="24"/>
              </w:rPr>
            </w:pPr>
            <w:r>
              <w:rPr>
                <w:rFonts w:hint="eastAsia"/>
                <w:b w:val="0"/>
                <w:bCs w:val="0"/>
                <w:sz w:val="24"/>
                <w:szCs w:val="24"/>
              </w:rPr>
              <w:t>配套</w:t>
            </w:r>
          </w:p>
        </w:tc>
        <w:tc>
          <w:tcPr>
            <w:tcW w:w="851" w:type="dxa"/>
            <w:vAlign w:val="center"/>
          </w:tcPr>
          <w:p>
            <w:pPr>
              <w:pStyle w:val="TOC1"/>
              <w:rPr>
                <w:b w:val="0"/>
                <w:bCs w:val="0"/>
                <w:sz w:val="24"/>
                <w:szCs w:val="24"/>
              </w:rPr>
            </w:pPr>
            <w:r>
              <w:rPr>
                <w:rFonts w:hint="eastAsia"/>
                <w:b w:val="0"/>
                <w:bCs w:val="0"/>
                <w:sz w:val="24"/>
                <w:szCs w:val="24"/>
              </w:rPr>
              <w:t>1项</w:t>
            </w:r>
          </w:p>
        </w:tc>
        <w:tc>
          <w:tcPr>
            <w:tcW w:w="3027" w:type="dxa"/>
            <w:vAlign w:val="center"/>
          </w:tcPr>
          <w:p>
            <w:pPr>
              <w:pStyle w:val="TOC1"/>
              <w:rPr>
                <w:b w:val="0"/>
                <w:bCs w:val="0"/>
                <w:sz w:val="24"/>
                <w:szCs w:val="24"/>
              </w:rPr>
            </w:pPr>
            <w:r>
              <w:rPr>
                <w:rFonts w:hint="eastAsia"/>
                <w:b w:val="0"/>
                <w:bCs w:val="0"/>
                <w:sz w:val="24"/>
                <w:szCs w:val="24"/>
              </w:rPr>
              <w:t>所有系统的现场安装、调试、协议开发、门禁系统安装、短息告警调试、声光告警调试、软件平台调试等。</w:t>
            </w:r>
          </w:p>
        </w:tc>
      </w:tr>
      <w:tr>
        <w:tblPrEx>
          <w:tblW w:w="0" w:type="auto"/>
          <w:jc w:val="center"/>
          <w:tblCellMar>
            <w:top w:w="0" w:type="dxa"/>
            <w:left w:w="108" w:type="dxa"/>
            <w:bottom w:w="0" w:type="dxa"/>
            <w:right w:w="108" w:type="dxa"/>
          </w:tblCellMar>
        </w:tblPrEx>
        <w:trPr>
          <w:jc w:val="center"/>
        </w:trPr>
        <w:tc>
          <w:tcPr>
            <w:tcW w:w="817" w:type="dxa"/>
            <w:vAlign w:val="center"/>
          </w:tcPr>
          <w:p>
            <w:pPr>
              <w:pStyle w:val="TOC1"/>
              <w:rPr>
                <w:b w:val="0"/>
                <w:bCs w:val="0"/>
                <w:sz w:val="24"/>
                <w:szCs w:val="24"/>
              </w:rPr>
            </w:pPr>
            <w:r>
              <w:rPr>
                <w:rFonts w:hint="eastAsia"/>
                <w:b w:val="0"/>
                <w:bCs w:val="0"/>
                <w:sz w:val="24"/>
                <w:szCs w:val="24"/>
              </w:rPr>
              <w:t>1</w:t>
            </w:r>
            <w:r>
              <w:rPr>
                <w:b w:val="0"/>
                <w:bCs w:val="0"/>
                <w:sz w:val="24"/>
                <w:szCs w:val="24"/>
              </w:rPr>
              <w:t>4</w:t>
            </w:r>
          </w:p>
        </w:tc>
        <w:tc>
          <w:tcPr>
            <w:tcW w:w="1985" w:type="dxa"/>
            <w:vAlign w:val="center"/>
          </w:tcPr>
          <w:p>
            <w:pPr>
              <w:pStyle w:val="TOC1"/>
              <w:rPr>
                <w:b w:val="0"/>
                <w:bCs w:val="0"/>
                <w:sz w:val="24"/>
                <w:szCs w:val="24"/>
              </w:rPr>
            </w:pPr>
            <w:r>
              <w:rPr>
                <w:rFonts w:hint="eastAsia"/>
                <w:b w:val="0"/>
                <w:bCs w:val="0"/>
                <w:sz w:val="24"/>
                <w:szCs w:val="24"/>
              </w:rPr>
              <w:t>质保</w:t>
            </w:r>
          </w:p>
        </w:tc>
        <w:tc>
          <w:tcPr>
            <w:tcW w:w="1842" w:type="dxa"/>
            <w:vAlign w:val="center"/>
          </w:tcPr>
          <w:p>
            <w:pPr>
              <w:pStyle w:val="TOC1"/>
              <w:rPr>
                <w:b w:val="0"/>
                <w:bCs w:val="0"/>
                <w:sz w:val="24"/>
                <w:szCs w:val="24"/>
              </w:rPr>
            </w:pPr>
            <w:r>
              <w:rPr>
                <w:rFonts w:hint="eastAsia"/>
                <w:b w:val="0"/>
                <w:bCs w:val="0"/>
                <w:sz w:val="24"/>
                <w:szCs w:val="24"/>
                <w:lang w:val="en-US" w:eastAsia="zh-CN"/>
              </w:rPr>
              <w:t>3</w:t>
            </w:r>
            <w:r>
              <w:rPr>
                <w:rFonts w:hint="eastAsia"/>
                <w:b w:val="0"/>
                <w:bCs w:val="0"/>
                <w:sz w:val="24"/>
                <w:szCs w:val="24"/>
              </w:rPr>
              <w:t>年</w:t>
            </w:r>
          </w:p>
        </w:tc>
        <w:tc>
          <w:tcPr>
            <w:tcW w:w="851" w:type="dxa"/>
            <w:vAlign w:val="center"/>
          </w:tcPr>
          <w:p>
            <w:pPr>
              <w:pStyle w:val="TOC1"/>
              <w:rPr>
                <w:b w:val="0"/>
                <w:bCs w:val="0"/>
                <w:sz w:val="24"/>
                <w:szCs w:val="24"/>
              </w:rPr>
            </w:pPr>
            <w:r>
              <w:rPr>
                <w:rFonts w:hint="eastAsia"/>
                <w:b w:val="0"/>
                <w:bCs w:val="0"/>
                <w:sz w:val="24"/>
                <w:szCs w:val="24"/>
              </w:rPr>
              <w:t>1项</w:t>
            </w:r>
          </w:p>
        </w:tc>
        <w:tc>
          <w:tcPr>
            <w:tcW w:w="3027" w:type="dxa"/>
            <w:vAlign w:val="center"/>
          </w:tcPr>
          <w:p>
            <w:pPr>
              <w:pStyle w:val="TOC1"/>
              <w:rPr>
                <w:b w:val="0"/>
                <w:bCs w:val="0"/>
                <w:sz w:val="24"/>
                <w:szCs w:val="24"/>
              </w:rPr>
            </w:pPr>
            <w:r>
              <w:rPr>
                <w:rFonts w:hint="eastAsia"/>
                <w:b w:val="0"/>
                <w:bCs w:val="0"/>
                <w:sz w:val="24"/>
                <w:szCs w:val="24"/>
                <w:lang w:val="en-US" w:eastAsia="zh-CN"/>
              </w:rPr>
              <w:t>主机3年</w:t>
            </w:r>
            <w:r>
              <w:rPr>
                <w:rFonts w:hint="eastAsia"/>
                <w:b w:val="0"/>
                <w:bCs w:val="0"/>
                <w:sz w:val="24"/>
                <w:szCs w:val="24"/>
              </w:rPr>
              <w:t>质保</w:t>
            </w:r>
            <w:r>
              <w:rPr>
                <w:rFonts w:hint="eastAsia"/>
                <w:b w:val="0"/>
                <w:bCs w:val="0"/>
                <w:sz w:val="24"/>
                <w:szCs w:val="24"/>
                <w:lang w:val="en-US" w:eastAsia="zh-CN"/>
              </w:rPr>
              <w:t>，其他系统部件2</w:t>
            </w:r>
            <w:r>
              <w:rPr>
                <w:rFonts w:hint="eastAsia"/>
                <w:b w:val="0"/>
                <w:bCs w:val="0"/>
                <w:sz w:val="24"/>
                <w:szCs w:val="24"/>
              </w:rPr>
              <w:t>年质保，7</w:t>
            </w:r>
            <w:r>
              <w:rPr>
                <w:b w:val="0"/>
                <w:bCs w:val="0"/>
                <w:sz w:val="24"/>
                <w:szCs w:val="24"/>
              </w:rPr>
              <w:t>*24</w:t>
            </w:r>
            <w:r>
              <w:rPr>
                <w:rFonts w:hint="eastAsia"/>
                <w:b w:val="0"/>
                <w:bCs w:val="0"/>
                <w:sz w:val="24"/>
                <w:szCs w:val="24"/>
              </w:rPr>
              <w:t>小时现场响应，协助排查相关故障，给出故障解决建议等。</w:t>
            </w:r>
          </w:p>
        </w:tc>
      </w:tr>
      <w:tr>
        <w:tblPrEx>
          <w:tblW w:w="0" w:type="auto"/>
          <w:jc w:val="center"/>
          <w:tblCellMar>
            <w:top w:w="0" w:type="dxa"/>
            <w:left w:w="108" w:type="dxa"/>
            <w:bottom w:w="0" w:type="dxa"/>
            <w:right w:w="108" w:type="dxa"/>
          </w:tblCellMar>
        </w:tblPrEx>
        <w:trPr>
          <w:jc w:val="center"/>
        </w:trPr>
        <w:tc>
          <w:tcPr>
            <w:tcW w:w="8522" w:type="dxa"/>
            <w:gridSpan w:val="5"/>
            <w:vAlign w:val="center"/>
          </w:tcPr>
          <w:p>
            <w:pPr>
              <w:pStyle w:val="TOC1"/>
              <w:tabs>
                <w:tab w:val="left" w:pos="2226"/>
              </w:tabs>
              <w:rPr>
                <w:rFonts w:hint="default"/>
                <w:b w:val="0"/>
                <w:bCs w:val="0"/>
                <w:sz w:val="24"/>
                <w:szCs w:val="24"/>
                <w:lang w:val="en-US" w:eastAsia="zh-CN"/>
              </w:rPr>
            </w:pPr>
            <w:r>
              <w:rPr>
                <w:rFonts w:hint="eastAsia"/>
                <w:b w:val="0"/>
                <w:bCs w:val="0"/>
                <w:sz w:val="24"/>
                <w:szCs w:val="24"/>
                <w:lang w:val="en-US" w:eastAsia="zh-CN"/>
              </w:rPr>
              <w:tab/>
            </w:r>
            <w:r>
              <w:rPr>
                <w:rFonts w:hint="eastAsia"/>
                <w:b/>
                <w:bCs/>
                <w:sz w:val="24"/>
                <w:szCs w:val="24"/>
                <w:lang w:val="en-US" w:eastAsia="zh-CN"/>
              </w:rPr>
              <w:t>本项目为交钥匙工程</w:t>
            </w:r>
          </w:p>
        </w:tc>
      </w:tr>
    </w:tbl>
    <w:p>
      <w:pPr>
        <w:pStyle w:val="TOC1"/>
        <w:rPr>
          <w:rFonts w:hint="eastAsia"/>
        </w:rPr>
      </w:pPr>
    </w:p>
    <w:p>
      <w:pPr>
        <w:spacing w:line="520" w:lineRule="exact"/>
        <w:jc w:val="center"/>
        <w:rPr>
          <w:rFonts w:ascii="宋体" w:hAnsi="宋体" w:cs="宋体"/>
          <w:b/>
          <w:bCs/>
          <w:sz w:val="28"/>
          <w:szCs w:val="27"/>
        </w:rPr>
      </w:pPr>
      <w:r>
        <w:rPr>
          <w:rFonts w:ascii="宋体" w:hAnsi="宋体" w:cs="宋体" w:hint="eastAsia"/>
          <w:b/>
          <w:bCs/>
          <w:sz w:val="28"/>
          <w:szCs w:val="27"/>
        </w:rPr>
        <w:t>技术规格要求</w:t>
      </w:r>
    </w:p>
    <w:p>
      <w:pPr>
        <w:numPr>
          <w:ilvl w:val="0"/>
          <w:numId w:val="3"/>
        </w:numPr>
        <w:spacing w:line="520" w:lineRule="exact"/>
        <w:rPr>
          <w:rFonts w:ascii="宋体" w:hAnsi="宋体" w:cs="宋体"/>
          <w:bCs/>
          <w:sz w:val="27"/>
          <w:szCs w:val="27"/>
        </w:rPr>
      </w:pPr>
      <w:r>
        <w:rPr>
          <w:rFonts w:ascii="宋体" w:hAnsi="宋体" w:cs="宋体" w:hint="eastAsia"/>
          <w:kern w:val="0"/>
          <w:sz w:val="27"/>
          <w:szCs w:val="27"/>
        </w:rPr>
        <w:t>网络视听中心采购项目技术要求如下，供应商需满足以下要求：</w:t>
      </w:r>
      <w:r>
        <w:rPr>
          <w:rFonts w:ascii="宋体" w:hAnsi="宋体" w:cs="宋体"/>
          <w:bCs/>
          <w:sz w:val="27"/>
          <w:szCs w:val="27"/>
        </w:rPr>
        <w:br/>
      </w:r>
      <w:r>
        <w:rPr>
          <w:rFonts w:ascii="宋体" w:hAnsi="宋体" w:cs="宋体"/>
          <w:bCs/>
          <w:sz w:val="27"/>
          <w:szCs w:val="27"/>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https://d.book118.com/118063003075006044</w:t>
        </w:r>
      </w:hyperlink>
    </w:p>
    <w:p>
      <w:pPr>
        <w:numPr>
          <w:ilvl w:val="0"/>
          <w:numId w:val="3"/>
        </w:numPr>
        <w:spacing w:line="520" w:lineRule="exact"/>
        <w:rPr>
          <w:rFonts w:ascii="宋体" w:hAnsi="宋体" w:cs="宋体"/>
          <w:bCs/>
          <w:sz w:val="27"/>
          <w:szCs w:val="27"/>
        </w:rPr>
      </w:pPr>
    </w:p>
    <w:sectPr>
      <w:footerReference w:type="default" r:id="rId44"/>
      <w:footerReference w:type="first" r:id="rId45"/>
      <w:type w:val="nextPage"/>
      <w:pgSz w:w="11906" w:h="16838"/>
      <w:pgMar w:top="1440" w:right="1080" w:bottom="1440" w:left="1080" w:header="851" w:footer="992" w:gutter="0"/>
      <w:pgNumType w:start="20"/>
      <w:cols w:num="1" w:space="72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29</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29</w:t>
                    </w:r>
                    <w:r>
                      <w:fldChar w:fldCharType="end"/>
                    </w:r>
                  </w:p>
                  <w:p>
                    <w:pPr>
                      <w:pStyle w:val="Footer"/>
                      <w:rPr>
                        <w:rStyle w:val="PageNumber"/>
                      </w:rPr>
                    </w:pPr>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342284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w:t>
                    </w:r>
                    <w:r>
                      <w:fldChar w:fldCharType="end"/>
                    </w:r>
                  </w:p>
                  <w:p>
                    <w:pPr>
                      <w:pStyle w:val="Footer"/>
                      <w:rPr>
                        <w:rStyle w:val="PageNumber"/>
                      </w:rPr>
                    </w:pPr>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5019605"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3</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3</w:t>
                    </w:r>
                    <w:r>
                      <w:fldChar w:fldCharType="end"/>
                    </w:r>
                  </w:p>
                  <w:p>
                    <w:pPr>
                      <w:pStyle w:val="Footer"/>
                      <w:rPr>
                        <w:rStyle w:val="PageNumber"/>
                      </w:rPr>
                    </w:pPr>
                  </w:p>
                </w:txbxContent>
              </v:textbox>
              <w10:wrap anchorx="margin"/>
            </v:shape>
          </w:pict>
        </mc:Fallback>
      </mc:AlternateConten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1400696"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4</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4</w:t>
                    </w:r>
                    <w:r>
                      <w:fldChar w:fldCharType="end"/>
                    </w:r>
                  </w:p>
                  <w:p>
                    <w:pPr>
                      <w:pStyle w:val="Footer"/>
                      <w:rPr>
                        <w:rStyle w:val="PageNumber"/>
                      </w:rPr>
                    </w:pPr>
                  </w:p>
                </w:txbxContent>
              </v:textbox>
              <w10:wrap anchorx="margin"/>
            </v:shape>
          </w:pict>
        </mc:Fallback>
      </mc:AlternateConten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027424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5</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5</w:t>
                    </w:r>
                    <w:r>
                      <w:fldChar w:fldCharType="end"/>
                    </w:r>
                  </w:p>
                  <w:p>
                    <w:pPr>
                      <w:pStyle w:val="Footer"/>
                      <w:rPr>
                        <w:rStyle w:val="PageNumber"/>
                      </w:rPr>
                    </w:pPr>
                  </w:p>
                </w:txbxContent>
              </v:textbox>
              <w10:wrap anchorx="margin"/>
            </v:shape>
          </w:pict>
        </mc:Fallback>
      </mc:AlternateConten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9426471"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6</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6</w:t>
                    </w:r>
                    <w:r>
                      <w:fldChar w:fldCharType="end"/>
                    </w:r>
                  </w:p>
                  <w:p>
                    <w:pPr>
                      <w:pStyle w:val="Footer"/>
                      <w:rPr>
                        <w:rStyle w:val="PageNumber"/>
                      </w:rPr>
                    </w:pPr>
                  </w:p>
                </w:txbxContent>
              </v:textbox>
              <w10:wrap anchorx="margin"/>
            </v:shape>
          </w:pict>
        </mc:Fallback>
      </mc:AlternateContent>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1323915"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7</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7</w:t>
                    </w:r>
                    <w:r>
                      <w:fldChar w:fldCharType="end"/>
                    </w:r>
                  </w:p>
                  <w:p>
                    <w:pPr>
                      <w:pStyle w:val="Footer"/>
                      <w:rPr>
                        <w:rStyle w:val="PageNumber"/>
                      </w:rPr>
                    </w:pPr>
                  </w:p>
                </w:txbxContent>
              </v:textbox>
              <w10:wrap anchorx="margin"/>
            </v:shape>
          </w:pict>
        </mc:Fallback>
      </mc:AlternateContent>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7908567"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8</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8</w:t>
                    </w:r>
                    <w:r>
                      <w:fldChar w:fldCharType="end"/>
                    </w:r>
                  </w:p>
                  <w:p>
                    <w:pPr>
                      <w:pStyle w:val="Footer"/>
                      <w:rPr>
                        <w:rStyle w:val="PageNumber"/>
                      </w:rPr>
                    </w:pPr>
                  </w:p>
                </w:txbxContent>
              </v:textbox>
              <w10:wrap anchorx="margin"/>
            </v:shape>
          </w:pict>
        </mc:Fallback>
      </mc:AlternateContent>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158777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9</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9</w:t>
                    </w:r>
                    <w:r>
                      <w:fldChar w:fldCharType="end"/>
                    </w:r>
                  </w:p>
                  <w:p>
                    <w:pPr>
                      <w:pStyle w:val="Footer"/>
                      <w:rPr>
                        <w:rStyle w:val="PageNumber"/>
                      </w:rPr>
                    </w:pPr>
                  </w:p>
                </w:txbxContent>
              </v:textbox>
              <w10:wrap anchorx="margin"/>
            </v:shape>
          </w:pict>
        </mc:Fallback>
      </mc:AlternateContent>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652752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10</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10</w:t>
                    </w:r>
                    <w:r>
                      <w:fldChar w:fldCharType="end"/>
                    </w:r>
                  </w:p>
                  <w:p>
                    <w:pPr>
                      <w:pStyle w:val="Footer"/>
                      <w:rPr>
                        <w:rStyle w:val="PageNumber"/>
                      </w:rPr>
                    </w:pPr>
                  </w:p>
                </w:txbxContent>
              </v:textbox>
              <w10:wrap anchorx="margin"/>
            </v:shape>
          </w:pict>
        </mc:Fallback>
      </mc:AlternateContent>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5638359"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11</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11</w:t>
                    </w:r>
                    <w:r>
                      <w:fldChar w:fldCharType="end"/>
                    </w:r>
                  </w:p>
                  <w:p>
                    <w:pPr>
                      <w:pStyle w:val="Footer"/>
                      <w:rPr>
                        <w:rStyle w:val="PageNumber"/>
                      </w:rPr>
                    </w:pPr>
                  </w:p>
                </w:txbxContent>
              </v:textbox>
              <w10:wrap anchorx="margin"/>
            </v:shape>
          </w:pict>
        </mc:Fallback>
      </mc:AlternateContent>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5980301"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12</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12</w:t>
                    </w:r>
                    <w:r>
                      <w:fldChar w:fldCharType="end"/>
                    </w:r>
                  </w:p>
                  <w:p>
                    <w:pPr>
                      <w:pStyle w:val="Footer"/>
                      <w:rPr>
                        <w:rStyle w:val="PageNumber"/>
                      </w:rPr>
                    </w:pPr>
                  </w:p>
                </w:txbxContent>
              </v:textbox>
              <w10:wrap anchorx="margin"/>
            </v:shape>
          </w:pict>
        </mc:Fallback>
      </mc:AlternateContent>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8941761"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13</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13</w:t>
                    </w:r>
                    <w:r>
                      <w:fldChar w:fldCharType="end"/>
                    </w:r>
                  </w:p>
                  <w:p>
                    <w:pPr>
                      <w:pStyle w:val="Footer"/>
                      <w:rPr>
                        <w:rStyle w:val="PageNumber"/>
                      </w:rPr>
                    </w:pPr>
                  </w:p>
                </w:txbxContent>
              </v:textbox>
              <w10:wrap anchorx="margin"/>
            </v:shape>
          </w:pict>
        </mc:Fallback>
      </mc:AlternateContent>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03305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14</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14</w:t>
                    </w:r>
                    <w:r>
                      <w:fldChar w:fldCharType="end"/>
                    </w:r>
                  </w:p>
                  <w:p>
                    <w:pPr>
                      <w:pStyle w:val="Footer"/>
                      <w:rPr>
                        <w:rStyle w:val="PageNumber"/>
                      </w:rPr>
                    </w:pPr>
                  </w:p>
                </w:txbxContent>
              </v:textbox>
              <w10:wrap anchorx="margin"/>
            </v:shape>
          </w:pict>
        </mc:Fallback>
      </mc:AlternateContent>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944185"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rPr>
                        <w:rStyle w:val="PageNumber"/>
                      </w:rPr>
                    </w:pPr>
                  </w:p>
                </w:txbxContent>
              </v:textbox>
              <w10:wrap anchorx="margin"/>
            </v:shape>
          </w:pict>
        </mc:Fallback>
      </mc:AlternateContent>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259972"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rPr>
                        <w:rStyle w:val="PageNumber"/>
                      </w:rPr>
                    </w:pPr>
                  </w:p>
                </w:txbxContent>
              </v:textbox>
              <w10:wrap anchorx="margin"/>
            </v:shape>
          </w:pict>
        </mc:Fallback>
      </mc:AlternateContent>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0364250"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17</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17</w:t>
                    </w:r>
                    <w:r>
                      <w:fldChar w:fldCharType="end"/>
                    </w:r>
                  </w:p>
                  <w:p>
                    <w:pPr>
                      <w:pStyle w:val="Footer"/>
                      <w:rPr>
                        <w:rStyle w:val="PageNumber"/>
                      </w:rPr>
                    </w:pPr>
                  </w:p>
                </w:txbxContent>
              </v:textbox>
              <w10:wrap anchorx="margin"/>
            </v:shape>
          </w:pict>
        </mc:Fallback>
      </mc:AlternateContent>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9548320"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18</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18</w:t>
                    </w:r>
                    <w:r>
                      <w:fldChar w:fldCharType="end"/>
                    </w:r>
                  </w:p>
                  <w:p>
                    <w:pPr>
                      <w:pStyle w:val="Footer"/>
                      <w:rPr>
                        <w:rStyle w:val="PageNumber"/>
                      </w:rPr>
                    </w:pPr>
                  </w:p>
                </w:txbxContent>
              </v:textbox>
              <w10:wrap anchorx="margin"/>
            </v:shape>
          </w:pict>
        </mc:Fallback>
      </mc:AlternateContent>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2627544"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19</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19</w:t>
                    </w:r>
                    <w:r>
                      <w:fldChar w:fldCharType="end"/>
                    </w:r>
                  </w:p>
                  <w:p>
                    <w:pPr>
                      <w:pStyle w:val="Footer"/>
                      <w:rPr>
                        <w:rStyle w:val="PageNumber"/>
                      </w:rPr>
                    </w:pPr>
                  </w:p>
                </w:txbxContent>
              </v:textbox>
              <w10:wrap anchorx="margin"/>
            </v:shape>
          </w:pict>
        </mc:Fallback>
      </mc:AlternateContent>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187" w:h="151" w:hRule="exact" w:wrap="around" w:vAnchor="text" w:hAnchor="page" w:x="5692" w:y="67"/>
      <w:jc w:val="center"/>
      <w:rPr>
        <w:rStyle w:val="PageNumber"/>
      </w:rPr>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0425049" name="文本框 10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21</w:t>
                          </w:r>
                          <w:r>
                            <w:fldChar w:fldCharType="end"/>
                          </w:r>
                        </w:p>
                        <w:p>
                          <w:pPr>
                            <w:pStyle w:val="Footer"/>
                            <w:rPr>
                              <w:rStyle w:val="PageNumber"/>
                            </w:rPr>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v:textbox style="mso-fit-shape-to-text:t" inset="0,0,0,0">
                <w:txbxContent>
                  <w:p>
                    <w:pPr>
                      <w:pStyle w:val="Footer"/>
                      <w:jc w:val="center"/>
                      <w:rPr>
                        <w:rStyle w:val="PageNumber"/>
                      </w:rPr>
                    </w:pPr>
                    <w:r>
                      <w:fldChar w:fldCharType="begin"/>
                    </w:r>
                    <w:r>
                      <w:rPr>
                        <w:rStyle w:val="PageNumber"/>
                      </w:rPr>
                      <w:instrText xml:space="preserve">PAGE  </w:instrText>
                    </w:r>
                    <w:r>
                      <w:fldChar w:fldCharType="separate"/>
                    </w:r>
                    <w:r>
                      <w:rPr>
                        <w:rStyle w:val="PageNumber"/>
                      </w:rPr>
                      <w:t>21</w:t>
                    </w:r>
                    <w:r>
                      <w:fldChar w:fldCharType="end"/>
                    </w:r>
                  </w:p>
                  <w:p>
                    <w:pPr>
                      <w:pStyle w:val="Footer"/>
                      <w:rPr>
                        <w:rStyle w:val="PageNumber"/>
                      </w:rPr>
                    </w:pPr>
                  </w:p>
                </w:txbxContent>
              </v:textbox>
              <w10:wrap anchorx="margin"/>
            </v:shape>
          </w:pict>
        </mc:Fallback>
      </mc:AlternateContent>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6523"/>
      </w:tabs>
      <w:jc w:val="center"/>
    </w:pPr>
    <w:r>
      <w:rPr>
        <w:rFonts w:hint="eastAsia"/>
      </w:rPr>
      <w:t>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E04E6C4"/>
    <w:multiLevelType w:val="singleLevel"/>
    <w:tmpl w:val="EE04E6C4"/>
    <w:lvl w:ilvl="0">
      <w:start w:val="5"/>
      <w:numFmt w:val="decimal"/>
      <w:suff w:val="nothing"/>
      <w:lvlText w:val="%1、"/>
      <w:lvlJc w:val="left"/>
    </w:lvl>
  </w:abstractNum>
  <w:abstractNum w:abstractNumId="1">
    <w:nsid w:val="0053208E"/>
    <w:multiLevelType w:val="multilevel"/>
    <w:tmpl w:val="0053208E"/>
    <w:lvl w:ilvl="0">
      <w:start w:val="1"/>
      <w:numFmt w:val="bullet"/>
      <w:pStyle w:val="ListNumber4"/>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149E12B0"/>
    <w:multiLevelType w:val="multilevel"/>
    <w:tmpl w:val="149E12B0"/>
    <w:lvl w:ilvl="0">
      <w:start w:val="1"/>
      <w:numFmt w:val="decimalEnclosedCircle"/>
      <w:lvlText w:val="%1"/>
      <w:lvlJc w:val="left"/>
      <w:pPr>
        <w:ind w:left="900" w:hanging="360"/>
      </w:pPr>
      <w:rPr>
        <w:rFonts w:hint="default"/>
      </w:rPr>
    </w:lvl>
    <w:lvl w:ilvl="1">
      <w:start w:val="1"/>
      <w:numFmt w:val="lowerLetter"/>
      <w:lvlText w:val="%2)"/>
      <w:lvlJc w:val="left"/>
      <w:pPr>
        <w:ind w:left="1380" w:hanging="420"/>
      </w:pPr>
    </w:lvl>
    <w:lvl w:ilvl="2">
      <w:start w:val="1"/>
      <w:numFmt w:val="lowerRoman"/>
      <w:lvlText w:val="%3."/>
      <w:lvlJc w:val="right"/>
      <w:pPr>
        <w:ind w:left="1800" w:hanging="420"/>
      </w:pPr>
    </w:lvl>
    <w:lvl w:ilvl="3">
      <w:start w:val="1"/>
      <w:numFmt w:val="decimal"/>
      <w:lvlText w:val="%4."/>
      <w:lvlJc w:val="left"/>
      <w:pPr>
        <w:ind w:left="2220" w:hanging="420"/>
      </w:pPr>
    </w:lvl>
    <w:lvl w:ilvl="4">
      <w:start w:val="1"/>
      <w:numFmt w:val="lowerLetter"/>
      <w:lvlText w:val="%5)"/>
      <w:lvlJc w:val="left"/>
      <w:pPr>
        <w:ind w:left="2640" w:hanging="420"/>
      </w:pPr>
    </w:lvl>
    <w:lvl w:ilvl="5">
      <w:start w:val="1"/>
      <w:numFmt w:val="lowerRoman"/>
      <w:lvlText w:val="%6."/>
      <w:lvlJc w:val="right"/>
      <w:pPr>
        <w:ind w:left="3060" w:hanging="420"/>
      </w:pPr>
    </w:lvl>
    <w:lvl w:ilvl="6">
      <w:start w:val="1"/>
      <w:numFmt w:val="decimal"/>
      <w:lvlText w:val="%7."/>
      <w:lvlJc w:val="left"/>
      <w:pPr>
        <w:ind w:left="3480" w:hanging="420"/>
      </w:pPr>
    </w:lvl>
    <w:lvl w:ilvl="7">
      <w:start w:val="1"/>
      <w:numFmt w:val="lowerLetter"/>
      <w:lvlText w:val="%8)"/>
      <w:lvlJc w:val="left"/>
      <w:pPr>
        <w:ind w:left="3900" w:hanging="420"/>
      </w:pPr>
    </w:lvl>
    <w:lvl w:ilvl="8">
      <w:start w:val="1"/>
      <w:numFmt w:val="lowerRoman"/>
      <w:lvlText w:val="%9."/>
      <w:lvlJc w:val="right"/>
      <w:pPr>
        <w:ind w:left="4320" w:hanging="420"/>
      </w:pPr>
    </w:lvl>
  </w:abstractNum>
  <w:abstractNum w:abstractNumId="3">
    <w:nsid w:val="227E72C0"/>
    <w:multiLevelType w:val="multilevel"/>
    <w:tmpl w:val="227E72C0"/>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AA74EAB"/>
    <w:multiLevelType w:val="multilevel"/>
    <w:tmpl w:val="3AA74EAB"/>
    <w:lvl w:ilvl="0">
      <w:start w:val="1"/>
      <w:numFmt w:val="decimal"/>
      <w:lvlText w:val="(%1)"/>
      <w:lvlJc w:val="left"/>
      <w:pPr>
        <w:tabs>
          <w:tab w:val="left" w:pos="420"/>
        </w:tabs>
        <w:ind w:left="420" w:hanging="420"/>
      </w:pPr>
      <w:rPr>
        <w:rFonts w:hint="eastAsia"/>
        <w:color w:val="auto"/>
      </w:rPr>
    </w:lvl>
    <w:lvl w:ilvl="1">
      <w:start w:val="1"/>
      <w:numFmt w:val="decimal"/>
      <w:lvlText w:val="%2)"/>
      <w:lvlJc w:val="left"/>
      <w:pPr>
        <w:tabs>
          <w:tab w:val="left" w:pos="-420"/>
        </w:tabs>
        <w:ind w:left="-420" w:hanging="420"/>
      </w:pPr>
      <w:rPr>
        <w:rFonts w:hint="default"/>
      </w:rPr>
    </w:lvl>
    <w:lvl w:ilvl="2">
      <w:start w:val="1"/>
      <w:numFmt w:val="lowerRoman"/>
      <w:lvlText w:val="%3."/>
      <w:lvlJc w:val="right"/>
      <w:pPr>
        <w:tabs>
          <w:tab w:val="left" w:pos="0"/>
        </w:tabs>
        <w:ind w:left="0" w:hanging="420"/>
      </w:pPr>
    </w:lvl>
    <w:lvl w:ilvl="3">
      <w:start w:val="1"/>
      <w:numFmt w:val="decimal"/>
      <w:pStyle w:val="3"/>
      <w:lvlText w:val="%4)"/>
      <w:lvlJc w:val="left"/>
      <w:pPr>
        <w:tabs>
          <w:tab w:val="left" w:pos="420"/>
        </w:tabs>
        <w:ind w:left="420" w:hanging="420"/>
      </w:pPr>
      <w:rPr>
        <w:rFonts w:hint="default"/>
      </w:rPr>
    </w:lvl>
    <w:lvl w:ilvl="4">
      <w:start w:val="6"/>
      <w:numFmt w:val="bullet"/>
      <w:lvlText w:val="★"/>
      <w:lvlJc w:val="left"/>
      <w:pPr>
        <w:tabs>
          <w:tab w:val="left" w:pos="780"/>
        </w:tabs>
        <w:ind w:left="780" w:hanging="360"/>
      </w:pPr>
      <w:rPr>
        <w:rFonts w:ascii="宋体" w:eastAsia="宋体" w:hAnsi="宋体" w:cs="Arial" w:hint="eastAsia"/>
      </w:rPr>
    </w:lvl>
    <w:lvl w:ilvl="5">
      <w:start w:val="1"/>
      <w:numFmt w:val="lowerRoman"/>
      <w:lvlText w:val="%6."/>
      <w:lvlJc w:val="right"/>
      <w:pPr>
        <w:tabs>
          <w:tab w:val="left" w:pos="1260"/>
        </w:tabs>
        <w:ind w:left="1260" w:hanging="420"/>
      </w:pPr>
    </w:lvl>
    <w:lvl w:ilvl="6">
      <w:start w:val="1"/>
      <w:numFmt w:val="decimal"/>
      <w:lvlText w:val="%7."/>
      <w:lvlJc w:val="left"/>
      <w:pPr>
        <w:tabs>
          <w:tab w:val="left" w:pos="1680"/>
        </w:tabs>
        <w:ind w:left="1680" w:hanging="420"/>
      </w:pPr>
    </w:lvl>
    <w:lvl w:ilvl="7">
      <w:start w:val="1"/>
      <w:numFmt w:val="lowerLetter"/>
      <w:lvlText w:val="%8)"/>
      <w:lvlJc w:val="left"/>
      <w:pPr>
        <w:tabs>
          <w:tab w:val="left" w:pos="2100"/>
        </w:tabs>
        <w:ind w:left="2100" w:hanging="420"/>
      </w:pPr>
    </w:lvl>
    <w:lvl w:ilvl="8">
      <w:start w:val="1"/>
      <w:numFmt w:val="lowerRoman"/>
      <w:lvlText w:val="%9."/>
      <w:lvlJc w:val="right"/>
      <w:pPr>
        <w:tabs>
          <w:tab w:val="left" w:pos="2520"/>
        </w:tabs>
        <w:ind w:left="2520" w:hanging="420"/>
      </w:pPr>
    </w:lvl>
  </w:abstractNum>
  <w:abstractNum w:abstractNumId="5">
    <w:nsid w:val="79DCC051"/>
    <w:multiLevelType w:val="singleLevel"/>
    <w:tmpl w:val="79DCC051"/>
    <w:lvl w:ilvl="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E02"/>
    <w:rsid w:val="000000A9"/>
    <w:rsid w:val="00000169"/>
    <w:rsid w:val="000008AC"/>
    <w:rsid w:val="000010C7"/>
    <w:rsid w:val="00002BDB"/>
    <w:rsid w:val="00002C69"/>
    <w:rsid w:val="00003488"/>
    <w:rsid w:val="00003C5E"/>
    <w:rsid w:val="00004188"/>
    <w:rsid w:val="000050FC"/>
    <w:rsid w:val="00006686"/>
    <w:rsid w:val="000110CA"/>
    <w:rsid w:val="0001133C"/>
    <w:rsid w:val="00011953"/>
    <w:rsid w:val="00012BC7"/>
    <w:rsid w:val="00012BCC"/>
    <w:rsid w:val="00012DE8"/>
    <w:rsid w:val="00012E9D"/>
    <w:rsid w:val="00013CCA"/>
    <w:rsid w:val="0001551C"/>
    <w:rsid w:val="000172D4"/>
    <w:rsid w:val="00020111"/>
    <w:rsid w:val="000227A0"/>
    <w:rsid w:val="00022B67"/>
    <w:rsid w:val="0002399B"/>
    <w:rsid w:val="00025358"/>
    <w:rsid w:val="00025668"/>
    <w:rsid w:val="00026A85"/>
    <w:rsid w:val="000270AF"/>
    <w:rsid w:val="000271FE"/>
    <w:rsid w:val="000275CF"/>
    <w:rsid w:val="00027A14"/>
    <w:rsid w:val="00030EAD"/>
    <w:rsid w:val="00030F9B"/>
    <w:rsid w:val="000317EB"/>
    <w:rsid w:val="00031D4A"/>
    <w:rsid w:val="0003288A"/>
    <w:rsid w:val="00032EE2"/>
    <w:rsid w:val="00033E47"/>
    <w:rsid w:val="000344B9"/>
    <w:rsid w:val="00034662"/>
    <w:rsid w:val="00034BCA"/>
    <w:rsid w:val="00034C65"/>
    <w:rsid w:val="00034EB1"/>
    <w:rsid w:val="00035B67"/>
    <w:rsid w:val="00035F9C"/>
    <w:rsid w:val="000361B0"/>
    <w:rsid w:val="00036591"/>
    <w:rsid w:val="00040818"/>
    <w:rsid w:val="00043480"/>
    <w:rsid w:val="0004402F"/>
    <w:rsid w:val="00044F07"/>
    <w:rsid w:val="0004521B"/>
    <w:rsid w:val="0004541D"/>
    <w:rsid w:val="000457E9"/>
    <w:rsid w:val="00046F0C"/>
    <w:rsid w:val="000470E4"/>
    <w:rsid w:val="00050918"/>
    <w:rsid w:val="0005200B"/>
    <w:rsid w:val="000562C3"/>
    <w:rsid w:val="00056486"/>
    <w:rsid w:val="0005710C"/>
    <w:rsid w:val="00061D8C"/>
    <w:rsid w:val="00062564"/>
    <w:rsid w:val="00064702"/>
    <w:rsid w:val="00064BAD"/>
    <w:rsid w:val="00065275"/>
    <w:rsid w:val="000652EF"/>
    <w:rsid w:val="00065DC6"/>
    <w:rsid w:val="00066B1F"/>
    <w:rsid w:val="00066F98"/>
    <w:rsid w:val="00067E6F"/>
    <w:rsid w:val="000701B4"/>
    <w:rsid w:val="000713A1"/>
    <w:rsid w:val="00071E76"/>
    <w:rsid w:val="000725C6"/>
    <w:rsid w:val="000729A9"/>
    <w:rsid w:val="00072C55"/>
    <w:rsid w:val="0007370F"/>
    <w:rsid w:val="00074194"/>
    <w:rsid w:val="00074696"/>
    <w:rsid w:val="0007494C"/>
    <w:rsid w:val="00074AC9"/>
    <w:rsid w:val="00075073"/>
    <w:rsid w:val="000754F4"/>
    <w:rsid w:val="000766EC"/>
    <w:rsid w:val="000768FC"/>
    <w:rsid w:val="00076A58"/>
    <w:rsid w:val="000810DF"/>
    <w:rsid w:val="00081E5F"/>
    <w:rsid w:val="000828A0"/>
    <w:rsid w:val="00083607"/>
    <w:rsid w:val="000836DE"/>
    <w:rsid w:val="00083A91"/>
    <w:rsid w:val="00083FBC"/>
    <w:rsid w:val="000848E9"/>
    <w:rsid w:val="00084F1D"/>
    <w:rsid w:val="0008547D"/>
    <w:rsid w:val="0008566C"/>
    <w:rsid w:val="00085C28"/>
    <w:rsid w:val="00086CB3"/>
    <w:rsid w:val="0008716A"/>
    <w:rsid w:val="000928C9"/>
    <w:rsid w:val="00092B6B"/>
    <w:rsid w:val="000938A1"/>
    <w:rsid w:val="000944FB"/>
    <w:rsid w:val="000959BD"/>
    <w:rsid w:val="00095B85"/>
    <w:rsid w:val="00096D41"/>
    <w:rsid w:val="000A1D94"/>
    <w:rsid w:val="000A1DCA"/>
    <w:rsid w:val="000A370A"/>
    <w:rsid w:val="000A3859"/>
    <w:rsid w:val="000A4D37"/>
    <w:rsid w:val="000A4D3D"/>
    <w:rsid w:val="000A4FD0"/>
    <w:rsid w:val="000A5E7F"/>
    <w:rsid w:val="000A77FA"/>
    <w:rsid w:val="000B0232"/>
    <w:rsid w:val="000B061F"/>
    <w:rsid w:val="000B0866"/>
    <w:rsid w:val="000B17E7"/>
    <w:rsid w:val="000B1B42"/>
    <w:rsid w:val="000B1FB2"/>
    <w:rsid w:val="000B2302"/>
    <w:rsid w:val="000B2A05"/>
    <w:rsid w:val="000B2B84"/>
    <w:rsid w:val="000B2FE9"/>
    <w:rsid w:val="000B3824"/>
    <w:rsid w:val="000B3848"/>
    <w:rsid w:val="000B39C8"/>
    <w:rsid w:val="000B55DF"/>
    <w:rsid w:val="000B6219"/>
    <w:rsid w:val="000B7AB5"/>
    <w:rsid w:val="000C075B"/>
    <w:rsid w:val="000C0A53"/>
    <w:rsid w:val="000C0E1E"/>
    <w:rsid w:val="000C1330"/>
    <w:rsid w:val="000C2245"/>
    <w:rsid w:val="000C2C31"/>
    <w:rsid w:val="000C3030"/>
    <w:rsid w:val="000C31F0"/>
    <w:rsid w:val="000C3A43"/>
    <w:rsid w:val="000C3AA9"/>
    <w:rsid w:val="000C4781"/>
    <w:rsid w:val="000C47C3"/>
    <w:rsid w:val="000C4830"/>
    <w:rsid w:val="000C59BD"/>
    <w:rsid w:val="000C728F"/>
    <w:rsid w:val="000D101C"/>
    <w:rsid w:val="000D1EA3"/>
    <w:rsid w:val="000D3529"/>
    <w:rsid w:val="000D44E7"/>
    <w:rsid w:val="000D4E02"/>
    <w:rsid w:val="000D7277"/>
    <w:rsid w:val="000D729E"/>
    <w:rsid w:val="000E0AC2"/>
    <w:rsid w:val="000E0C99"/>
    <w:rsid w:val="000E13BA"/>
    <w:rsid w:val="000E176A"/>
    <w:rsid w:val="000E1FA9"/>
    <w:rsid w:val="000E27B9"/>
    <w:rsid w:val="000E2EDD"/>
    <w:rsid w:val="000E3651"/>
    <w:rsid w:val="000E38A6"/>
    <w:rsid w:val="000E3E55"/>
    <w:rsid w:val="000E42A5"/>
    <w:rsid w:val="000E559D"/>
    <w:rsid w:val="000E58D8"/>
    <w:rsid w:val="000E6F55"/>
    <w:rsid w:val="000E7BF2"/>
    <w:rsid w:val="000F0E9F"/>
    <w:rsid w:val="000F1F00"/>
    <w:rsid w:val="000F3519"/>
    <w:rsid w:val="000F56C1"/>
    <w:rsid w:val="000F5E3A"/>
    <w:rsid w:val="000F78B4"/>
    <w:rsid w:val="00100663"/>
    <w:rsid w:val="0010070E"/>
    <w:rsid w:val="00101614"/>
    <w:rsid w:val="00101F29"/>
    <w:rsid w:val="00103D8D"/>
    <w:rsid w:val="00105091"/>
    <w:rsid w:val="00105439"/>
    <w:rsid w:val="0010563E"/>
    <w:rsid w:val="0010687F"/>
    <w:rsid w:val="0011025F"/>
    <w:rsid w:val="00110DD2"/>
    <w:rsid w:val="00111AE0"/>
    <w:rsid w:val="00111BB7"/>
    <w:rsid w:val="00112CD1"/>
    <w:rsid w:val="0011331F"/>
    <w:rsid w:val="00113DA9"/>
    <w:rsid w:val="0011416C"/>
    <w:rsid w:val="00114C5C"/>
    <w:rsid w:val="00116DC0"/>
    <w:rsid w:val="00117774"/>
    <w:rsid w:val="001177B5"/>
    <w:rsid w:val="00117E1C"/>
    <w:rsid w:val="00120029"/>
    <w:rsid w:val="001201FF"/>
    <w:rsid w:val="00121662"/>
    <w:rsid w:val="00122AE9"/>
    <w:rsid w:val="00122C89"/>
    <w:rsid w:val="00123806"/>
    <w:rsid w:val="00124635"/>
    <w:rsid w:val="00124A9A"/>
    <w:rsid w:val="0012515B"/>
    <w:rsid w:val="001254EA"/>
    <w:rsid w:val="00126EE5"/>
    <w:rsid w:val="0012762D"/>
    <w:rsid w:val="0013008A"/>
    <w:rsid w:val="0013149E"/>
    <w:rsid w:val="00131680"/>
    <w:rsid w:val="0013210D"/>
    <w:rsid w:val="0013213E"/>
    <w:rsid w:val="001335CE"/>
    <w:rsid w:val="0013518B"/>
    <w:rsid w:val="00136C88"/>
    <w:rsid w:val="0013711A"/>
    <w:rsid w:val="00140F50"/>
    <w:rsid w:val="00143114"/>
    <w:rsid w:val="001434B1"/>
    <w:rsid w:val="00143C78"/>
    <w:rsid w:val="00143D35"/>
    <w:rsid w:val="001446B6"/>
    <w:rsid w:val="00145364"/>
    <w:rsid w:val="00146276"/>
    <w:rsid w:val="00151E17"/>
    <w:rsid w:val="00151F52"/>
    <w:rsid w:val="00152AE0"/>
    <w:rsid w:val="00153EAD"/>
    <w:rsid w:val="001556DE"/>
    <w:rsid w:val="001557D5"/>
    <w:rsid w:val="00155982"/>
    <w:rsid w:val="00156845"/>
    <w:rsid w:val="00156EF2"/>
    <w:rsid w:val="001572FC"/>
    <w:rsid w:val="00157991"/>
    <w:rsid w:val="001602D4"/>
    <w:rsid w:val="00160864"/>
    <w:rsid w:val="00160A57"/>
    <w:rsid w:val="00160DC4"/>
    <w:rsid w:val="001621AA"/>
    <w:rsid w:val="001627C0"/>
    <w:rsid w:val="00162AED"/>
    <w:rsid w:val="00162F79"/>
    <w:rsid w:val="00162F97"/>
    <w:rsid w:val="001632A4"/>
    <w:rsid w:val="001633BF"/>
    <w:rsid w:val="00163B0C"/>
    <w:rsid w:val="00163B58"/>
    <w:rsid w:val="00165176"/>
    <w:rsid w:val="00165493"/>
    <w:rsid w:val="00165D3B"/>
    <w:rsid w:val="00166156"/>
    <w:rsid w:val="00166194"/>
    <w:rsid w:val="00166426"/>
    <w:rsid w:val="00170357"/>
    <w:rsid w:val="001714C3"/>
    <w:rsid w:val="00171F7E"/>
    <w:rsid w:val="00173351"/>
    <w:rsid w:val="00176E52"/>
    <w:rsid w:val="00181129"/>
    <w:rsid w:val="001813F1"/>
    <w:rsid w:val="00181BC8"/>
    <w:rsid w:val="0018205E"/>
    <w:rsid w:val="001825F8"/>
    <w:rsid w:val="00184D30"/>
    <w:rsid w:val="00184D99"/>
    <w:rsid w:val="00185F0F"/>
    <w:rsid w:val="00185F85"/>
    <w:rsid w:val="00186DE7"/>
    <w:rsid w:val="001873CD"/>
    <w:rsid w:val="00187D06"/>
    <w:rsid w:val="00190908"/>
    <w:rsid w:val="00190B4C"/>
    <w:rsid w:val="0019104A"/>
    <w:rsid w:val="00192067"/>
    <w:rsid w:val="00192086"/>
    <w:rsid w:val="00192F02"/>
    <w:rsid w:val="00193653"/>
    <w:rsid w:val="00193D19"/>
    <w:rsid w:val="001950A1"/>
    <w:rsid w:val="00195F4B"/>
    <w:rsid w:val="00196E0D"/>
    <w:rsid w:val="00197A3C"/>
    <w:rsid w:val="00197B18"/>
    <w:rsid w:val="00197D8B"/>
    <w:rsid w:val="001A1392"/>
    <w:rsid w:val="001A2B2A"/>
    <w:rsid w:val="001A36E6"/>
    <w:rsid w:val="001A3AD2"/>
    <w:rsid w:val="001A3CAB"/>
    <w:rsid w:val="001A41D5"/>
    <w:rsid w:val="001A4804"/>
    <w:rsid w:val="001A4CC0"/>
    <w:rsid w:val="001A4E2A"/>
    <w:rsid w:val="001A4E5C"/>
    <w:rsid w:val="001A64F7"/>
    <w:rsid w:val="001B2345"/>
    <w:rsid w:val="001B3075"/>
    <w:rsid w:val="001B35AA"/>
    <w:rsid w:val="001B3C0E"/>
    <w:rsid w:val="001B3F89"/>
    <w:rsid w:val="001B40ED"/>
    <w:rsid w:val="001B419F"/>
    <w:rsid w:val="001B451F"/>
    <w:rsid w:val="001B45B7"/>
    <w:rsid w:val="001B537B"/>
    <w:rsid w:val="001B5EA5"/>
    <w:rsid w:val="001B5F5D"/>
    <w:rsid w:val="001B5FB9"/>
    <w:rsid w:val="001B6048"/>
    <w:rsid w:val="001B693C"/>
    <w:rsid w:val="001B6B4F"/>
    <w:rsid w:val="001B7382"/>
    <w:rsid w:val="001C1288"/>
    <w:rsid w:val="001C18C1"/>
    <w:rsid w:val="001C1B0D"/>
    <w:rsid w:val="001C1FE3"/>
    <w:rsid w:val="001C2086"/>
    <w:rsid w:val="001C380F"/>
    <w:rsid w:val="001C41B3"/>
    <w:rsid w:val="001C4E31"/>
    <w:rsid w:val="001C5A98"/>
    <w:rsid w:val="001C5D57"/>
    <w:rsid w:val="001C7BE8"/>
    <w:rsid w:val="001D0A29"/>
    <w:rsid w:val="001D0AAA"/>
    <w:rsid w:val="001D26F3"/>
    <w:rsid w:val="001D4C1B"/>
    <w:rsid w:val="001D5139"/>
    <w:rsid w:val="001D555D"/>
    <w:rsid w:val="001D5879"/>
    <w:rsid w:val="001D5CE3"/>
    <w:rsid w:val="001D5E05"/>
    <w:rsid w:val="001E0ED8"/>
    <w:rsid w:val="001E1C17"/>
    <w:rsid w:val="001E1DA4"/>
    <w:rsid w:val="001E2636"/>
    <w:rsid w:val="001E27A7"/>
    <w:rsid w:val="001E36CC"/>
    <w:rsid w:val="001E52C8"/>
    <w:rsid w:val="001E5827"/>
    <w:rsid w:val="001E5D5D"/>
    <w:rsid w:val="001E5DB7"/>
    <w:rsid w:val="001E6A4F"/>
    <w:rsid w:val="001E7AA5"/>
    <w:rsid w:val="001F0439"/>
    <w:rsid w:val="001F12C7"/>
    <w:rsid w:val="001F1695"/>
    <w:rsid w:val="001F1A88"/>
    <w:rsid w:val="001F2BD5"/>
    <w:rsid w:val="001F2F42"/>
    <w:rsid w:val="001F309A"/>
    <w:rsid w:val="001F456E"/>
    <w:rsid w:val="001F4B17"/>
    <w:rsid w:val="001F5601"/>
    <w:rsid w:val="001F6D45"/>
    <w:rsid w:val="001F703A"/>
    <w:rsid w:val="001F7398"/>
    <w:rsid w:val="002000A3"/>
    <w:rsid w:val="00200C7A"/>
    <w:rsid w:val="002011E7"/>
    <w:rsid w:val="002017C6"/>
    <w:rsid w:val="00201F1C"/>
    <w:rsid w:val="00202FBB"/>
    <w:rsid w:val="00203410"/>
    <w:rsid w:val="00203B5F"/>
    <w:rsid w:val="00204A1B"/>
    <w:rsid w:val="00204C87"/>
    <w:rsid w:val="002127F0"/>
    <w:rsid w:val="00212A0C"/>
    <w:rsid w:val="002133F1"/>
    <w:rsid w:val="00213634"/>
    <w:rsid w:val="0021373C"/>
    <w:rsid w:val="002162CF"/>
    <w:rsid w:val="002166AA"/>
    <w:rsid w:val="00220FB0"/>
    <w:rsid w:val="002211D2"/>
    <w:rsid w:val="00222132"/>
    <w:rsid w:val="00222663"/>
    <w:rsid w:val="002236C4"/>
    <w:rsid w:val="002236ED"/>
    <w:rsid w:val="00223961"/>
    <w:rsid w:val="002243BE"/>
    <w:rsid w:val="0022462D"/>
    <w:rsid w:val="00224843"/>
    <w:rsid w:val="002260A3"/>
    <w:rsid w:val="0022701D"/>
    <w:rsid w:val="002273FE"/>
    <w:rsid w:val="002274BC"/>
    <w:rsid w:val="00227AB8"/>
    <w:rsid w:val="00230523"/>
    <w:rsid w:val="0023071E"/>
    <w:rsid w:val="00232297"/>
    <w:rsid w:val="0023237D"/>
    <w:rsid w:val="002325DE"/>
    <w:rsid w:val="002327CC"/>
    <w:rsid w:val="00233B70"/>
    <w:rsid w:val="00234ADA"/>
    <w:rsid w:val="00234BE3"/>
    <w:rsid w:val="0023518C"/>
    <w:rsid w:val="00235D03"/>
    <w:rsid w:val="002363A0"/>
    <w:rsid w:val="00236C83"/>
    <w:rsid w:val="00240E59"/>
    <w:rsid w:val="00241048"/>
    <w:rsid w:val="0024118C"/>
    <w:rsid w:val="0024127F"/>
    <w:rsid w:val="002414FC"/>
    <w:rsid w:val="0024217D"/>
    <w:rsid w:val="002429C1"/>
    <w:rsid w:val="0024565A"/>
    <w:rsid w:val="00247D72"/>
    <w:rsid w:val="0025137F"/>
    <w:rsid w:val="00252302"/>
    <w:rsid w:val="00252C2E"/>
    <w:rsid w:val="002538CC"/>
    <w:rsid w:val="00254F5E"/>
    <w:rsid w:val="00256A46"/>
    <w:rsid w:val="002572CB"/>
    <w:rsid w:val="00257CD8"/>
    <w:rsid w:val="00260833"/>
    <w:rsid w:val="0026220D"/>
    <w:rsid w:val="00264DEF"/>
    <w:rsid w:val="00267A31"/>
    <w:rsid w:val="002708C7"/>
    <w:rsid w:val="0027251E"/>
    <w:rsid w:val="0027481E"/>
    <w:rsid w:val="00274D0E"/>
    <w:rsid w:val="00274DAF"/>
    <w:rsid w:val="00276D1C"/>
    <w:rsid w:val="00276EB4"/>
    <w:rsid w:val="00277064"/>
    <w:rsid w:val="0028109F"/>
    <w:rsid w:val="00282EFB"/>
    <w:rsid w:val="0028478C"/>
    <w:rsid w:val="002847EE"/>
    <w:rsid w:val="00285D68"/>
    <w:rsid w:val="002867B3"/>
    <w:rsid w:val="00286F99"/>
    <w:rsid w:val="002875AD"/>
    <w:rsid w:val="00291C32"/>
    <w:rsid w:val="00291E82"/>
    <w:rsid w:val="00291F26"/>
    <w:rsid w:val="002931A5"/>
    <w:rsid w:val="00293307"/>
    <w:rsid w:val="002934EA"/>
    <w:rsid w:val="002950BD"/>
    <w:rsid w:val="00295416"/>
    <w:rsid w:val="002A2173"/>
    <w:rsid w:val="002A369C"/>
    <w:rsid w:val="002A4696"/>
    <w:rsid w:val="002A559B"/>
    <w:rsid w:val="002A55F0"/>
    <w:rsid w:val="002A6462"/>
    <w:rsid w:val="002A75C8"/>
    <w:rsid w:val="002B0AF5"/>
    <w:rsid w:val="002B14D5"/>
    <w:rsid w:val="002B1E28"/>
    <w:rsid w:val="002B1E73"/>
    <w:rsid w:val="002B1F40"/>
    <w:rsid w:val="002B3456"/>
    <w:rsid w:val="002B3CD4"/>
    <w:rsid w:val="002B3F26"/>
    <w:rsid w:val="002B42B2"/>
    <w:rsid w:val="002B5107"/>
    <w:rsid w:val="002B59DB"/>
    <w:rsid w:val="002B5CDE"/>
    <w:rsid w:val="002B5F42"/>
    <w:rsid w:val="002B64E7"/>
    <w:rsid w:val="002B6CF6"/>
    <w:rsid w:val="002B701F"/>
    <w:rsid w:val="002B7516"/>
    <w:rsid w:val="002B7719"/>
    <w:rsid w:val="002B7D60"/>
    <w:rsid w:val="002B7FA2"/>
    <w:rsid w:val="002C155B"/>
    <w:rsid w:val="002C1EEE"/>
    <w:rsid w:val="002C36BC"/>
    <w:rsid w:val="002C3975"/>
    <w:rsid w:val="002C3B3D"/>
    <w:rsid w:val="002C3BEB"/>
    <w:rsid w:val="002C4E09"/>
    <w:rsid w:val="002C5BD1"/>
    <w:rsid w:val="002C6D35"/>
    <w:rsid w:val="002C6FBC"/>
    <w:rsid w:val="002C7A78"/>
    <w:rsid w:val="002D007E"/>
    <w:rsid w:val="002D05E6"/>
    <w:rsid w:val="002D2920"/>
    <w:rsid w:val="002D30A8"/>
    <w:rsid w:val="002D3937"/>
    <w:rsid w:val="002D3D94"/>
    <w:rsid w:val="002D42C8"/>
    <w:rsid w:val="002D477A"/>
    <w:rsid w:val="002D4BC1"/>
    <w:rsid w:val="002D4E63"/>
    <w:rsid w:val="002D4FAC"/>
    <w:rsid w:val="002D52BB"/>
    <w:rsid w:val="002D5ACE"/>
    <w:rsid w:val="002D5F30"/>
    <w:rsid w:val="002D65DE"/>
    <w:rsid w:val="002D703C"/>
    <w:rsid w:val="002D7237"/>
    <w:rsid w:val="002D74E9"/>
    <w:rsid w:val="002D74FC"/>
    <w:rsid w:val="002E0747"/>
    <w:rsid w:val="002E0C2F"/>
    <w:rsid w:val="002E1A8D"/>
    <w:rsid w:val="002E24A9"/>
    <w:rsid w:val="002E4B2D"/>
    <w:rsid w:val="002E5F7B"/>
    <w:rsid w:val="002E6166"/>
    <w:rsid w:val="002E6F41"/>
    <w:rsid w:val="002E7476"/>
    <w:rsid w:val="002F03CD"/>
    <w:rsid w:val="002F0CC9"/>
    <w:rsid w:val="002F1AD2"/>
    <w:rsid w:val="002F35B4"/>
    <w:rsid w:val="002F3ACA"/>
    <w:rsid w:val="002F40CD"/>
    <w:rsid w:val="002F4507"/>
    <w:rsid w:val="002F5865"/>
    <w:rsid w:val="002F5B85"/>
    <w:rsid w:val="002F68B5"/>
    <w:rsid w:val="00300D3D"/>
    <w:rsid w:val="00301501"/>
    <w:rsid w:val="00302776"/>
    <w:rsid w:val="00303199"/>
    <w:rsid w:val="00303743"/>
    <w:rsid w:val="00303CDE"/>
    <w:rsid w:val="00304624"/>
    <w:rsid w:val="003048A5"/>
    <w:rsid w:val="0030554E"/>
    <w:rsid w:val="00306326"/>
    <w:rsid w:val="00306EA0"/>
    <w:rsid w:val="003074A5"/>
    <w:rsid w:val="00307528"/>
    <w:rsid w:val="00310831"/>
    <w:rsid w:val="0031164D"/>
    <w:rsid w:val="00311F1D"/>
    <w:rsid w:val="003121D6"/>
    <w:rsid w:val="00314176"/>
    <w:rsid w:val="0031455A"/>
    <w:rsid w:val="00315852"/>
    <w:rsid w:val="0031607E"/>
    <w:rsid w:val="00317A93"/>
    <w:rsid w:val="003217E8"/>
    <w:rsid w:val="003218A3"/>
    <w:rsid w:val="003219EC"/>
    <w:rsid w:val="003225FA"/>
    <w:rsid w:val="003239A4"/>
    <w:rsid w:val="00324073"/>
    <w:rsid w:val="00324B9D"/>
    <w:rsid w:val="0032560C"/>
    <w:rsid w:val="00326401"/>
    <w:rsid w:val="00326D51"/>
    <w:rsid w:val="0032764B"/>
    <w:rsid w:val="0033154D"/>
    <w:rsid w:val="00331BFC"/>
    <w:rsid w:val="0033571B"/>
    <w:rsid w:val="00335FB1"/>
    <w:rsid w:val="00336005"/>
    <w:rsid w:val="003373A7"/>
    <w:rsid w:val="0034110A"/>
    <w:rsid w:val="00341291"/>
    <w:rsid w:val="00341426"/>
    <w:rsid w:val="003427D3"/>
    <w:rsid w:val="00344878"/>
    <w:rsid w:val="003448E6"/>
    <w:rsid w:val="003453E0"/>
    <w:rsid w:val="0034579D"/>
    <w:rsid w:val="003464BD"/>
    <w:rsid w:val="003465E4"/>
    <w:rsid w:val="0034695B"/>
    <w:rsid w:val="003509B7"/>
    <w:rsid w:val="00351C91"/>
    <w:rsid w:val="00352065"/>
    <w:rsid w:val="00352944"/>
    <w:rsid w:val="00352A06"/>
    <w:rsid w:val="00352AAF"/>
    <w:rsid w:val="00353661"/>
    <w:rsid w:val="00354072"/>
    <w:rsid w:val="00355AA6"/>
    <w:rsid w:val="00355E23"/>
    <w:rsid w:val="00356367"/>
    <w:rsid w:val="003603FD"/>
    <w:rsid w:val="0036044F"/>
    <w:rsid w:val="00360C01"/>
    <w:rsid w:val="00360F4E"/>
    <w:rsid w:val="0036313B"/>
    <w:rsid w:val="003645ED"/>
    <w:rsid w:val="00365573"/>
    <w:rsid w:val="003658F1"/>
    <w:rsid w:val="00367295"/>
    <w:rsid w:val="0036736C"/>
    <w:rsid w:val="00367F1E"/>
    <w:rsid w:val="0037042F"/>
    <w:rsid w:val="00370CED"/>
    <w:rsid w:val="00370D4E"/>
    <w:rsid w:val="00370D8D"/>
    <w:rsid w:val="00371298"/>
    <w:rsid w:val="00371E25"/>
    <w:rsid w:val="00372424"/>
    <w:rsid w:val="00372AAB"/>
    <w:rsid w:val="00372F6D"/>
    <w:rsid w:val="003731B8"/>
    <w:rsid w:val="0037340C"/>
    <w:rsid w:val="0037443D"/>
    <w:rsid w:val="003748FF"/>
    <w:rsid w:val="0037671F"/>
    <w:rsid w:val="003767EB"/>
    <w:rsid w:val="00376C56"/>
    <w:rsid w:val="003777A4"/>
    <w:rsid w:val="003777B2"/>
    <w:rsid w:val="003816FA"/>
    <w:rsid w:val="00383EBA"/>
    <w:rsid w:val="00384045"/>
    <w:rsid w:val="0038413C"/>
    <w:rsid w:val="00384C6E"/>
    <w:rsid w:val="00384DAD"/>
    <w:rsid w:val="003851C0"/>
    <w:rsid w:val="0038599F"/>
    <w:rsid w:val="00387619"/>
    <w:rsid w:val="003900EC"/>
    <w:rsid w:val="003908A0"/>
    <w:rsid w:val="00390A5F"/>
    <w:rsid w:val="0039228B"/>
    <w:rsid w:val="0039268B"/>
    <w:rsid w:val="00392D25"/>
    <w:rsid w:val="00392F80"/>
    <w:rsid w:val="00393B00"/>
    <w:rsid w:val="00396F9F"/>
    <w:rsid w:val="003A1845"/>
    <w:rsid w:val="003A20F2"/>
    <w:rsid w:val="003A4C05"/>
    <w:rsid w:val="003A51B5"/>
    <w:rsid w:val="003A5409"/>
    <w:rsid w:val="003A5565"/>
    <w:rsid w:val="003A7267"/>
    <w:rsid w:val="003B1527"/>
    <w:rsid w:val="003B1DC2"/>
    <w:rsid w:val="003B26A4"/>
    <w:rsid w:val="003B2859"/>
    <w:rsid w:val="003B2A81"/>
    <w:rsid w:val="003B4803"/>
    <w:rsid w:val="003B4AA0"/>
    <w:rsid w:val="003B5063"/>
    <w:rsid w:val="003B5E8D"/>
    <w:rsid w:val="003B6842"/>
    <w:rsid w:val="003B69CC"/>
    <w:rsid w:val="003B739A"/>
    <w:rsid w:val="003C03EB"/>
    <w:rsid w:val="003C103E"/>
    <w:rsid w:val="003C1CB6"/>
    <w:rsid w:val="003C28AD"/>
    <w:rsid w:val="003C39CC"/>
    <w:rsid w:val="003C5343"/>
    <w:rsid w:val="003C5BDA"/>
    <w:rsid w:val="003C6265"/>
    <w:rsid w:val="003C6293"/>
    <w:rsid w:val="003C645D"/>
    <w:rsid w:val="003C6C29"/>
    <w:rsid w:val="003C7BC0"/>
    <w:rsid w:val="003C7DDF"/>
    <w:rsid w:val="003D0A5B"/>
    <w:rsid w:val="003D2622"/>
    <w:rsid w:val="003D2AF6"/>
    <w:rsid w:val="003D3607"/>
    <w:rsid w:val="003D4674"/>
    <w:rsid w:val="003D5936"/>
    <w:rsid w:val="003D6D7A"/>
    <w:rsid w:val="003E0406"/>
    <w:rsid w:val="003E12AB"/>
    <w:rsid w:val="003E2293"/>
    <w:rsid w:val="003E27E0"/>
    <w:rsid w:val="003E2A2B"/>
    <w:rsid w:val="003E3D21"/>
    <w:rsid w:val="003E51F3"/>
    <w:rsid w:val="003E555C"/>
    <w:rsid w:val="003E5EE5"/>
    <w:rsid w:val="003E60F4"/>
    <w:rsid w:val="003E61DE"/>
    <w:rsid w:val="003F03DC"/>
    <w:rsid w:val="003F088A"/>
    <w:rsid w:val="003F24DC"/>
    <w:rsid w:val="003F25D9"/>
    <w:rsid w:val="003F47C8"/>
    <w:rsid w:val="003F497F"/>
    <w:rsid w:val="003F5699"/>
    <w:rsid w:val="003F64D9"/>
    <w:rsid w:val="003F6CCA"/>
    <w:rsid w:val="003F6E7A"/>
    <w:rsid w:val="003F7EAE"/>
    <w:rsid w:val="00400731"/>
    <w:rsid w:val="00401195"/>
    <w:rsid w:val="0040180B"/>
    <w:rsid w:val="0040292B"/>
    <w:rsid w:val="00402C71"/>
    <w:rsid w:val="0040331B"/>
    <w:rsid w:val="0040378D"/>
    <w:rsid w:val="00403FE0"/>
    <w:rsid w:val="004048D0"/>
    <w:rsid w:val="004051EE"/>
    <w:rsid w:val="00405D80"/>
    <w:rsid w:val="0040634B"/>
    <w:rsid w:val="00406BB3"/>
    <w:rsid w:val="0040767C"/>
    <w:rsid w:val="00410791"/>
    <w:rsid w:val="00410BBF"/>
    <w:rsid w:val="00411EA5"/>
    <w:rsid w:val="004122BF"/>
    <w:rsid w:val="00414466"/>
    <w:rsid w:val="00414B1F"/>
    <w:rsid w:val="00414E39"/>
    <w:rsid w:val="0041584A"/>
    <w:rsid w:val="004158A4"/>
    <w:rsid w:val="00415EFF"/>
    <w:rsid w:val="00416916"/>
    <w:rsid w:val="00416987"/>
    <w:rsid w:val="00417F47"/>
    <w:rsid w:val="0042013E"/>
    <w:rsid w:val="0042169D"/>
    <w:rsid w:val="0042271A"/>
    <w:rsid w:val="004234F4"/>
    <w:rsid w:val="00425512"/>
    <w:rsid w:val="00426097"/>
    <w:rsid w:val="00426EB9"/>
    <w:rsid w:val="004312C2"/>
    <w:rsid w:val="0043151D"/>
    <w:rsid w:val="00431C9A"/>
    <w:rsid w:val="0043247B"/>
    <w:rsid w:val="004356EC"/>
    <w:rsid w:val="00435766"/>
    <w:rsid w:val="0044071F"/>
    <w:rsid w:val="00441AE9"/>
    <w:rsid w:val="00441CEB"/>
    <w:rsid w:val="00441E58"/>
    <w:rsid w:val="0044244C"/>
    <w:rsid w:val="00442554"/>
    <w:rsid w:val="004428AD"/>
    <w:rsid w:val="00442B3B"/>
    <w:rsid w:val="00442CB4"/>
    <w:rsid w:val="00443489"/>
    <w:rsid w:val="00443B42"/>
    <w:rsid w:val="004440D1"/>
    <w:rsid w:val="00444D1A"/>
    <w:rsid w:val="00444DA9"/>
    <w:rsid w:val="00444FED"/>
    <w:rsid w:val="004475AC"/>
    <w:rsid w:val="00447DB9"/>
    <w:rsid w:val="004502D2"/>
    <w:rsid w:val="00451CA8"/>
    <w:rsid w:val="00451D66"/>
    <w:rsid w:val="00452DEC"/>
    <w:rsid w:val="00453CAB"/>
    <w:rsid w:val="00453CDB"/>
    <w:rsid w:val="00454739"/>
    <w:rsid w:val="004552CA"/>
    <w:rsid w:val="00455E81"/>
    <w:rsid w:val="004569B5"/>
    <w:rsid w:val="0045760F"/>
    <w:rsid w:val="004606D0"/>
    <w:rsid w:val="00460C01"/>
    <w:rsid w:val="00461E36"/>
    <w:rsid w:val="0046209E"/>
    <w:rsid w:val="0046250C"/>
    <w:rsid w:val="00462A6B"/>
    <w:rsid w:val="00462C5B"/>
    <w:rsid w:val="0046317D"/>
    <w:rsid w:val="004634B0"/>
    <w:rsid w:val="0046384C"/>
    <w:rsid w:val="00465345"/>
    <w:rsid w:val="00467145"/>
    <w:rsid w:val="004678D5"/>
    <w:rsid w:val="0046795E"/>
    <w:rsid w:val="00470801"/>
    <w:rsid w:val="00471209"/>
    <w:rsid w:val="00471A63"/>
    <w:rsid w:val="00472471"/>
    <w:rsid w:val="00472ED1"/>
    <w:rsid w:val="00472F94"/>
    <w:rsid w:val="00474788"/>
    <w:rsid w:val="00474D92"/>
    <w:rsid w:val="00474DC6"/>
    <w:rsid w:val="00474F15"/>
    <w:rsid w:val="00475500"/>
    <w:rsid w:val="0047591A"/>
    <w:rsid w:val="00475F81"/>
    <w:rsid w:val="0047649C"/>
    <w:rsid w:val="004779DF"/>
    <w:rsid w:val="004802C9"/>
    <w:rsid w:val="00481392"/>
    <w:rsid w:val="00481EC2"/>
    <w:rsid w:val="00483618"/>
    <w:rsid w:val="00483DCA"/>
    <w:rsid w:val="004848CA"/>
    <w:rsid w:val="00486112"/>
    <w:rsid w:val="004862E3"/>
    <w:rsid w:val="0048673E"/>
    <w:rsid w:val="004878D2"/>
    <w:rsid w:val="004904EC"/>
    <w:rsid w:val="00491F7C"/>
    <w:rsid w:val="00492A3B"/>
    <w:rsid w:val="0049419E"/>
    <w:rsid w:val="00494BF6"/>
    <w:rsid w:val="0049520E"/>
    <w:rsid w:val="00495B9E"/>
    <w:rsid w:val="00495ED5"/>
    <w:rsid w:val="00496397"/>
    <w:rsid w:val="00496F6F"/>
    <w:rsid w:val="00497E28"/>
    <w:rsid w:val="004A0A59"/>
    <w:rsid w:val="004A1E93"/>
    <w:rsid w:val="004A2950"/>
    <w:rsid w:val="004A2A08"/>
    <w:rsid w:val="004A2B9D"/>
    <w:rsid w:val="004A4C1D"/>
    <w:rsid w:val="004A5103"/>
    <w:rsid w:val="004A513A"/>
    <w:rsid w:val="004A532B"/>
    <w:rsid w:val="004A59DE"/>
    <w:rsid w:val="004A67F6"/>
    <w:rsid w:val="004A7FA2"/>
    <w:rsid w:val="004B03E4"/>
    <w:rsid w:val="004B0AFB"/>
    <w:rsid w:val="004B1B60"/>
    <w:rsid w:val="004B21FC"/>
    <w:rsid w:val="004B291D"/>
    <w:rsid w:val="004B3933"/>
    <w:rsid w:val="004B3BAF"/>
    <w:rsid w:val="004B6801"/>
    <w:rsid w:val="004C0163"/>
    <w:rsid w:val="004C08AD"/>
    <w:rsid w:val="004C1F35"/>
    <w:rsid w:val="004C2497"/>
    <w:rsid w:val="004C2DFA"/>
    <w:rsid w:val="004C440E"/>
    <w:rsid w:val="004C64D8"/>
    <w:rsid w:val="004D0397"/>
    <w:rsid w:val="004D13D1"/>
    <w:rsid w:val="004D2131"/>
    <w:rsid w:val="004D2A27"/>
    <w:rsid w:val="004D510F"/>
    <w:rsid w:val="004D5285"/>
    <w:rsid w:val="004D5C55"/>
    <w:rsid w:val="004D60C3"/>
    <w:rsid w:val="004D62CD"/>
    <w:rsid w:val="004D674B"/>
    <w:rsid w:val="004E2A0D"/>
    <w:rsid w:val="004E56C5"/>
    <w:rsid w:val="004E65A4"/>
    <w:rsid w:val="004E6DEB"/>
    <w:rsid w:val="004E7FF1"/>
    <w:rsid w:val="004F363E"/>
    <w:rsid w:val="004F3A66"/>
    <w:rsid w:val="004F3F51"/>
    <w:rsid w:val="004F54CC"/>
    <w:rsid w:val="004F6D0C"/>
    <w:rsid w:val="0050005A"/>
    <w:rsid w:val="005017FF"/>
    <w:rsid w:val="00501D5A"/>
    <w:rsid w:val="00502736"/>
    <w:rsid w:val="00502822"/>
    <w:rsid w:val="00504224"/>
    <w:rsid w:val="00504B4E"/>
    <w:rsid w:val="0050639E"/>
    <w:rsid w:val="00507552"/>
    <w:rsid w:val="005110AE"/>
    <w:rsid w:val="0051119D"/>
    <w:rsid w:val="0051254A"/>
    <w:rsid w:val="00513645"/>
    <w:rsid w:val="005145DA"/>
    <w:rsid w:val="00514AD8"/>
    <w:rsid w:val="005157F8"/>
    <w:rsid w:val="00515813"/>
    <w:rsid w:val="00515907"/>
    <w:rsid w:val="00516331"/>
    <w:rsid w:val="00517042"/>
    <w:rsid w:val="00517308"/>
    <w:rsid w:val="005226BC"/>
    <w:rsid w:val="00522721"/>
    <w:rsid w:val="00522B12"/>
    <w:rsid w:val="00523D6B"/>
    <w:rsid w:val="0052601C"/>
    <w:rsid w:val="00527342"/>
    <w:rsid w:val="00527F5F"/>
    <w:rsid w:val="00530C69"/>
    <w:rsid w:val="005310E2"/>
    <w:rsid w:val="00531A38"/>
    <w:rsid w:val="00534206"/>
    <w:rsid w:val="00534777"/>
    <w:rsid w:val="00536545"/>
    <w:rsid w:val="00536CEC"/>
    <w:rsid w:val="005370A7"/>
    <w:rsid w:val="005376DB"/>
    <w:rsid w:val="00537ACF"/>
    <w:rsid w:val="00537EAA"/>
    <w:rsid w:val="00541116"/>
    <w:rsid w:val="0054189E"/>
    <w:rsid w:val="00541A84"/>
    <w:rsid w:val="00542109"/>
    <w:rsid w:val="00542180"/>
    <w:rsid w:val="00543B33"/>
    <w:rsid w:val="00544797"/>
    <w:rsid w:val="00544C15"/>
    <w:rsid w:val="00545A72"/>
    <w:rsid w:val="005467A7"/>
    <w:rsid w:val="00546A12"/>
    <w:rsid w:val="0054710C"/>
    <w:rsid w:val="005478DF"/>
    <w:rsid w:val="00547BDD"/>
    <w:rsid w:val="00550865"/>
    <w:rsid w:val="00550F5A"/>
    <w:rsid w:val="005512D8"/>
    <w:rsid w:val="0055136D"/>
    <w:rsid w:val="0055257E"/>
    <w:rsid w:val="0055359D"/>
    <w:rsid w:val="00554523"/>
    <w:rsid w:val="0055489D"/>
    <w:rsid w:val="00556951"/>
    <w:rsid w:val="005603B0"/>
    <w:rsid w:val="00560443"/>
    <w:rsid w:val="0056068B"/>
    <w:rsid w:val="00560A31"/>
    <w:rsid w:val="00562458"/>
    <w:rsid w:val="005625F3"/>
    <w:rsid w:val="005640D8"/>
    <w:rsid w:val="00564289"/>
    <w:rsid w:val="00565794"/>
    <w:rsid w:val="005661C3"/>
    <w:rsid w:val="005668E9"/>
    <w:rsid w:val="00566B14"/>
    <w:rsid w:val="00566BED"/>
    <w:rsid w:val="00566D8D"/>
    <w:rsid w:val="005674CC"/>
    <w:rsid w:val="00567F1A"/>
    <w:rsid w:val="00570EDE"/>
    <w:rsid w:val="0057212F"/>
    <w:rsid w:val="00572632"/>
    <w:rsid w:val="00575013"/>
    <w:rsid w:val="00575856"/>
    <w:rsid w:val="00575BB2"/>
    <w:rsid w:val="00576BC0"/>
    <w:rsid w:val="005810F6"/>
    <w:rsid w:val="005818E8"/>
    <w:rsid w:val="00582C85"/>
    <w:rsid w:val="00583BFE"/>
    <w:rsid w:val="00590FB8"/>
    <w:rsid w:val="00591416"/>
    <w:rsid w:val="005923F4"/>
    <w:rsid w:val="0059375C"/>
    <w:rsid w:val="00594212"/>
    <w:rsid w:val="00594309"/>
    <w:rsid w:val="00595F14"/>
    <w:rsid w:val="005967AE"/>
    <w:rsid w:val="00596F5B"/>
    <w:rsid w:val="005974EE"/>
    <w:rsid w:val="0059773F"/>
    <w:rsid w:val="005A27BE"/>
    <w:rsid w:val="005A2EA2"/>
    <w:rsid w:val="005A2FD8"/>
    <w:rsid w:val="005A3105"/>
    <w:rsid w:val="005A3FE9"/>
    <w:rsid w:val="005A55D7"/>
    <w:rsid w:val="005A7668"/>
    <w:rsid w:val="005A77BE"/>
    <w:rsid w:val="005A7C9D"/>
    <w:rsid w:val="005B0395"/>
    <w:rsid w:val="005B0FB9"/>
    <w:rsid w:val="005B1210"/>
    <w:rsid w:val="005B23C7"/>
    <w:rsid w:val="005B346C"/>
    <w:rsid w:val="005B3BDE"/>
    <w:rsid w:val="005B4A87"/>
    <w:rsid w:val="005B6EB1"/>
    <w:rsid w:val="005B7847"/>
    <w:rsid w:val="005C0D5D"/>
    <w:rsid w:val="005C1366"/>
    <w:rsid w:val="005C1644"/>
    <w:rsid w:val="005C216C"/>
    <w:rsid w:val="005C2E05"/>
    <w:rsid w:val="005C4CC0"/>
    <w:rsid w:val="005C5539"/>
    <w:rsid w:val="005C5DF3"/>
    <w:rsid w:val="005C6C3D"/>
    <w:rsid w:val="005C6FA9"/>
    <w:rsid w:val="005C7AB0"/>
    <w:rsid w:val="005D165A"/>
    <w:rsid w:val="005D16F6"/>
    <w:rsid w:val="005D2513"/>
    <w:rsid w:val="005D2930"/>
    <w:rsid w:val="005D4822"/>
    <w:rsid w:val="005D5DCE"/>
    <w:rsid w:val="005D6929"/>
    <w:rsid w:val="005D6965"/>
    <w:rsid w:val="005D6CB0"/>
    <w:rsid w:val="005D735D"/>
    <w:rsid w:val="005E098E"/>
    <w:rsid w:val="005E1D4D"/>
    <w:rsid w:val="005E1D73"/>
    <w:rsid w:val="005E2D28"/>
    <w:rsid w:val="005E2F45"/>
    <w:rsid w:val="005E365C"/>
    <w:rsid w:val="005E4314"/>
    <w:rsid w:val="005E4D4C"/>
    <w:rsid w:val="005E6A9D"/>
    <w:rsid w:val="005E7688"/>
    <w:rsid w:val="005E7A3F"/>
    <w:rsid w:val="005E7F50"/>
    <w:rsid w:val="005F1618"/>
    <w:rsid w:val="005F17A1"/>
    <w:rsid w:val="005F1837"/>
    <w:rsid w:val="005F1ABD"/>
    <w:rsid w:val="005F31A8"/>
    <w:rsid w:val="005F35B6"/>
    <w:rsid w:val="005F36CA"/>
    <w:rsid w:val="005F429D"/>
    <w:rsid w:val="005F488C"/>
    <w:rsid w:val="005F49F4"/>
    <w:rsid w:val="005F5541"/>
    <w:rsid w:val="005F6280"/>
    <w:rsid w:val="005F63F9"/>
    <w:rsid w:val="005F676F"/>
    <w:rsid w:val="005F7AE4"/>
    <w:rsid w:val="0060054C"/>
    <w:rsid w:val="0060058C"/>
    <w:rsid w:val="00600B1F"/>
    <w:rsid w:val="006015C2"/>
    <w:rsid w:val="0060213F"/>
    <w:rsid w:val="00602443"/>
    <w:rsid w:val="00602AC5"/>
    <w:rsid w:val="0060371C"/>
    <w:rsid w:val="00604E9F"/>
    <w:rsid w:val="00606B65"/>
    <w:rsid w:val="0060781C"/>
    <w:rsid w:val="00607C5E"/>
    <w:rsid w:val="00607C8D"/>
    <w:rsid w:val="00607D77"/>
    <w:rsid w:val="00607E3B"/>
    <w:rsid w:val="00610179"/>
    <w:rsid w:val="006101A1"/>
    <w:rsid w:val="00610836"/>
    <w:rsid w:val="0061127C"/>
    <w:rsid w:val="00611BE8"/>
    <w:rsid w:val="00613750"/>
    <w:rsid w:val="00613CC2"/>
    <w:rsid w:val="00613CEB"/>
    <w:rsid w:val="00613E52"/>
    <w:rsid w:val="006143A9"/>
    <w:rsid w:val="00614B56"/>
    <w:rsid w:val="00614B9A"/>
    <w:rsid w:val="00614F45"/>
    <w:rsid w:val="006152D6"/>
    <w:rsid w:val="00615AFF"/>
    <w:rsid w:val="00615F64"/>
    <w:rsid w:val="0061703E"/>
    <w:rsid w:val="006173FB"/>
    <w:rsid w:val="006179A2"/>
    <w:rsid w:val="00621762"/>
    <w:rsid w:val="00621957"/>
    <w:rsid w:val="00621A53"/>
    <w:rsid w:val="00622C14"/>
    <w:rsid w:val="00623078"/>
    <w:rsid w:val="00623BC6"/>
    <w:rsid w:val="0062491A"/>
    <w:rsid w:val="006254E5"/>
    <w:rsid w:val="00625F68"/>
    <w:rsid w:val="00626449"/>
    <w:rsid w:val="006274AB"/>
    <w:rsid w:val="00630E6A"/>
    <w:rsid w:val="00632B87"/>
    <w:rsid w:val="00633CA5"/>
    <w:rsid w:val="006349EE"/>
    <w:rsid w:val="00634C75"/>
    <w:rsid w:val="0063571C"/>
    <w:rsid w:val="00635903"/>
    <w:rsid w:val="006366B6"/>
    <w:rsid w:val="00637AC2"/>
    <w:rsid w:val="006403BB"/>
    <w:rsid w:val="00640F37"/>
    <w:rsid w:val="00641549"/>
    <w:rsid w:val="006424AA"/>
    <w:rsid w:val="00643925"/>
    <w:rsid w:val="00644F12"/>
    <w:rsid w:val="006455A4"/>
    <w:rsid w:val="0064624B"/>
    <w:rsid w:val="00646891"/>
    <w:rsid w:val="0065065E"/>
    <w:rsid w:val="00650AA5"/>
    <w:rsid w:val="0065170D"/>
    <w:rsid w:val="00654FFC"/>
    <w:rsid w:val="00655429"/>
    <w:rsid w:val="006562CB"/>
    <w:rsid w:val="006562FA"/>
    <w:rsid w:val="00656FEC"/>
    <w:rsid w:val="006605C3"/>
    <w:rsid w:val="0066082A"/>
    <w:rsid w:val="00660C8D"/>
    <w:rsid w:val="006620E1"/>
    <w:rsid w:val="00663E8E"/>
    <w:rsid w:val="006641BA"/>
    <w:rsid w:val="00664922"/>
    <w:rsid w:val="00665220"/>
    <w:rsid w:val="0066625C"/>
    <w:rsid w:val="00667731"/>
    <w:rsid w:val="00670353"/>
    <w:rsid w:val="00670754"/>
    <w:rsid w:val="00671D69"/>
    <w:rsid w:val="00673CC5"/>
    <w:rsid w:val="00676A9D"/>
    <w:rsid w:val="006770ED"/>
    <w:rsid w:val="006775F4"/>
    <w:rsid w:val="006832AC"/>
    <w:rsid w:val="006839D7"/>
    <w:rsid w:val="00683B9B"/>
    <w:rsid w:val="006842E0"/>
    <w:rsid w:val="006855C0"/>
    <w:rsid w:val="00686AD1"/>
    <w:rsid w:val="0069294F"/>
    <w:rsid w:val="006951A7"/>
    <w:rsid w:val="00695EAB"/>
    <w:rsid w:val="00696B61"/>
    <w:rsid w:val="00697EA3"/>
    <w:rsid w:val="006A23C6"/>
    <w:rsid w:val="006A4764"/>
    <w:rsid w:val="006A4FEF"/>
    <w:rsid w:val="006A51C1"/>
    <w:rsid w:val="006A7558"/>
    <w:rsid w:val="006B1479"/>
    <w:rsid w:val="006B22D3"/>
    <w:rsid w:val="006B2364"/>
    <w:rsid w:val="006B2DC0"/>
    <w:rsid w:val="006B2DEE"/>
    <w:rsid w:val="006B3192"/>
    <w:rsid w:val="006B4A76"/>
    <w:rsid w:val="006B52D5"/>
    <w:rsid w:val="006B6094"/>
    <w:rsid w:val="006B6F56"/>
    <w:rsid w:val="006C0786"/>
    <w:rsid w:val="006C18DC"/>
    <w:rsid w:val="006C2420"/>
    <w:rsid w:val="006C3AED"/>
    <w:rsid w:val="006C4881"/>
    <w:rsid w:val="006C4AFA"/>
    <w:rsid w:val="006C4F7B"/>
    <w:rsid w:val="006C5222"/>
    <w:rsid w:val="006C5289"/>
    <w:rsid w:val="006C5EBF"/>
    <w:rsid w:val="006C71F9"/>
    <w:rsid w:val="006D1574"/>
    <w:rsid w:val="006D2D35"/>
    <w:rsid w:val="006D3424"/>
    <w:rsid w:val="006D45D6"/>
    <w:rsid w:val="006D541A"/>
    <w:rsid w:val="006D5ADC"/>
    <w:rsid w:val="006D6971"/>
    <w:rsid w:val="006E04F1"/>
    <w:rsid w:val="006E0A3D"/>
    <w:rsid w:val="006E128C"/>
    <w:rsid w:val="006E1B9E"/>
    <w:rsid w:val="006E1F9E"/>
    <w:rsid w:val="006E2C98"/>
    <w:rsid w:val="006E353F"/>
    <w:rsid w:val="006E4688"/>
    <w:rsid w:val="006E47BA"/>
    <w:rsid w:val="006E4FCC"/>
    <w:rsid w:val="006E5752"/>
    <w:rsid w:val="006E5CCF"/>
    <w:rsid w:val="006E6115"/>
    <w:rsid w:val="006E6B8D"/>
    <w:rsid w:val="006E6D2A"/>
    <w:rsid w:val="006E7A7D"/>
    <w:rsid w:val="006F40F2"/>
    <w:rsid w:val="006F642A"/>
    <w:rsid w:val="006F6FE0"/>
    <w:rsid w:val="00700086"/>
    <w:rsid w:val="0070338E"/>
    <w:rsid w:val="00703ECB"/>
    <w:rsid w:val="0070491B"/>
    <w:rsid w:val="00704FCD"/>
    <w:rsid w:val="00705B35"/>
    <w:rsid w:val="00705D1F"/>
    <w:rsid w:val="00707D8A"/>
    <w:rsid w:val="00710C69"/>
    <w:rsid w:val="00711782"/>
    <w:rsid w:val="007117E4"/>
    <w:rsid w:val="007125B8"/>
    <w:rsid w:val="00713215"/>
    <w:rsid w:val="00714095"/>
    <w:rsid w:val="007156E6"/>
    <w:rsid w:val="00715838"/>
    <w:rsid w:val="00715C27"/>
    <w:rsid w:val="00717509"/>
    <w:rsid w:val="00720035"/>
    <w:rsid w:val="00721128"/>
    <w:rsid w:val="00721539"/>
    <w:rsid w:val="00721815"/>
    <w:rsid w:val="007219C7"/>
    <w:rsid w:val="0072302C"/>
    <w:rsid w:val="00723128"/>
    <w:rsid w:val="007236E6"/>
    <w:rsid w:val="00725E81"/>
    <w:rsid w:val="007270E9"/>
    <w:rsid w:val="007314D3"/>
    <w:rsid w:val="007322CB"/>
    <w:rsid w:val="00732704"/>
    <w:rsid w:val="00732996"/>
    <w:rsid w:val="00733C2E"/>
    <w:rsid w:val="007345D9"/>
    <w:rsid w:val="00735172"/>
    <w:rsid w:val="00737847"/>
    <w:rsid w:val="0074004F"/>
    <w:rsid w:val="007414D4"/>
    <w:rsid w:val="0074182C"/>
    <w:rsid w:val="00742153"/>
    <w:rsid w:val="00743468"/>
    <w:rsid w:val="007449A8"/>
    <w:rsid w:val="007453BC"/>
    <w:rsid w:val="007454D2"/>
    <w:rsid w:val="007474C8"/>
    <w:rsid w:val="0075018F"/>
    <w:rsid w:val="00750790"/>
    <w:rsid w:val="00750D45"/>
    <w:rsid w:val="00750FC8"/>
    <w:rsid w:val="00752018"/>
    <w:rsid w:val="00752818"/>
    <w:rsid w:val="00752ABE"/>
    <w:rsid w:val="0075502B"/>
    <w:rsid w:val="007554FA"/>
    <w:rsid w:val="00755E0D"/>
    <w:rsid w:val="00757EEB"/>
    <w:rsid w:val="0076065B"/>
    <w:rsid w:val="00760CA9"/>
    <w:rsid w:val="007613BD"/>
    <w:rsid w:val="00761520"/>
    <w:rsid w:val="00763690"/>
    <w:rsid w:val="00763AF7"/>
    <w:rsid w:val="0076449C"/>
    <w:rsid w:val="00765491"/>
    <w:rsid w:val="007656EF"/>
    <w:rsid w:val="007665A6"/>
    <w:rsid w:val="007666AF"/>
    <w:rsid w:val="00766AE4"/>
    <w:rsid w:val="00767246"/>
    <w:rsid w:val="00767B7B"/>
    <w:rsid w:val="00770E59"/>
    <w:rsid w:val="00771F71"/>
    <w:rsid w:val="00771FF4"/>
    <w:rsid w:val="00772980"/>
    <w:rsid w:val="00774C4E"/>
    <w:rsid w:val="00775E70"/>
    <w:rsid w:val="007800A8"/>
    <w:rsid w:val="00780854"/>
    <w:rsid w:val="00781908"/>
    <w:rsid w:val="00781C4B"/>
    <w:rsid w:val="00781CC4"/>
    <w:rsid w:val="007820C6"/>
    <w:rsid w:val="00783855"/>
    <w:rsid w:val="00783CCB"/>
    <w:rsid w:val="007846EF"/>
    <w:rsid w:val="00785049"/>
    <w:rsid w:val="007860BC"/>
    <w:rsid w:val="00786B03"/>
    <w:rsid w:val="007874E8"/>
    <w:rsid w:val="00787F24"/>
    <w:rsid w:val="00790B4F"/>
    <w:rsid w:val="00792141"/>
    <w:rsid w:val="00792AF5"/>
    <w:rsid w:val="00792EE8"/>
    <w:rsid w:val="00794800"/>
    <w:rsid w:val="00794870"/>
    <w:rsid w:val="00794A11"/>
    <w:rsid w:val="0079591A"/>
    <w:rsid w:val="007968BD"/>
    <w:rsid w:val="00796C01"/>
    <w:rsid w:val="00796EEA"/>
    <w:rsid w:val="00797209"/>
    <w:rsid w:val="007A043D"/>
    <w:rsid w:val="007A0BBD"/>
    <w:rsid w:val="007A0E64"/>
    <w:rsid w:val="007A0EEB"/>
    <w:rsid w:val="007A0F27"/>
    <w:rsid w:val="007A12A5"/>
    <w:rsid w:val="007A1A26"/>
    <w:rsid w:val="007A3D49"/>
    <w:rsid w:val="007A410E"/>
    <w:rsid w:val="007A42A1"/>
    <w:rsid w:val="007A5BFE"/>
    <w:rsid w:val="007A63B0"/>
    <w:rsid w:val="007A7E23"/>
    <w:rsid w:val="007B0912"/>
    <w:rsid w:val="007B10C0"/>
    <w:rsid w:val="007B205F"/>
    <w:rsid w:val="007B3D35"/>
    <w:rsid w:val="007B416C"/>
    <w:rsid w:val="007B417D"/>
    <w:rsid w:val="007B4402"/>
    <w:rsid w:val="007B550C"/>
    <w:rsid w:val="007B7B9C"/>
    <w:rsid w:val="007C0137"/>
    <w:rsid w:val="007C1001"/>
    <w:rsid w:val="007C37DA"/>
    <w:rsid w:val="007C38A0"/>
    <w:rsid w:val="007C3908"/>
    <w:rsid w:val="007C4007"/>
    <w:rsid w:val="007C5C44"/>
    <w:rsid w:val="007C602F"/>
    <w:rsid w:val="007D0CD5"/>
    <w:rsid w:val="007D0F63"/>
    <w:rsid w:val="007D1ADC"/>
    <w:rsid w:val="007D2090"/>
    <w:rsid w:val="007D218F"/>
    <w:rsid w:val="007D4C08"/>
    <w:rsid w:val="007D4CC5"/>
    <w:rsid w:val="007D4E96"/>
    <w:rsid w:val="007D51A7"/>
    <w:rsid w:val="007D579E"/>
    <w:rsid w:val="007D6E86"/>
    <w:rsid w:val="007D7182"/>
    <w:rsid w:val="007D73BB"/>
    <w:rsid w:val="007D7E2A"/>
    <w:rsid w:val="007E01C3"/>
    <w:rsid w:val="007E07D6"/>
    <w:rsid w:val="007E0A7C"/>
    <w:rsid w:val="007E16CB"/>
    <w:rsid w:val="007E344D"/>
    <w:rsid w:val="007E3F89"/>
    <w:rsid w:val="007E452B"/>
    <w:rsid w:val="007E4DAE"/>
    <w:rsid w:val="007E56F5"/>
    <w:rsid w:val="007E594A"/>
    <w:rsid w:val="007E65E8"/>
    <w:rsid w:val="007E707A"/>
    <w:rsid w:val="007E70B1"/>
    <w:rsid w:val="007E7655"/>
    <w:rsid w:val="007F09BA"/>
    <w:rsid w:val="007F1B0C"/>
    <w:rsid w:val="007F2AAB"/>
    <w:rsid w:val="007F39C1"/>
    <w:rsid w:val="007F45C3"/>
    <w:rsid w:val="007F4C08"/>
    <w:rsid w:val="007F53F1"/>
    <w:rsid w:val="007F5AF2"/>
    <w:rsid w:val="007F5FCF"/>
    <w:rsid w:val="007F7717"/>
    <w:rsid w:val="007F7CCF"/>
    <w:rsid w:val="007F7EFC"/>
    <w:rsid w:val="008003EF"/>
    <w:rsid w:val="00801437"/>
    <w:rsid w:val="00802C6D"/>
    <w:rsid w:val="0080313C"/>
    <w:rsid w:val="0080348F"/>
    <w:rsid w:val="00803CDE"/>
    <w:rsid w:val="00803FC8"/>
    <w:rsid w:val="00804D75"/>
    <w:rsid w:val="00804FB8"/>
    <w:rsid w:val="00805B3C"/>
    <w:rsid w:val="00807897"/>
    <w:rsid w:val="00810C51"/>
    <w:rsid w:val="00811110"/>
    <w:rsid w:val="0081187B"/>
    <w:rsid w:val="0081205D"/>
    <w:rsid w:val="00812A06"/>
    <w:rsid w:val="00812F69"/>
    <w:rsid w:val="00814C98"/>
    <w:rsid w:val="008156B2"/>
    <w:rsid w:val="008176C4"/>
    <w:rsid w:val="008207D7"/>
    <w:rsid w:val="00820FC3"/>
    <w:rsid w:val="0082121F"/>
    <w:rsid w:val="0082474B"/>
    <w:rsid w:val="00824EF3"/>
    <w:rsid w:val="00824FD6"/>
    <w:rsid w:val="00825146"/>
    <w:rsid w:val="00826AE8"/>
    <w:rsid w:val="0082700A"/>
    <w:rsid w:val="00827412"/>
    <w:rsid w:val="00827EAF"/>
    <w:rsid w:val="00830369"/>
    <w:rsid w:val="008315F6"/>
    <w:rsid w:val="00831801"/>
    <w:rsid w:val="00833143"/>
    <w:rsid w:val="00833C15"/>
    <w:rsid w:val="00833D3C"/>
    <w:rsid w:val="00833FF7"/>
    <w:rsid w:val="008350F8"/>
    <w:rsid w:val="00835818"/>
    <w:rsid w:val="00835864"/>
    <w:rsid w:val="00835938"/>
    <w:rsid w:val="008360EC"/>
    <w:rsid w:val="0084080F"/>
    <w:rsid w:val="008416D6"/>
    <w:rsid w:val="00843459"/>
    <w:rsid w:val="008437C5"/>
    <w:rsid w:val="00844868"/>
    <w:rsid w:val="0084565E"/>
    <w:rsid w:val="008459F4"/>
    <w:rsid w:val="008473EE"/>
    <w:rsid w:val="00847B03"/>
    <w:rsid w:val="00850510"/>
    <w:rsid w:val="00851144"/>
    <w:rsid w:val="0085270E"/>
    <w:rsid w:val="00853A8E"/>
    <w:rsid w:val="00855280"/>
    <w:rsid w:val="008553AD"/>
    <w:rsid w:val="00855A06"/>
    <w:rsid w:val="00855D89"/>
    <w:rsid w:val="008568F2"/>
    <w:rsid w:val="00856943"/>
    <w:rsid w:val="00857AE3"/>
    <w:rsid w:val="00857E15"/>
    <w:rsid w:val="0086023E"/>
    <w:rsid w:val="00860560"/>
    <w:rsid w:val="008605F0"/>
    <w:rsid w:val="008616EE"/>
    <w:rsid w:val="008618A9"/>
    <w:rsid w:val="00861F17"/>
    <w:rsid w:val="00862182"/>
    <w:rsid w:val="0086289F"/>
    <w:rsid w:val="008632DC"/>
    <w:rsid w:val="008638B7"/>
    <w:rsid w:val="0086434B"/>
    <w:rsid w:val="008660D9"/>
    <w:rsid w:val="008662D1"/>
    <w:rsid w:val="00866F9A"/>
    <w:rsid w:val="008677B9"/>
    <w:rsid w:val="0087007B"/>
    <w:rsid w:val="008712A8"/>
    <w:rsid w:val="0087150A"/>
    <w:rsid w:val="00872269"/>
    <w:rsid w:val="00873478"/>
    <w:rsid w:val="00873656"/>
    <w:rsid w:val="00873CA6"/>
    <w:rsid w:val="00874659"/>
    <w:rsid w:val="008747F1"/>
    <w:rsid w:val="00875176"/>
    <w:rsid w:val="00875A10"/>
    <w:rsid w:val="00875F17"/>
    <w:rsid w:val="00876757"/>
    <w:rsid w:val="008803B1"/>
    <w:rsid w:val="00880883"/>
    <w:rsid w:val="00880AB9"/>
    <w:rsid w:val="00880D8B"/>
    <w:rsid w:val="0088105D"/>
    <w:rsid w:val="008815BA"/>
    <w:rsid w:val="008820ED"/>
    <w:rsid w:val="008821AC"/>
    <w:rsid w:val="00882C91"/>
    <w:rsid w:val="008839B3"/>
    <w:rsid w:val="00883CC4"/>
    <w:rsid w:val="00885435"/>
    <w:rsid w:val="0088593D"/>
    <w:rsid w:val="0088599A"/>
    <w:rsid w:val="00886D73"/>
    <w:rsid w:val="0089320C"/>
    <w:rsid w:val="00894200"/>
    <w:rsid w:val="00895619"/>
    <w:rsid w:val="00895D72"/>
    <w:rsid w:val="0089645F"/>
    <w:rsid w:val="008964D4"/>
    <w:rsid w:val="00896A31"/>
    <w:rsid w:val="00897D03"/>
    <w:rsid w:val="008A01A1"/>
    <w:rsid w:val="008A01F2"/>
    <w:rsid w:val="008A2BDA"/>
    <w:rsid w:val="008A33D6"/>
    <w:rsid w:val="008A4471"/>
    <w:rsid w:val="008A4BC7"/>
    <w:rsid w:val="008A548F"/>
    <w:rsid w:val="008A6CC2"/>
    <w:rsid w:val="008A79E8"/>
    <w:rsid w:val="008B067C"/>
    <w:rsid w:val="008B2EE6"/>
    <w:rsid w:val="008B4EB4"/>
    <w:rsid w:val="008B5449"/>
    <w:rsid w:val="008B7075"/>
    <w:rsid w:val="008B70FB"/>
    <w:rsid w:val="008B7595"/>
    <w:rsid w:val="008B7E58"/>
    <w:rsid w:val="008C04DF"/>
    <w:rsid w:val="008C1653"/>
    <w:rsid w:val="008C1C37"/>
    <w:rsid w:val="008C3D02"/>
    <w:rsid w:val="008C5035"/>
    <w:rsid w:val="008C55BB"/>
    <w:rsid w:val="008C591A"/>
    <w:rsid w:val="008C5DFB"/>
    <w:rsid w:val="008C6B06"/>
    <w:rsid w:val="008C6D90"/>
    <w:rsid w:val="008C6FDA"/>
    <w:rsid w:val="008C7DB6"/>
    <w:rsid w:val="008D0055"/>
    <w:rsid w:val="008D08D5"/>
    <w:rsid w:val="008D1E45"/>
    <w:rsid w:val="008D2578"/>
    <w:rsid w:val="008D29EB"/>
    <w:rsid w:val="008D2A4B"/>
    <w:rsid w:val="008D3967"/>
    <w:rsid w:val="008D41F2"/>
    <w:rsid w:val="008D5BDF"/>
    <w:rsid w:val="008D7A1C"/>
    <w:rsid w:val="008E08E4"/>
    <w:rsid w:val="008E0AA0"/>
    <w:rsid w:val="008E0F72"/>
    <w:rsid w:val="008E0F89"/>
    <w:rsid w:val="008E1444"/>
    <w:rsid w:val="008E2EF5"/>
    <w:rsid w:val="008E3617"/>
    <w:rsid w:val="008E3C28"/>
    <w:rsid w:val="008E4A9D"/>
    <w:rsid w:val="008E4FA6"/>
    <w:rsid w:val="008E5333"/>
    <w:rsid w:val="008E6F5F"/>
    <w:rsid w:val="008E703C"/>
    <w:rsid w:val="008E74C3"/>
    <w:rsid w:val="008F05DF"/>
    <w:rsid w:val="008F2F0B"/>
    <w:rsid w:val="008F3ADF"/>
    <w:rsid w:val="008F5E55"/>
    <w:rsid w:val="008F6097"/>
    <w:rsid w:val="008F6653"/>
    <w:rsid w:val="008F7D83"/>
    <w:rsid w:val="00901D06"/>
    <w:rsid w:val="0090227D"/>
    <w:rsid w:val="0090362A"/>
    <w:rsid w:val="009042D8"/>
    <w:rsid w:val="009049CB"/>
    <w:rsid w:val="00904F86"/>
    <w:rsid w:val="009061CC"/>
    <w:rsid w:val="00906EA7"/>
    <w:rsid w:val="009074D6"/>
    <w:rsid w:val="009075E2"/>
    <w:rsid w:val="0091010F"/>
    <w:rsid w:val="009101DF"/>
    <w:rsid w:val="00912982"/>
    <w:rsid w:val="00913C75"/>
    <w:rsid w:val="00914785"/>
    <w:rsid w:val="00914DA0"/>
    <w:rsid w:val="00914ECE"/>
    <w:rsid w:val="00916295"/>
    <w:rsid w:val="00916B7B"/>
    <w:rsid w:val="00916F43"/>
    <w:rsid w:val="00920004"/>
    <w:rsid w:val="009215BA"/>
    <w:rsid w:val="00922657"/>
    <w:rsid w:val="00922865"/>
    <w:rsid w:val="0092536F"/>
    <w:rsid w:val="00926137"/>
    <w:rsid w:val="009270B5"/>
    <w:rsid w:val="00927D21"/>
    <w:rsid w:val="00927D8F"/>
    <w:rsid w:val="00930924"/>
    <w:rsid w:val="00930BC6"/>
    <w:rsid w:val="009318C3"/>
    <w:rsid w:val="00932299"/>
    <w:rsid w:val="00933371"/>
    <w:rsid w:val="009364FC"/>
    <w:rsid w:val="009368DA"/>
    <w:rsid w:val="0093700C"/>
    <w:rsid w:val="00937518"/>
    <w:rsid w:val="00942201"/>
    <w:rsid w:val="00942678"/>
    <w:rsid w:val="0094445F"/>
    <w:rsid w:val="00944DF6"/>
    <w:rsid w:val="00944E1F"/>
    <w:rsid w:val="00946B74"/>
    <w:rsid w:val="0094789D"/>
    <w:rsid w:val="00947906"/>
    <w:rsid w:val="0095001A"/>
    <w:rsid w:val="009507A6"/>
    <w:rsid w:val="0095082F"/>
    <w:rsid w:val="00952EF6"/>
    <w:rsid w:val="0095328C"/>
    <w:rsid w:val="00953887"/>
    <w:rsid w:val="00956296"/>
    <w:rsid w:val="009579AC"/>
    <w:rsid w:val="00957E11"/>
    <w:rsid w:val="0096018B"/>
    <w:rsid w:val="00960328"/>
    <w:rsid w:val="00960E03"/>
    <w:rsid w:val="00961EA9"/>
    <w:rsid w:val="00961F12"/>
    <w:rsid w:val="009622FF"/>
    <w:rsid w:val="009627C6"/>
    <w:rsid w:val="00962DC7"/>
    <w:rsid w:val="0096378F"/>
    <w:rsid w:val="00963A81"/>
    <w:rsid w:val="00963E87"/>
    <w:rsid w:val="009640BD"/>
    <w:rsid w:val="0096429D"/>
    <w:rsid w:val="00964BA2"/>
    <w:rsid w:val="00964D1D"/>
    <w:rsid w:val="00964F5F"/>
    <w:rsid w:val="00966476"/>
    <w:rsid w:val="009668DF"/>
    <w:rsid w:val="009673A5"/>
    <w:rsid w:val="0097262A"/>
    <w:rsid w:val="00973653"/>
    <w:rsid w:val="0097384A"/>
    <w:rsid w:val="00973A0C"/>
    <w:rsid w:val="00973B6B"/>
    <w:rsid w:val="00974801"/>
    <w:rsid w:val="009762CF"/>
    <w:rsid w:val="0097671C"/>
    <w:rsid w:val="00976AD6"/>
    <w:rsid w:val="0097759B"/>
    <w:rsid w:val="009775BB"/>
    <w:rsid w:val="00981F16"/>
    <w:rsid w:val="009827BE"/>
    <w:rsid w:val="00982AE2"/>
    <w:rsid w:val="00983ED4"/>
    <w:rsid w:val="009842DE"/>
    <w:rsid w:val="009858DF"/>
    <w:rsid w:val="0098594E"/>
    <w:rsid w:val="00985CDF"/>
    <w:rsid w:val="00985D1E"/>
    <w:rsid w:val="00990321"/>
    <w:rsid w:val="009907F3"/>
    <w:rsid w:val="00991230"/>
    <w:rsid w:val="00991FD5"/>
    <w:rsid w:val="00992179"/>
    <w:rsid w:val="0099386C"/>
    <w:rsid w:val="00993F59"/>
    <w:rsid w:val="00993FC2"/>
    <w:rsid w:val="00994125"/>
    <w:rsid w:val="00994471"/>
    <w:rsid w:val="009947B4"/>
    <w:rsid w:val="00994939"/>
    <w:rsid w:val="00995687"/>
    <w:rsid w:val="00996E53"/>
    <w:rsid w:val="00997D1C"/>
    <w:rsid w:val="009A0AEC"/>
    <w:rsid w:val="009A1BBE"/>
    <w:rsid w:val="009A2001"/>
    <w:rsid w:val="009A2BE9"/>
    <w:rsid w:val="009A36E0"/>
    <w:rsid w:val="009A469C"/>
    <w:rsid w:val="009A4770"/>
    <w:rsid w:val="009A4947"/>
    <w:rsid w:val="009A4CBA"/>
    <w:rsid w:val="009A5310"/>
    <w:rsid w:val="009A60E8"/>
    <w:rsid w:val="009A60F0"/>
    <w:rsid w:val="009A6BF3"/>
    <w:rsid w:val="009A7042"/>
    <w:rsid w:val="009A7A4C"/>
    <w:rsid w:val="009A7CC9"/>
    <w:rsid w:val="009B0B11"/>
    <w:rsid w:val="009B0D81"/>
    <w:rsid w:val="009B2AEB"/>
    <w:rsid w:val="009B3709"/>
    <w:rsid w:val="009B3FEB"/>
    <w:rsid w:val="009B5774"/>
    <w:rsid w:val="009B5F46"/>
    <w:rsid w:val="009B709A"/>
    <w:rsid w:val="009B732A"/>
    <w:rsid w:val="009C047F"/>
    <w:rsid w:val="009C07E6"/>
    <w:rsid w:val="009C1A40"/>
    <w:rsid w:val="009C1E72"/>
    <w:rsid w:val="009C28AF"/>
    <w:rsid w:val="009C384E"/>
    <w:rsid w:val="009C3B80"/>
    <w:rsid w:val="009C422D"/>
    <w:rsid w:val="009C4A3A"/>
    <w:rsid w:val="009C4BAE"/>
    <w:rsid w:val="009C5E93"/>
    <w:rsid w:val="009C7547"/>
    <w:rsid w:val="009D1046"/>
    <w:rsid w:val="009D1D38"/>
    <w:rsid w:val="009D28EC"/>
    <w:rsid w:val="009D2EE7"/>
    <w:rsid w:val="009D38BA"/>
    <w:rsid w:val="009D3DB7"/>
    <w:rsid w:val="009D4428"/>
    <w:rsid w:val="009E1016"/>
    <w:rsid w:val="009E4B06"/>
    <w:rsid w:val="009E4C1F"/>
    <w:rsid w:val="009E5700"/>
    <w:rsid w:val="009E59BE"/>
    <w:rsid w:val="009E5EE6"/>
    <w:rsid w:val="009E77D5"/>
    <w:rsid w:val="009E7E85"/>
    <w:rsid w:val="009E7EC3"/>
    <w:rsid w:val="009F095C"/>
    <w:rsid w:val="009F0FED"/>
    <w:rsid w:val="009F1819"/>
    <w:rsid w:val="009F2EED"/>
    <w:rsid w:val="009F3297"/>
    <w:rsid w:val="009F359F"/>
    <w:rsid w:val="009F413D"/>
    <w:rsid w:val="009F4778"/>
    <w:rsid w:val="009F5E3A"/>
    <w:rsid w:val="009F670C"/>
    <w:rsid w:val="009F6BB0"/>
    <w:rsid w:val="009F6F78"/>
    <w:rsid w:val="009F723A"/>
    <w:rsid w:val="009F7721"/>
    <w:rsid w:val="009F7A31"/>
    <w:rsid w:val="009F7B3F"/>
    <w:rsid w:val="009F7DDE"/>
    <w:rsid w:val="00A0087F"/>
    <w:rsid w:val="00A009BB"/>
    <w:rsid w:val="00A00C24"/>
    <w:rsid w:val="00A00CE4"/>
    <w:rsid w:val="00A010B2"/>
    <w:rsid w:val="00A01369"/>
    <w:rsid w:val="00A0270F"/>
    <w:rsid w:val="00A03EB3"/>
    <w:rsid w:val="00A03FD3"/>
    <w:rsid w:val="00A05109"/>
    <w:rsid w:val="00A0581A"/>
    <w:rsid w:val="00A05B3D"/>
    <w:rsid w:val="00A06D46"/>
    <w:rsid w:val="00A10277"/>
    <w:rsid w:val="00A10A67"/>
    <w:rsid w:val="00A1188A"/>
    <w:rsid w:val="00A134E1"/>
    <w:rsid w:val="00A136BB"/>
    <w:rsid w:val="00A13882"/>
    <w:rsid w:val="00A13ADB"/>
    <w:rsid w:val="00A13F20"/>
    <w:rsid w:val="00A14522"/>
    <w:rsid w:val="00A14CFF"/>
    <w:rsid w:val="00A15FA3"/>
    <w:rsid w:val="00A16EBF"/>
    <w:rsid w:val="00A1711F"/>
    <w:rsid w:val="00A2081D"/>
    <w:rsid w:val="00A24212"/>
    <w:rsid w:val="00A24A33"/>
    <w:rsid w:val="00A27424"/>
    <w:rsid w:val="00A27B8D"/>
    <w:rsid w:val="00A30D8E"/>
    <w:rsid w:val="00A30DB6"/>
    <w:rsid w:val="00A312A4"/>
    <w:rsid w:val="00A3149A"/>
    <w:rsid w:val="00A3274B"/>
    <w:rsid w:val="00A32FBE"/>
    <w:rsid w:val="00A333CB"/>
    <w:rsid w:val="00A344FA"/>
    <w:rsid w:val="00A35237"/>
    <w:rsid w:val="00A35F89"/>
    <w:rsid w:val="00A36284"/>
    <w:rsid w:val="00A365DE"/>
    <w:rsid w:val="00A37B4C"/>
    <w:rsid w:val="00A4127C"/>
    <w:rsid w:val="00A42A8E"/>
    <w:rsid w:val="00A42B6A"/>
    <w:rsid w:val="00A441ED"/>
    <w:rsid w:val="00A4518D"/>
    <w:rsid w:val="00A4542A"/>
    <w:rsid w:val="00A45FE6"/>
    <w:rsid w:val="00A47D17"/>
    <w:rsid w:val="00A50294"/>
    <w:rsid w:val="00A50EBE"/>
    <w:rsid w:val="00A51BBD"/>
    <w:rsid w:val="00A5239D"/>
    <w:rsid w:val="00A5257C"/>
    <w:rsid w:val="00A52F57"/>
    <w:rsid w:val="00A53074"/>
    <w:rsid w:val="00A5350C"/>
    <w:rsid w:val="00A53D62"/>
    <w:rsid w:val="00A54EFF"/>
    <w:rsid w:val="00A55AA3"/>
    <w:rsid w:val="00A56CF8"/>
    <w:rsid w:val="00A572E1"/>
    <w:rsid w:val="00A61C32"/>
    <w:rsid w:val="00A61DD8"/>
    <w:rsid w:val="00A62AC4"/>
    <w:rsid w:val="00A62BAE"/>
    <w:rsid w:val="00A62C38"/>
    <w:rsid w:val="00A636AD"/>
    <w:rsid w:val="00A64079"/>
    <w:rsid w:val="00A65B04"/>
    <w:rsid w:val="00A67983"/>
    <w:rsid w:val="00A67A4A"/>
    <w:rsid w:val="00A67D19"/>
    <w:rsid w:val="00A701B3"/>
    <w:rsid w:val="00A70C0A"/>
    <w:rsid w:val="00A71725"/>
    <w:rsid w:val="00A71C7A"/>
    <w:rsid w:val="00A72020"/>
    <w:rsid w:val="00A72293"/>
    <w:rsid w:val="00A72C67"/>
    <w:rsid w:val="00A7305F"/>
    <w:rsid w:val="00A745FE"/>
    <w:rsid w:val="00A758E1"/>
    <w:rsid w:val="00A75BFE"/>
    <w:rsid w:val="00A769A6"/>
    <w:rsid w:val="00A76BA1"/>
    <w:rsid w:val="00A77197"/>
    <w:rsid w:val="00A77E02"/>
    <w:rsid w:val="00A77F58"/>
    <w:rsid w:val="00A81AD5"/>
    <w:rsid w:val="00A8366E"/>
    <w:rsid w:val="00A83901"/>
    <w:rsid w:val="00A85CA4"/>
    <w:rsid w:val="00A869A5"/>
    <w:rsid w:val="00A876CA"/>
    <w:rsid w:val="00A87D21"/>
    <w:rsid w:val="00A90541"/>
    <w:rsid w:val="00A91DBE"/>
    <w:rsid w:val="00A91DCA"/>
    <w:rsid w:val="00A94CDB"/>
    <w:rsid w:val="00A9500B"/>
    <w:rsid w:val="00A9516D"/>
    <w:rsid w:val="00A96304"/>
    <w:rsid w:val="00A97AC4"/>
    <w:rsid w:val="00A97DC1"/>
    <w:rsid w:val="00AA1562"/>
    <w:rsid w:val="00AA1584"/>
    <w:rsid w:val="00AA2C77"/>
    <w:rsid w:val="00AA39CF"/>
    <w:rsid w:val="00AA3D5F"/>
    <w:rsid w:val="00AA3FD8"/>
    <w:rsid w:val="00AA56C9"/>
    <w:rsid w:val="00AA5A0E"/>
    <w:rsid w:val="00AA69DF"/>
    <w:rsid w:val="00AA74D3"/>
    <w:rsid w:val="00AA7B34"/>
    <w:rsid w:val="00AB0502"/>
    <w:rsid w:val="00AB0A35"/>
    <w:rsid w:val="00AB0B3D"/>
    <w:rsid w:val="00AB1512"/>
    <w:rsid w:val="00AB205D"/>
    <w:rsid w:val="00AB22DD"/>
    <w:rsid w:val="00AB247F"/>
    <w:rsid w:val="00AB2B0C"/>
    <w:rsid w:val="00AB2EBC"/>
    <w:rsid w:val="00AB3A57"/>
    <w:rsid w:val="00AB41D4"/>
    <w:rsid w:val="00AB4D3B"/>
    <w:rsid w:val="00AB57F7"/>
    <w:rsid w:val="00AB5882"/>
    <w:rsid w:val="00AB58BF"/>
    <w:rsid w:val="00AB5B80"/>
    <w:rsid w:val="00AB5D66"/>
    <w:rsid w:val="00AB649F"/>
    <w:rsid w:val="00AC0885"/>
    <w:rsid w:val="00AC2CE7"/>
    <w:rsid w:val="00AC2EDC"/>
    <w:rsid w:val="00AC4F7A"/>
    <w:rsid w:val="00AC5CE6"/>
    <w:rsid w:val="00AC61D8"/>
    <w:rsid w:val="00AD134A"/>
    <w:rsid w:val="00AD14C7"/>
    <w:rsid w:val="00AD1983"/>
    <w:rsid w:val="00AD2865"/>
    <w:rsid w:val="00AD3598"/>
    <w:rsid w:val="00AD37E5"/>
    <w:rsid w:val="00AD4769"/>
    <w:rsid w:val="00AD529B"/>
    <w:rsid w:val="00AD543B"/>
    <w:rsid w:val="00AE072F"/>
    <w:rsid w:val="00AE151A"/>
    <w:rsid w:val="00AE3A5F"/>
    <w:rsid w:val="00AE40B2"/>
    <w:rsid w:val="00AE438B"/>
    <w:rsid w:val="00AF0BCE"/>
    <w:rsid w:val="00AF2379"/>
    <w:rsid w:val="00AF29C5"/>
    <w:rsid w:val="00AF2DC0"/>
    <w:rsid w:val="00AF3678"/>
    <w:rsid w:val="00AF3A3D"/>
    <w:rsid w:val="00AF3DA5"/>
    <w:rsid w:val="00AF41F7"/>
    <w:rsid w:val="00AF48FB"/>
    <w:rsid w:val="00AF5DC4"/>
    <w:rsid w:val="00AF7CAF"/>
    <w:rsid w:val="00B002C6"/>
    <w:rsid w:val="00B00864"/>
    <w:rsid w:val="00B0201E"/>
    <w:rsid w:val="00B02086"/>
    <w:rsid w:val="00B02218"/>
    <w:rsid w:val="00B02E03"/>
    <w:rsid w:val="00B031F3"/>
    <w:rsid w:val="00B033F5"/>
    <w:rsid w:val="00B0354E"/>
    <w:rsid w:val="00B04CF5"/>
    <w:rsid w:val="00B05497"/>
    <w:rsid w:val="00B05B05"/>
    <w:rsid w:val="00B06095"/>
    <w:rsid w:val="00B0646F"/>
    <w:rsid w:val="00B07939"/>
    <w:rsid w:val="00B07D11"/>
    <w:rsid w:val="00B10D08"/>
    <w:rsid w:val="00B1113D"/>
    <w:rsid w:val="00B1468E"/>
    <w:rsid w:val="00B14910"/>
    <w:rsid w:val="00B14C25"/>
    <w:rsid w:val="00B15048"/>
    <w:rsid w:val="00B17F98"/>
    <w:rsid w:val="00B20F53"/>
    <w:rsid w:val="00B21CFC"/>
    <w:rsid w:val="00B21D44"/>
    <w:rsid w:val="00B22DCB"/>
    <w:rsid w:val="00B231C2"/>
    <w:rsid w:val="00B235B6"/>
    <w:rsid w:val="00B27295"/>
    <w:rsid w:val="00B27BCE"/>
    <w:rsid w:val="00B30709"/>
    <w:rsid w:val="00B30BA4"/>
    <w:rsid w:val="00B30CC1"/>
    <w:rsid w:val="00B30E9E"/>
    <w:rsid w:val="00B31208"/>
    <w:rsid w:val="00B31666"/>
    <w:rsid w:val="00B31C69"/>
    <w:rsid w:val="00B31D94"/>
    <w:rsid w:val="00B322AA"/>
    <w:rsid w:val="00B32AC5"/>
    <w:rsid w:val="00B32F08"/>
    <w:rsid w:val="00B33D9A"/>
    <w:rsid w:val="00B3435B"/>
    <w:rsid w:val="00B34399"/>
    <w:rsid w:val="00B35E54"/>
    <w:rsid w:val="00B360A9"/>
    <w:rsid w:val="00B37DDB"/>
    <w:rsid w:val="00B41702"/>
    <w:rsid w:val="00B41981"/>
    <w:rsid w:val="00B42121"/>
    <w:rsid w:val="00B4377A"/>
    <w:rsid w:val="00B43BCA"/>
    <w:rsid w:val="00B43DD0"/>
    <w:rsid w:val="00B446C0"/>
    <w:rsid w:val="00B45CFB"/>
    <w:rsid w:val="00B45FD0"/>
    <w:rsid w:val="00B4618F"/>
    <w:rsid w:val="00B4692B"/>
    <w:rsid w:val="00B46CDC"/>
    <w:rsid w:val="00B47B2D"/>
    <w:rsid w:val="00B47BA6"/>
    <w:rsid w:val="00B50390"/>
    <w:rsid w:val="00B508CF"/>
    <w:rsid w:val="00B51074"/>
    <w:rsid w:val="00B526E3"/>
    <w:rsid w:val="00B536CC"/>
    <w:rsid w:val="00B5427A"/>
    <w:rsid w:val="00B54611"/>
    <w:rsid w:val="00B55DE7"/>
    <w:rsid w:val="00B56688"/>
    <w:rsid w:val="00B56782"/>
    <w:rsid w:val="00B57665"/>
    <w:rsid w:val="00B57E38"/>
    <w:rsid w:val="00B57F1F"/>
    <w:rsid w:val="00B60364"/>
    <w:rsid w:val="00B60DB5"/>
    <w:rsid w:val="00B612A4"/>
    <w:rsid w:val="00B61DC4"/>
    <w:rsid w:val="00B62465"/>
    <w:rsid w:val="00B6351D"/>
    <w:rsid w:val="00B64902"/>
    <w:rsid w:val="00B651B8"/>
    <w:rsid w:val="00B65205"/>
    <w:rsid w:val="00B6554F"/>
    <w:rsid w:val="00B66617"/>
    <w:rsid w:val="00B67660"/>
    <w:rsid w:val="00B6767F"/>
    <w:rsid w:val="00B707B0"/>
    <w:rsid w:val="00B71744"/>
    <w:rsid w:val="00B723FB"/>
    <w:rsid w:val="00B728D5"/>
    <w:rsid w:val="00B7301E"/>
    <w:rsid w:val="00B7399E"/>
    <w:rsid w:val="00B73B92"/>
    <w:rsid w:val="00B73FBF"/>
    <w:rsid w:val="00B7464C"/>
    <w:rsid w:val="00B75C5B"/>
    <w:rsid w:val="00B7624A"/>
    <w:rsid w:val="00B7666E"/>
    <w:rsid w:val="00B76E9F"/>
    <w:rsid w:val="00B807C2"/>
    <w:rsid w:val="00B81D60"/>
    <w:rsid w:val="00B82B18"/>
    <w:rsid w:val="00B83A88"/>
    <w:rsid w:val="00B849F3"/>
    <w:rsid w:val="00B85116"/>
    <w:rsid w:val="00B8657C"/>
    <w:rsid w:val="00B86A86"/>
    <w:rsid w:val="00B86E46"/>
    <w:rsid w:val="00B9031E"/>
    <w:rsid w:val="00B9054D"/>
    <w:rsid w:val="00B90B62"/>
    <w:rsid w:val="00B91B5F"/>
    <w:rsid w:val="00B91C56"/>
    <w:rsid w:val="00B91F74"/>
    <w:rsid w:val="00B920DF"/>
    <w:rsid w:val="00B921CD"/>
    <w:rsid w:val="00B928C0"/>
    <w:rsid w:val="00B9393D"/>
    <w:rsid w:val="00B944B3"/>
    <w:rsid w:val="00B947C2"/>
    <w:rsid w:val="00B94B6B"/>
    <w:rsid w:val="00B95A32"/>
    <w:rsid w:val="00B95E44"/>
    <w:rsid w:val="00B963E1"/>
    <w:rsid w:val="00B96723"/>
    <w:rsid w:val="00B969B8"/>
    <w:rsid w:val="00B97C43"/>
    <w:rsid w:val="00B97DCA"/>
    <w:rsid w:val="00BA022A"/>
    <w:rsid w:val="00BA06B8"/>
    <w:rsid w:val="00BA20FF"/>
    <w:rsid w:val="00BA2B57"/>
    <w:rsid w:val="00BA3AEC"/>
    <w:rsid w:val="00BA3B7F"/>
    <w:rsid w:val="00BA4AC2"/>
    <w:rsid w:val="00BA7B90"/>
    <w:rsid w:val="00BB0829"/>
    <w:rsid w:val="00BB09BB"/>
    <w:rsid w:val="00BB09F3"/>
    <w:rsid w:val="00BB1873"/>
    <w:rsid w:val="00BB267E"/>
    <w:rsid w:val="00BB3023"/>
    <w:rsid w:val="00BB33D0"/>
    <w:rsid w:val="00BB3871"/>
    <w:rsid w:val="00BB3CCB"/>
    <w:rsid w:val="00BB5617"/>
    <w:rsid w:val="00BB5B22"/>
    <w:rsid w:val="00BB7807"/>
    <w:rsid w:val="00BB7B99"/>
    <w:rsid w:val="00BC3967"/>
    <w:rsid w:val="00BC3A41"/>
    <w:rsid w:val="00BC456C"/>
    <w:rsid w:val="00BC45EF"/>
    <w:rsid w:val="00BC4605"/>
    <w:rsid w:val="00BC4DE2"/>
    <w:rsid w:val="00BC4F91"/>
    <w:rsid w:val="00BC70AA"/>
    <w:rsid w:val="00BC7428"/>
    <w:rsid w:val="00BD1132"/>
    <w:rsid w:val="00BD11D4"/>
    <w:rsid w:val="00BD13D8"/>
    <w:rsid w:val="00BD3F86"/>
    <w:rsid w:val="00BD4776"/>
    <w:rsid w:val="00BD4E9D"/>
    <w:rsid w:val="00BD4F0E"/>
    <w:rsid w:val="00BD645E"/>
    <w:rsid w:val="00BD659A"/>
    <w:rsid w:val="00BD6E17"/>
    <w:rsid w:val="00BE00B9"/>
    <w:rsid w:val="00BE00CD"/>
    <w:rsid w:val="00BE0B8E"/>
    <w:rsid w:val="00BE0F17"/>
    <w:rsid w:val="00BE1758"/>
    <w:rsid w:val="00BE2D34"/>
    <w:rsid w:val="00BE4A41"/>
    <w:rsid w:val="00BE5A34"/>
    <w:rsid w:val="00BE5E1C"/>
    <w:rsid w:val="00BE6AEA"/>
    <w:rsid w:val="00BE6FF4"/>
    <w:rsid w:val="00BE7F49"/>
    <w:rsid w:val="00BF0677"/>
    <w:rsid w:val="00BF21E4"/>
    <w:rsid w:val="00BF31E5"/>
    <w:rsid w:val="00BF48FD"/>
    <w:rsid w:val="00BF4E60"/>
    <w:rsid w:val="00BF5887"/>
    <w:rsid w:val="00BF6E38"/>
    <w:rsid w:val="00BF75EA"/>
    <w:rsid w:val="00BF7CDE"/>
    <w:rsid w:val="00C00ECF"/>
    <w:rsid w:val="00C03DCC"/>
    <w:rsid w:val="00C04309"/>
    <w:rsid w:val="00C0487C"/>
    <w:rsid w:val="00C04A33"/>
    <w:rsid w:val="00C052B3"/>
    <w:rsid w:val="00C06446"/>
    <w:rsid w:val="00C06F17"/>
    <w:rsid w:val="00C07496"/>
    <w:rsid w:val="00C074EB"/>
    <w:rsid w:val="00C111F3"/>
    <w:rsid w:val="00C117F6"/>
    <w:rsid w:val="00C11D48"/>
    <w:rsid w:val="00C12C5A"/>
    <w:rsid w:val="00C133E9"/>
    <w:rsid w:val="00C13F9B"/>
    <w:rsid w:val="00C13FD3"/>
    <w:rsid w:val="00C16278"/>
    <w:rsid w:val="00C16884"/>
    <w:rsid w:val="00C170C1"/>
    <w:rsid w:val="00C1729F"/>
    <w:rsid w:val="00C17D0B"/>
    <w:rsid w:val="00C21315"/>
    <w:rsid w:val="00C2134D"/>
    <w:rsid w:val="00C21886"/>
    <w:rsid w:val="00C21DB5"/>
    <w:rsid w:val="00C22230"/>
    <w:rsid w:val="00C230A4"/>
    <w:rsid w:val="00C2318A"/>
    <w:rsid w:val="00C231F6"/>
    <w:rsid w:val="00C2362A"/>
    <w:rsid w:val="00C23E5C"/>
    <w:rsid w:val="00C23F63"/>
    <w:rsid w:val="00C2561A"/>
    <w:rsid w:val="00C267B6"/>
    <w:rsid w:val="00C26A4E"/>
    <w:rsid w:val="00C27825"/>
    <w:rsid w:val="00C31805"/>
    <w:rsid w:val="00C3228D"/>
    <w:rsid w:val="00C3230E"/>
    <w:rsid w:val="00C343D6"/>
    <w:rsid w:val="00C360A1"/>
    <w:rsid w:val="00C36221"/>
    <w:rsid w:val="00C37D05"/>
    <w:rsid w:val="00C4055D"/>
    <w:rsid w:val="00C41256"/>
    <w:rsid w:val="00C41988"/>
    <w:rsid w:val="00C43B99"/>
    <w:rsid w:val="00C43ED2"/>
    <w:rsid w:val="00C45D32"/>
    <w:rsid w:val="00C462D3"/>
    <w:rsid w:val="00C47CC3"/>
    <w:rsid w:val="00C507F3"/>
    <w:rsid w:val="00C51617"/>
    <w:rsid w:val="00C51949"/>
    <w:rsid w:val="00C51A24"/>
    <w:rsid w:val="00C51F5E"/>
    <w:rsid w:val="00C52047"/>
    <w:rsid w:val="00C5406A"/>
    <w:rsid w:val="00C5413E"/>
    <w:rsid w:val="00C5484E"/>
    <w:rsid w:val="00C5499D"/>
    <w:rsid w:val="00C54D27"/>
    <w:rsid w:val="00C55AB9"/>
    <w:rsid w:val="00C56B08"/>
    <w:rsid w:val="00C56F12"/>
    <w:rsid w:val="00C571CE"/>
    <w:rsid w:val="00C60FBB"/>
    <w:rsid w:val="00C61438"/>
    <w:rsid w:val="00C64B61"/>
    <w:rsid w:val="00C65073"/>
    <w:rsid w:val="00C66805"/>
    <w:rsid w:val="00C6701F"/>
    <w:rsid w:val="00C67553"/>
    <w:rsid w:val="00C677E0"/>
    <w:rsid w:val="00C67B66"/>
    <w:rsid w:val="00C70176"/>
    <w:rsid w:val="00C707AC"/>
    <w:rsid w:val="00C70864"/>
    <w:rsid w:val="00C70982"/>
    <w:rsid w:val="00C712AB"/>
    <w:rsid w:val="00C72181"/>
    <w:rsid w:val="00C739E8"/>
    <w:rsid w:val="00C73A8A"/>
    <w:rsid w:val="00C757D8"/>
    <w:rsid w:val="00C766A1"/>
    <w:rsid w:val="00C7695C"/>
    <w:rsid w:val="00C76AD7"/>
    <w:rsid w:val="00C76C87"/>
    <w:rsid w:val="00C77042"/>
    <w:rsid w:val="00C7758C"/>
    <w:rsid w:val="00C80008"/>
    <w:rsid w:val="00C81453"/>
    <w:rsid w:val="00C8147D"/>
    <w:rsid w:val="00C8257C"/>
    <w:rsid w:val="00C82746"/>
    <w:rsid w:val="00C8391E"/>
    <w:rsid w:val="00C839D2"/>
    <w:rsid w:val="00C83DDB"/>
    <w:rsid w:val="00C85015"/>
    <w:rsid w:val="00C862ED"/>
    <w:rsid w:val="00C87322"/>
    <w:rsid w:val="00C87691"/>
    <w:rsid w:val="00C87726"/>
    <w:rsid w:val="00C87928"/>
    <w:rsid w:val="00C929DC"/>
    <w:rsid w:val="00C92AEF"/>
    <w:rsid w:val="00C92B4A"/>
    <w:rsid w:val="00C93630"/>
    <w:rsid w:val="00C93C26"/>
    <w:rsid w:val="00C945A1"/>
    <w:rsid w:val="00C94A9F"/>
    <w:rsid w:val="00C9576D"/>
    <w:rsid w:val="00C95A6D"/>
    <w:rsid w:val="00C96699"/>
    <w:rsid w:val="00C97EFB"/>
    <w:rsid w:val="00CA03C2"/>
    <w:rsid w:val="00CA041F"/>
    <w:rsid w:val="00CA0626"/>
    <w:rsid w:val="00CA0674"/>
    <w:rsid w:val="00CA0C44"/>
    <w:rsid w:val="00CA1AF8"/>
    <w:rsid w:val="00CA3233"/>
    <w:rsid w:val="00CA4F0C"/>
    <w:rsid w:val="00CA54FD"/>
    <w:rsid w:val="00CA5A57"/>
    <w:rsid w:val="00CA60C7"/>
    <w:rsid w:val="00CA6D0F"/>
    <w:rsid w:val="00CA6F93"/>
    <w:rsid w:val="00CA749D"/>
    <w:rsid w:val="00CA79EB"/>
    <w:rsid w:val="00CB1983"/>
    <w:rsid w:val="00CB1C13"/>
    <w:rsid w:val="00CB2C44"/>
    <w:rsid w:val="00CB3F7E"/>
    <w:rsid w:val="00CB5138"/>
    <w:rsid w:val="00CB5413"/>
    <w:rsid w:val="00CB55BD"/>
    <w:rsid w:val="00CB5A31"/>
    <w:rsid w:val="00CB71EF"/>
    <w:rsid w:val="00CB76C3"/>
    <w:rsid w:val="00CB7D08"/>
    <w:rsid w:val="00CC168D"/>
    <w:rsid w:val="00CC2EBE"/>
    <w:rsid w:val="00CC3778"/>
    <w:rsid w:val="00CC3FA6"/>
    <w:rsid w:val="00CC6A73"/>
    <w:rsid w:val="00CC6F13"/>
    <w:rsid w:val="00CC7A7D"/>
    <w:rsid w:val="00CD272E"/>
    <w:rsid w:val="00CD284C"/>
    <w:rsid w:val="00CD32C4"/>
    <w:rsid w:val="00CD5C29"/>
    <w:rsid w:val="00CD7179"/>
    <w:rsid w:val="00CE0616"/>
    <w:rsid w:val="00CE17A3"/>
    <w:rsid w:val="00CE2A2A"/>
    <w:rsid w:val="00CE2CA9"/>
    <w:rsid w:val="00CE3798"/>
    <w:rsid w:val="00CE38E8"/>
    <w:rsid w:val="00CE3D90"/>
    <w:rsid w:val="00CE422B"/>
    <w:rsid w:val="00CE439F"/>
    <w:rsid w:val="00CE5781"/>
    <w:rsid w:val="00CE6BC7"/>
    <w:rsid w:val="00CE6DE0"/>
    <w:rsid w:val="00CE75BC"/>
    <w:rsid w:val="00CF008B"/>
    <w:rsid w:val="00CF10E1"/>
    <w:rsid w:val="00CF1F13"/>
    <w:rsid w:val="00CF39EA"/>
    <w:rsid w:val="00CF440F"/>
    <w:rsid w:val="00CF47A5"/>
    <w:rsid w:val="00CF4B71"/>
    <w:rsid w:val="00CF5E0A"/>
    <w:rsid w:val="00CF60CF"/>
    <w:rsid w:val="00CF6A2B"/>
    <w:rsid w:val="00CF6AA8"/>
    <w:rsid w:val="00CF75FE"/>
    <w:rsid w:val="00CF7CB2"/>
    <w:rsid w:val="00D01A5E"/>
    <w:rsid w:val="00D01D91"/>
    <w:rsid w:val="00D020F7"/>
    <w:rsid w:val="00D02368"/>
    <w:rsid w:val="00D037CA"/>
    <w:rsid w:val="00D0412D"/>
    <w:rsid w:val="00D04933"/>
    <w:rsid w:val="00D05488"/>
    <w:rsid w:val="00D05498"/>
    <w:rsid w:val="00D07644"/>
    <w:rsid w:val="00D07B43"/>
    <w:rsid w:val="00D1026B"/>
    <w:rsid w:val="00D10D7E"/>
    <w:rsid w:val="00D127F5"/>
    <w:rsid w:val="00D12958"/>
    <w:rsid w:val="00D12DAD"/>
    <w:rsid w:val="00D133CF"/>
    <w:rsid w:val="00D13F21"/>
    <w:rsid w:val="00D1421F"/>
    <w:rsid w:val="00D147BA"/>
    <w:rsid w:val="00D16FE6"/>
    <w:rsid w:val="00D173FE"/>
    <w:rsid w:val="00D17533"/>
    <w:rsid w:val="00D20697"/>
    <w:rsid w:val="00D216F0"/>
    <w:rsid w:val="00D21D71"/>
    <w:rsid w:val="00D21DE7"/>
    <w:rsid w:val="00D221AA"/>
    <w:rsid w:val="00D22874"/>
    <w:rsid w:val="00D22A00"/>
    <w:rsid w:val="00D2660D"/>
    <w:rsid w:val="00D27227"/>
    <w:rsid w:val="00D2725A"/>
    <w:rsid w:val="00D276D5"/>
    <w:rsid w:val="00D277AA"/>
    <w:rsid w:val="00D305AF"/>
    <w:rsid w:val="00D316D1"/>
    <w:rsid w:val="00D31D84"/>
    <w:rsid w:val="00D34332"/>
    <w:rsid w:val="00D35EBB"/>
    <w:rsid w:val="00D3782D"/>
    <w:rsid w:val="00D37F54"/>
    <w:rsid w:val="00D4068D"/>
    <w:rsid w:val="00D41E20"/>
    <w:rsid w:val="00D425B9"/>
    <w:rsid w:val="00D428B9"/>
    <w:rsid w:val="00D431E9"/>
    <w:rsid w:val="00D440ED"/>
    <w:rsid w:val="00D442E6"/>
    <w:rsid w:val="00D446C3"/>
    <w:rsid w:val="00D45E70"/>
    <w:rsid w:val="00D46459"/>
    <w:rsid w:val="00D477B6"/>
    <w:rsid w:val="00D47AD7"/>
    <w:rsid w:val="00D47AE6"/>
    <w:rsid w:val="00D50A2F"/>
    <w:rsid w:val="00D514E6"/>
    <w:rsid w:val="00D5391B"/>
    <w:rsid w:val="00D53A8D"/>
    <w:rsid w:val="00D53FBA"/>
    <w:rsid w:val="00D5479C"/>
    <w:rsid w:val="00D54BD5"/>
    <w:rsid w:val="00D55A45"/>
    <w:rsid w:val="00D57B06"/>
    <w:rsid w:val="00D57B27"/>
    <w:rsid w:val="00D60004"/>
    <w:rsid w:val="00D606BF"/>
    <w:rsid w:val="00D61318"/>
    <w:rsid w:val="00D61E90"/>
    <w:rsid w:val="00D6263C"/>
    <w:rsid w:val="00D628EE"/>
    <w:rsid w:val="00D629EA"/>
    <w:rsid w:val="00D62A26"/>
    <w:rsid w:val="00D62F4A"/>
    <w:rsid w:val="00D634B2"/>
    <w:rsid w:val="00D63AC7"/>
    <w:rsid w:val="00D64A34"/>
    <w:rsid w:val="00D6569E"/>
    <w:rsid w:val="00D65DC6"/>
    <w:rsid w:val="00D66E76"/>
    <w:rsid w:val="00D67797"/>
    <w:rsid w:val="00D677FF"/>
    <w:rsid w:val="00D67E27"/>
    <w:rsid w:val="00D70551"/>
    <w:rsid w:val="00D70B09"/>
    <w:rsid w:val="00D70C8B"/>
    <w:rsid w:val="00D71EC5"/>
    <w:rsid w:val="00D728EB"/>
    <w:rsid w:val="00D770DB"/>
    <w:rsid w:val="00D77868"/>
    <w:rsid w:val="00D813FB"/>
    <w:rsid w:val="00D8198F"/>
    <w:rsid w:val="00D81FD1"/>
    <w:rsid w:val="00D83BBD"/>
    <w:rsid w:val="00D842AE"/>
    <w:rsid w:val="00D842EE"/>
    <w:rsid w:val="00D84674"/>
    <w:rsid w:val="00D84A98"/>
    <w:rsid w:val="00D855CB"/>
    <w:rsid w:val="00D85FC2"/>
    <w:rsid w:val="00D86041"/>
    <w:rsid w:val="00D8708B"/>
    <w:rsid w:val="00D911E1"/>
    <w:rsid w:val="00D91532"/>
    <w:rsid w:val="00D92068"/>
    <w:rsid w:val="00D92096"/>
    <w:rsid w:val="00D922C9"/>
    <w:rsid w:val="00D922FD"/>
    <w:rsid w:val="00D927F9"/>
    <w:rsid w:val="00D932FD"/>
    <w:rsid w:val="00D93FC5"/>
    <w:rsid w:val="00D9728E"/>
    <w:rsid w:val="00D97AA6"/>
    <w:rsid w:val="00DA032D"/>
    <w:rsid w:val="00DA07B5"/>
    <w:rsid w:val="00DA1112"/>
    <w:rsid w:val="00DA1E9C"/>
    <w:rsid w:val="00DA42FB"/>
    <w:rsid w:val="00DA56E7"/>
    <w:rsid w:val="00DA5F7C"/>
    <w:rsid w:val="00DA7DA2"/>
    <w:rsid w:val="00DB010B"/>
    <w:rsid w:val="00DB0A01"/>
    <w:rsid w:val="00DB105B"/>
    <w:rsid w:val="00DB1D42"/>
    <w:rsid w:val="00DB1EAE"/>
    <w:rsid w:val="00DB260F"/>
    <w:rsid w:val="00DB3094"/>
    <w:rsid w:val="00DB3F53"/>
    <w:rsid w:val="00DB4CE5"/>
    <w:rsid w:val="00DB5455"/>
    <w:rsid w:val="00DB5EB0"/>
    <w:rsid w:val="00DB68A3"/>
    <w:rsid w:val="00DB6E27"/>
    <w:rsid w:val="00DB73AE"/>
    <w:rsid w:val="00DB78E9"/>
    <w:rsid w:val="00DB7F2E"/>
    <w:rsid w:val="00DB7F99"/>
    <w:rsid w:val="00DC059C"/>
    <w:rsid w:val="00DC0E29"/>
    <w:rsid w:val="00DC1158"/>
    <w:rsid w:val="00DC2067"/>
    <w:rsid w:val="00DC2557"/>
    <w:rsid w:val="00DC2784"/>
    <w:rsid w:val="00DC2CED"/>
    <w:rsid w:val="00DC2F05"/>
    <w:rsid w:val="00DC4175"/>
    <w:rsid w:val="00DC43B4"/>
    <w:rsid w:val="00DC464C"/>
    <w:rsid w:val="00DC4F9A"/>
    <w:rsid w:val="00DC5A9C"/>
    <w:rsid w:val="00DD1251"/>
    <w:rsid w:val="00DD1CA5"/>
    <w:rsid w:val="00DD1F77"/>
    <w:rsid w:val="00DD36E5"/>
    <w:rsid w:val="00DD39BF"/>
    <w:rsid w:val="00DD3A30"/>
    <w:rsid w:val="00DD3C3F"/>
    <w:rsid w:val="00DD3E05"/>
    <w:rsid w:val="00DD46FC"/>
    <w:rsid w:val="00DD471B"/>
    <w:rsid w:val="00DD689A"/>
    <w:rsid w:val="00DD694D"/>
    <w:rsid w:val="00DD7420"/>
    <w:rsid w:val="00DD76BB"/>
    <w:rsid w:val="00DE039E"/>
    <w:rsid w:val="00DE1393"/>
    <w:rsid w:val="00DE231B"/>
    <w:rsid w:val="00DE23FE"/>
    <w:rsid w:val="00DE2B21"/>
    <w:rsid w:val="00DE2FB7"/>
    <w:rsid w:val="00DE3046"/>
    <w:rsid w:val="00DE3EA1"/>
    <w:rsid w:val="00DE402F"/>
    <w:rsid w:val="00DE48E2"/>
    <w:rsid w:val="00DE4C6E"/>
    <w:rsid w:val="00DE76E2"/>
    <w:rsid w:val="00DF00DE"/>
    <w:rsid w:val="00DF0127"/>
    <w:rsid w:val="00DF0379"/>
    <w:rsid w:val="00DF09E1"/>
    <w:rsid w:val="00DF1300"/>
    <w:rsid w:val="00DF166C"/>
    <w:rsid w:val="00DF1E08"/>
    <w:rsid w:val="00DF4495"/>
    <w:rsid w:val="00DF4918"/>
    <w:rsid w:val="00DF5008"/>
    <w:rsid w:val="00DF5078"/>
    <w:rsid w:val="00DF557D"/>
    <w:rsid w:val="00DF6F48"/>
    <w:rsid w:val="00DF75AA"/>
    <w:rsid w:val="00E00FF4"/>
    <w:rsid w:val="00E0232A"/>
    <w:rsid w:val="00E03796"/>
    <w:rsid w:val="00E05805"/>
    <w:rsid w:val="00E0632F"/>
    <w:rsid w:val="00E065D5"/>
    <w:rsid w:val="00E102F2"/>
    <w:rsid w:val="00E1090D"/>
    <w:rsid w:val="00E128BB"/>
    <w:rsid w:val="00E12A76"/>
    <w:rsid w:val="00E134C0"/>
    <w:rsid w:val="00E142AA"/>
    <w:rsid w:val="00E14532"/>
    <w:rsid w:val="00E14668"/>
    <w:rsid w:val="00E148AD"/>
    <w:rsid w:val="00E14ECB"/>
    <w:rsid w:val="00E14F2F"/>
    <w:rsid w:val="00E167EF"/>
    <w:rsid w:val="00E177BB"/>
    <w:rsid w:val="00E205C7"/>
    <w:rsid w:val="00E206B6"/>
    <w:rsid w:val="00E221DD"/>
    <w:rsid w:val="00E236CC"/>
    <w:rsid w:val="00E242E9"/>
    <w:rsid w:val="00E24F48"/>
    <w:rsid w:val="00E27006"/>
    <w:rsid w:val="00E27BF1"/>
    <w:rsid w:val="00E30494"/>
    <w:rsid w:val="00E30DBD"/>
    <w:rsid w:val="00E31C05"/>
    <w:rsid w:val="00E31F35"/>
    <w:rsid w:val="00E32E26"/>
    <w:rsid w:val="00E332A4"/>
    <w:rsid w:val="00E339C0"/>
    <w:rsid w:val="00E33CA4"/>
    <w:rsid w:val="00E34045"/>
    <w:rsid w:val="00E343EB"/>
    <w:rsid w:val="00E35231"/>
    <w:rsid w:val="00E35337"/>
    <w:rsid w:val="00E3541C"/>
    <w:rsid w:val="00E354C8"/>
    <w:rsid w:val="00E367C1"/>
    <w:rsid w:val="00E36AFC"/>
    <w:rsid w:val="00E37032"/>
    <w:rsid w:val="00E3748D"/>
    <w:rsid w:val="00E37F6C"/>
    <w:rsid w:val="00E42256"/>
    <w:rsid w:val="00E42872"/>
    <w:rsid w:val="00E4380D"/>
    <w:rsid w:val="00E46734"/>
    <w:rsid w:val="00E50631"/>
    <w:rsid w:val="00E50882"/>
    <w:rsid w:val="00E5244F"/>
    <w:rsid w:val="00E52723"/>
    <w:rsid w:val="00E5273E"/>
    <w:rsid w:val="00E53C88"/>
    <w:rsid w:val="00E53E40"/>
    <w:rsid w:val="00E5466F"/>
    <w:rsid w:val="00E54B43"/>
    <w:rsid w:val="00E5537F"/>
    <w:rsid w:val="00E5593B"/>
    <w:rsid w:val="00E5689C"/>
    <w:rsid w:val="00E57986"/>
    <w:rsid w:val="00E61B8C"/>
    <w:rsid w:val="00E63098"/>
    <w:rsid w:val="00E630C0"/>
    <w:rsid w:val="00E64396"/>
    <w:rsid w:val="00E64491"/>
    <w:rsid w:val="00E648A2"/>
    <w:rsid w:val="00E64A4D"/>
    <w:rsid w:val="00E64F80"/>
    <w:rsid w:val="00E66B83"/>
    <w:rsid w:val="00E66C77"/>
    <w:rsid w:val="00E70A6D"/>
    <w:rsid w:val="00E71C21"/>
    <w:rsid w:val="00E729FA"/>
    <w:rsid w:val="00E7416A"/>
    <w:rsid w:val="00E7433A"/>
    <w:rsid w:val="00E74664"/>
    <w:rsid w:val="00E748B4"/>
    <w:rsid w:val="00E75179"/>
    <w:rsid w:val="00E75B42"/>
    <w:rsid w:val="00E762B2"/>
    <w:rsid w:val="00E77111"/>
    <w:rsid w:val="00E830F3"/>
    <w:rsid w:val="00E85895"/>
    <w:rsid w:val="00E86577"/>
    <w:rsid w:val="00E87068"/>
    <w:rsid w:val="00E87125"/>
    <w:rsid w:val="00E900E6"/>
    <w:rsid w:val="00E9111E"/>
    <w:rsid w:val="00E9324F"/>
    <w:rsid w:val="00E933B3"/>
    <w:rsid w:val="00E9515B"/>
    <w:rsid w:val="00E95823"/>
    <w:rsid w:val="00E97658"/>
    <w:rsid w:val="00EA02E2"/>
    <w:rsid w:val="00EA03BA"/>
    <w:rsid w:val="00EA0721"/>
    <w:rsid w:val="00EA0A06"/>
    <w:rsid w:val="00EA10AD"/>
    <w:rsid w:val="00EA1C3D"/>
    <w:rsid w:val="00EA3722"/>
    <w:rsid w:val="00EA3808"/>
    <w:rsid w:val="00EA3DD7"/>
    <w:rsid w:val="00EA4E25"/>
    <w:rsid w:val="00EA4E94"/>
    <w:rsid w:val="00EA5CEA"/>
    <w:rsid w:val="00EA620A"/>
    <w:rsid w:val="00EA6E0E"/>
    <w:rsid w:val="00EA7007"/>
    <w:rsid w:val="00EB08E3"/>
    <w:rsid w:val="00EB0958"/>
    <w:rsid w:val="00EB1190"/>
    <w:rsid w:val="00EB14DA"/>
    <w:rsid w:val="00EB1876"/>
    <w:rsid w:val="00EB1D75"/>
    <w:rsid w:val="00EB1DB4"/>
    <w:rsid w:val="00EB1EFD"/>
    <w:rsid w:val="00EB3755"/>
    <w:rsid w:val="00EB3F0E"/>
    <w:rsid w:val="00EB3FFD"/>
    <w:rsid w:val="00EB5930"/>
    <w:rsid w:val="00EB6819"/>
    <w:rsid w:val="00EB7128"/>
    <w:rsid w:val="00EC10FA"/>
    <w:rsid w:val="00EC2E8C"/>
    <w:rsid w:val="00EC33A5"/>
    <w:rsid w:val="00EC489B"/>
    <w:rsid w:val="00EC4AF5"/>
    <w:rsid w:val="00EC4AFC"/>
    <w:rsid w:val="00EC649E"/>
    <w:rsid w:val="00EC6809"/>
    <w:rsid w:val="00EC79DD"/>
    <w:rsid w:val="00EC7CB3"/>
    <w:rsid w:val="00ED1161"/>
    <w:rsid w:val="00ED14D1"/>
    <w:rsid w:val="00ED221D"/>
    <w:rsid w:val="00ED25D8"/>
    <w:rsid w:val="00ED2A79"/>
    <w:rsid w:val="00ED2AE0"/>
    <w:rsid w:val="00ED2B72"/>
    <w:rsid w:val="00ED3E6C"/>
    <w:rsid w:val="00ED52EF"/>
    <w:rsid w:val="00ED7096"/>
    <w:rsid w:val="00ED7241"/>
    <w:rsid w:val="00EE0B94"/>
    <w:rsid w:val="00EE0F9A"/>
    <w:rsid w:val="00EE37A3"/>
    <w:rsid w:val="00EE3F0C"/>
    <w:rsid w:val="00EE58F2"/>
    <w:rsid w:val="00EE5C28"/>
    <w:rsid w:val="00EE67F3"/>
    <w:rsid w:val="00EE752C"/>
    <w:rsid w:val="00EE76AC"/>
    <w:rsid w:val="00EE7993"/>
    <w:rsid w:val="00EF0453"/>
    <w:rsid w:val="00EF0D42"/>
    <w:rsid w:val="00EF1A29"/>
    <w:rsid w:val="00EF30FD"/>
    <w:rsid w:val="00EF48BF"/>
    <w:rsid w:val="00EF5157"/>
    <w:rsid w:val="00EF58F3"/>
    <w:rsid w:val="00EF7B12"/>
    <w:rsid w:val="00F00875"/>
    <w:rsid w:val="00F00B37"/>
    <w:rsid w:val="00F01026"/>
    <w:rsid w:val="00F012AE"/>
    <w:rsid w:val="00F018CE"/>
    <w:rsid w:val="00F02B17"/>
    <w:rsid w:val="00F02F9D"/>
    <w:rsid w:val="00F02FEB"/>
    <w:rsid w:val="00F0392A"/>
    <w:rsid w:val="00F039D5"/>
    <w:rsid w:val="00F03B0E"/>
    <w:rsid w:val="00F04273"/>
    <w:rsid w:val="00F0703E"/>
    <w:rsid w:val="00F072FA"/>
    <w:rsid w:val="00F1046B"/>
    <w:rsid w:val="00F105F4"/>
    <w:rsid w:val="00F10F26"/>
    <w:rsid w:val="00F1121D"/>
    <w:rsid w:val="00F12132"/>
    <w:rsid w:val="00F13520"/>
    <w:rsid w:val="00F13578"/>
    <w:rsid w:val="00F13DC6"/>
    <w:rsid w:val="00F1510F"/>
    <w:rsid w:val="00F1539A"/>
    <w:rsid w:val="00F161D7"/>
    <w:rsid w:val="00F17A68"/>
    <w:rsid w:val="00F208D3"/>
    <w:rsid w:val="00F20E66"/>
    <w:rsid w:val="00F224DF"/>
    <w:rsid w:val="00F22BB6"/>
    <w:rsid w:val="00F22DE7"/>
    <w:rsid w:val="00F22E3C"/>
    <w:rsid w:val="00F22F08"/>
    <w:rsid w:val="00F2342C"/>
    <w:rsid w:val="00F23570"/>
    <w:rsid w:val="00F238A0"/>
    <w:rsid w:val="00F252D9"/>
    <w:rsid w:val="00F25602"/>
    <w:rsid w:val="00F26422"/>
    <w:rsid w:val="00F26E28"/>
    <w:rsid w:val="00F304A5"/>
    <w:rsid w:val="00F30FD1"/>
    <w:rsid w:val="00F31041"/>
    <w:rsid w:val="00F31855"/>
    <w:rsid w:val="00F31EC7"/>
    <w:rsid w:val="00F349B0"/>
    <w:rsid w:val="00F349F4"/>
    <w:rsid w:val="00F34E74"/>
    <w:rsid w:val="00F35611"/>
    <w:rsid w:val="00F35AB8"/>
    <w:rsid w:val="00F37076"/>
    <w:rsid w:val="00F375F3"/>
    <w:rsid w:val="00F37B41"/>
    <w:rsid w:val="00F37F5D"/>
    <w:rsid w:val="00F403F8"/>
    <w:rsid w:val="00F40453"/>
    <w:rsid w:val="00F41491"/>
    <w:rsid w:val="00F42C33"/>
    <w:rsid w:val="00F4309D"/>
    <w:rsid w:val="00F43E09"/>
    <w:rsid w:val="00F44308"/>
    <w:rsid w:val="00F50C9F"/>
    <w:rsid w:val="00F518FD"/>
    <w:rsid w:val="00F52438"/>
    <w:rsid w:val="00F52520"/>
    <w:rsid w:val="00F532B5"/>
    <w:rsid w:val="00F546D1"/>
    <w:rsid w:val="00F54E5E"/>
    <w:rsid w:val="00F55225"/>
    <w:rsid w:val="00F567A7"/>
    <w:rsid w:val="00F56C8B"/>
    <w:rsid w:val="00F57586"/>
    <w:rsid w:val="00F57894"/>
    <w:rsid w:val="00F601E6"/>
    <w:rsid w:val="00F61F94"/>
    <w:rsid w:val="00F62F54"/>
    <w:rsid w:val="00F633BC"/>
    <w:rsid w:val="00F65913"/>
    <w:rsid w:val="00F67108"/>
    <w:rsid w:val="00F726FF"/>
    <w:rsid w:val="00F72728"/>
    <w:rsid w:val="00F72AD8"/>
    <w:rsid w:val="00F730EB"/>
    <w:rsid w:val="00F74F1F"/>
    <w:rsid w:val="00F75127"/>
    <w:rsid w:val="00F75153"/>
    <w:rsid w:val="00F75850"/>
    <w:rsid w:val="00F761B3"/>
    <w:rsid w:val="00F7625D"/>
    <w:rsid w:val="00F775B3"/>
    <w:rsid w:val="00F802EA"/>
    <w:rsid w:val="00F8176B"/>
    <w:rsid w:val="00F84358"/>
    <w:rsid w:val="00F84710"/>
    <w:rsid w:val="00F84DCE"/>
    <w:rsid w:val="00F85CA7"/>
    <w:rsid w:val="00F869C6"/>
    <w:rsid w:val="00F86B1D"/>
    <w:rsid w:val="00F86ED0"/>
    <w:rsid w:val="00F9038C"/>
    <w:rsid w:val="00F931FF"/>
    <w:rsid w:val="00F9330D"/>
    <w:rsid w:val="00F9618C"/>
    <w:rsid w:val="00F964B6"/>
    <w:rsid w:val="00F96FFD"/>
    <w:rsid w:val="00F97F14"/>
    <w:rsid w:val="00FA153C"/>
    <w:rsid w:val="00FA2F1C"/>
    <w:rsid w:val="00FA564D"/>
    <w:rsid w:val="00FA5C12"/>
    <w:rsid w:val="00FA5C23"/>
    <w:rsid w:val="00FB0C55"/>
    <w:rsid w:val="00FB160B"/>
    <w:rsid w:val="00FB1A2E"/>
    <w:rsid w:val="00FB1A5D"/>
    <w:rsid w:val="00FB1F6D"/>
    <w:rsid w:val="00FB380B"/>
    <w:rsid w:val="00FB3A2B"/>
    <w:rsid w:val="00FB3A64"/>
    <w:rsid w:val="00FB3D06"/>
    <w:rsid w:val="00FB4A4B"/>
    <w:rsid w:val="00FB4EFF"/>
    <w:rsid w:val="00FB559E"/>
    <w:rsid w:val="00FB5963"/>
    <w:rsid w:val="00FB59D2"/>
    <w:rsid w:val="00FB6CA9"/>
    <w:rsid w:val="00FC06B1"/>
    <w:rsid w:val="00FC081F"/>
    <w:rsid w:val="00FC0C06"/>
    <w:rsid w:val="00FC24AF"/>
    <w:rsid w:val="00FC36B2"/>
    <w:rsid w:val="00FC3C76"/>
    <w:rsid w:val="00FC3F36"/>
    <w:rsid w:val="00FC45F7"/>
    <w:rsid w:val="00FC499D"/>
    <w:rsid w:val="00FC7733"/>
    <w:rsid w:val="00FC7927"/>
    <w:rsid w:val="00FD0091"/>
    <w:rsid w:val="00FD1ADE"/>
    <w:rsid w:val="00FD1CB2"/>
    <w:rsid w:val="00FD2E78"/>
    <w:rsid w:val="00FD309C"/>
    <w:rsid w:val="00FD30DA"/>
    <w:rsid w:val="00FD3400"/>
    <w:rsid w:val="00FD3783"/>
    <w:rsid w:val="00FD3C8E"/>
    <w:rsid w:val="00FD4659"/>
    <w:rsid w:val="00FD475A"/>
    <w:rsid w:val="00FD4A23"/>
    <w:rsid w:val="00FD55B3"/>
    <w:rsid w:val="00FD65A3"/>
    <w:rsid w:val="00FD7138"/>
    <w:rsid w:val="00FE065F"/>
    <w:rsid w:val="00FE0DD4"/>
    <w:rsid w:val="00FE1635"/>
    <w:rsid w:val="00FE18F2"/>
    <w:rsid w:val="00FE1AA0"/>
    <w:rsid w:val="00FE26B6"/>
    <w:rsid w:val="00FE3647"/>
    <w:rsid w:val="00FE3D4F"/>
    <w:rsid w:val="00FE456B"/>
    <w:rsid w:val="00FE4EAF"/>
    <w:rsid w:val="00FE5F88"/>
    <w:rsid w:val="00FE6662"/>
    <w:rsid w:val="00FE6FB3"/>
    <w:rsid w:val="00FE797F"/>
    <w:rsid w:val="00FF05A0"/>
    <w:rsid w:val="00FF0E42"/>
    <w:rsid w:val="00FF1AC5"/>
    <w:rsid w:val="00FF3924"/>
    <w:rsid w:val="00FF4899"/>
    <w:rsid w:val="00FF544F"/>
    <w:rsid w:val="00FF5BB7"/>
    <w:rsid w:val="00FF60CB"/>
    <w:rsid w:val="00FF623F"/>
    <w:rsid w:val="00FF7049"/>
    <w:rsid w:val="00FF71D8"/>
    <w:rsid w:val="00FF7766"/>
    <w:rsid w:val="00FF7AED"/>
    <w:rsid w:val="02013BCE"/>
    <w:rsid w:val="02510A4E"/>
    <w:rsid w:val="02635B6A"/>
    <w:rsid w:val="02BE3F91"/>
    <w:rsid w:val="0346133A"/>
    <w:rsid w:val="04E0612A"/>
    <w:rsid w:val="052B247B"/>
    <w:rsid w:val="07914394"/>
    <w:rsid w:val="07E7666D"/>
    <w:rsid w:val="089A64D0"/>
    <w:rsid w:val="0A0E370F"/>
    <w:rsid w:val="0AED7979"/>
    <w:rsid w:val="0B1B0FCC"/>
    <w:rsid w:val="0B4A4D5E"/>
    <w:rsid w:val="0C0C5744"/>
    <w:rsid w:val="0D492F41"/>
    <w:rsid w:val="0E5B299A"/>
    <w:rsid w:val="0FDB057C"/>
    <w:rsid w:val="101614A9"/>
    <w:rsid w:val="122618B7"/>
    <w:rsid w:val="13757B26"/>
    <w:rsid w:val="150D40B5"/>
    <w:rsid w:val="151455DA"/>
    <w:rsid w:val="154D3A8E"/>
    <w:rsid w:val="166679EB"/>
    <w:rsid w:val="16C45082"/>
    <w:rsid w:val="16D76EF0"/>
    <w:rsid w:val="174472A3"/>
    <w:rsid w:val="17787743"/>
    <w:rsid w:val="17DC6B25"/>
    <w:rsid w:val="18E74076"/>
    <w:rsid w:val="1A3A68B0"/>
    <w:rsid w:val="1AAE543E"/>
    <w:rsid w:val="1B5D3BA3"/>
    <w:rsid w:val="1B700212"/>
    <w:rsid w:val="1E4C5220"/>
    <w:rsid w:val="1E7A747F"/>
    <w:rsid w:val="1EDB2491"/>
    <w:rsid w:val="1F573D6A"/>
    <w:rsid w:val="1F5F2CDD"/>
    <w:rsid w:val="1F9E7D23"/>
    <w:rsid w:val="202D512B"/>
    <w:rsid w:val="21AF6000"/>
    <w:rsid w:val="21E82986"/>
    <w:rsid w:val="22B33405"/>
    <w:rsid w:val="2321087E"/>
    <w:rsid w:val="24612B3E"/>
    <w:rsid w:val="247F062B"/>
    <w:rsid w:val="24C34CB3"/>
    <w:rsid w:val="27C46F92"/>
    <w:rsid w:val="28596F62"/>
    <w:rsid w:val="29236443"/>
    <w:rsid w:val="29896555"/>
    <w:rsid w:val="29C473A1"/>
    <w:rsid w:val="29DE1561"/>
    <w:rsid w:val="29EC587E"/>
    <w:rsid w:val="2A1A59A0"/>
    <w:rsid w:val="2BF96597"/>
    <w:rsid w:val="2D875AE4"/>
    <w:rsid w:val="2D876837"/>
    <w:rsid w:val="2D8827CE"/>
    <w:rsid w:val="2D902EC0"/>
    <w:rsid w:val="2DCD2261"/>
    <w:rsid w:val="2E4E73D2"/>
    <w:rsid w:val="2E75627B"/>
    <w:rsid w:val="2EA24AF9"/>
    <w:rsid w:val="2F381FAD"/>
    <w:rsid w:val="30156A34"/>
    <w:rsid w:val="30910277"/>
    <w:rsid w:val="30D83C22"/>
    <w:rsid w:val="30E26969"/>
    <w:rsid w:val="31D15BFA"/>
    <w:rsid w:val="31EF4DC7"/>
    <w:rsid w:val="322C666E"/>
    <w:rsid w:val="324341E0"/>
    <w:rsid w:val="32773780"/>
    <w:rsid w:val="32797DF6"/>
    <w:rsid w:val="33313CA1"/>
    <w:rsid w:val="33F63668"/>
    <w:rsid w:val="35BA5F7D"/>
    <w:rsid w:val="363E1140"/>
    <w:rsid w:val="36CE73D5"/>
    <w:rsid w:val="3700612D"/>
    <w:rsid w:val="37336912"/>
    <w:rsid w:val="37FF67A1"/>
    <w:rsid w:val="3A837F00"/>
    <w:rsid w:val="3B213282"/>
    <w:rsid w:val="3B2E5D56"/>
    <w:rsid w:val="3C7C1E3D"/>
    <w:rsid w:val="3CC47B79"/>
    <w:rsid w:val="3CC613B4"/>
    <w:rsid w:val="3EE36F0A"/>
    <w:rsid w:val="3F52601E"/>
    <w:rsid w:val="3F885457"/>
    <w:rsid w:val="400E7AC9"/>
    <w:rsid w:val="400F23B4"/>
    <w:rsid w:val="40203564"/>
    <w:rsid w:val="4103235A"/>
    <w:rsid w:val="417A6D83"/>
    <w:rsid w:val="42127A3C"/>
    <w:rsid w:val="43172A5C"/>
    <w:rsid w:val="43B91FBA"/>
    <w:rsid w:val="43EB29F3"/>
    <w:rsid w:val="440A5125"/>
    <w:rsid w:val="44470100"/>
    <w:rsid w:val="44552D9A"/>
    <w:rsid w:val="44C74BE3"/>
    <w:rsid w:val="471F0B41"/>
    <w:rsid w:val="4748705C"/>
    <w:rsid w:val="48141DEF"/>
    <w:rsid w:val="485067EF"/>
    <w:rsid w:val="48A01D28"/>
    <w:rsid w:val="49136543"/>
    <w:rsid w:val="49717B0A"/>
    <w:rsid w:val="49DA702A"/>
    <w:rsid w:val="4A067C90"/>
    <w:rsid w:val="4A0E0F48"/>
    <w:rsid w:val="4C925FA5"/>
    <w:rsid w:val="4CC306F5"/>
    <w:rsid w:val="4D44440E"/>
    <w:rsid w:val="4DB75FF4"/>
    <w:rsid w:val="4F9F6F7F"/>
    <w:rsid w:val="504A49DB"/>
    <w:rsid w:val="51894397"/>
    <w:rsid w:val="51964224"/>
    <w:rsid w:val="51EF4AF7"/>
    <w:rsid w:val="52060CB6"/>
    <w:rsid w:val="526A1483"/>
    <w:rsid w:val="52754505"/>
    <w:rsid w:val="528D4AA8"/>
    <w:rsid w:val="53F96A67"/>
    <w:rsid w:val="54D156A9"/>
    <w:rsid w:val="55705625"/>
    <w:rsid w:val="55E224EF"/>
    <w:rsid w:val="571F23E6"/>
    <w:rsid w:val="579F7619"/>
    <w:rsid w:val="57AF694B"/>
    <w:rsid w:val="58523553"/>
    <w:rsid w:val="59705469"/>
    <w:rsid w:val="5A9B6497"/>
    <w:rsid w:val="5AB9579C"/>
    <w:rsid w:val="5B6D6287"/>
    <w:rsid w:val="5BF51F7B"/>
    <w:rsid w:val="5C15180F"/>
    <w:rsid w:val="5DC66D86"/>
    <w:rsid w:val="5E175958"/>
    <w:rsid w:val="5E67750F"/>
    <w:rsid w:val="602B5E2E"/>
    <w:rsid w:val="60966611"/>
    <w:rsid w:val="609F4284"/>
    <w:rsid w:val="624F10AD"/>
    <w:rsid w:val="636D448C"/>
    <w:rsid w:val="655746EE"/>
    <w:rsid w:val="65C77467"/>
    <w:rsid w:val="66932277"/>
    <w:rsid w:val="67B036F1"/>
    <w:rsid w:val="67E44571"/>
    <w:rsid w:val="67E94A13"/>
    <w:rsid w:val="68AB1DE7"/>
    <w:rsid w:val="69480C99"/>
    <w:rsid w:val="699F487E"/>
    <w:rsid w:val="6A1856B5"/>
    <w:rsid w:val="6B075F8D"/>
    <w:rsid w:val="6D9945EB"/>
    <w:rsid w:val="6EE95C91"/>
    <w:rsid w:val="6F07788B"/>
    <w:rsid w:val="70471C89"/>
    <w:rsid w:val="70631232"/>
    <w:rsid w:val="7104475D"/>
    <w:rsid w:val="71174EEE"/>
    <w:rsid w:val="72656576"/>
    <w:rsid w:val="739278BD"/>
    <w:rsid w:val="73970C25"/>
    <w:rsid w:val="73C87FB9"/>
    <w:rsid w:val="73E5173F"/>
    <w:rsid w:val="754D1361"/>
    <w:rsid w:val="757B333A"/>
    <w:rsid w:val="76C364B0"/>
    <w:rsid w:val="76D333DD"/>
    <w:rsid w:val="76E3124F"/>
    <w:rsid w:val="773754BD"/>
    <w:rsid w:val="776A4F95"/>
    <w:rsid w:val="77901337"/>
    <w:rsid w:val="78B5017B"/>
    <w:rsid w:val="78F025B6"/>
    <w:rsid w:val="7903782F"/>
    <w:rsid w:val="79413A20"/>
    <w:rsid w:val="7A1F0232"/>
    <w:rsid w:val="7ADC6D2E"/>
    <w:rsid w:val="7AF43584"/>
    <w:rsid w:val="7B195627"/>
    <w:rsid w:val="7B8A3DB9"/>
    <w:rsid w:val="7C3F2167"/>
    <w:rsid w:val="7C6657E9"/>
    <w:rsid w:val="7D2906B2"/>
    <w:rsid w:val="7E514636"/>
    <w:rsid w:val="7E952A6D"/>
    <w:rsid w:val="7FA0695A"/>
    <w:rsid w:val="7FED08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uiPriority="0" w:unhideWhenUsed="0" w:qFormat="1"/>
    <w:lsdException w:name="toc 4" w:uiPriority="0" w:unhideWhenUsed="0" w:qFormat="1"/>
    <w:lsdException w:name="toc 5" w:uiPriority="0" w:unhideWhenUsed="0" w:qFormat="1"/>
    <w:lsdException w:name="toc 6" w:uiPriority="0" w:unhideWhenUsed="0" w:qFormat="1"/>
    <w:lsdException w:name="toc 7" w:uiPriority="0" w:unhideWhenUsed="0" w:qFormat="1"/>
    <w:lsdException w:name="toc 8" w:uiPriority="0" w:unhideWhenUsed="0" w:qFormat="1"/>
    <w:lsdException w:name="toc 9" w:uiPriority="0" w:unhideWhenUsed="0" w:qFormat="1"/>
    <w:lsdException w:name="Normal Indent" w:semiHidden="0" w:uiPriority="0" w:unhideWhenUsed="0"/>
    <w:lsdException w:name="footnote text" w:semiHidden="0" w:uiPriority="0" w:unhideWhenUsed="0"/>
    <w:lsdException w:name="annotation text" w:uiPriority="0" w:unhideWhenUsed="0" w:qFormat="1"/>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qFormat="1"/>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qFormat="1"/>
    <w:lsdException w:name="Body Text 3" w:semiHidden="0" w:uiPriority="0" w:unhideWhenUsed="0"/>
    <w:lsdException w:name="Body Text Indent 2" w:semiHidden="0" w:uiPriority="0" w:unhideWhenUsed="0" w:qFormat="1"/>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qFormat="1"/>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uiPriority="0" w:unhideWhenUsed="0"/>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qFormat="1"/>
    <w:lsdException w:name="annotation subject"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qFormat="1"/>
    <w:lsdException w:name="Table Grid" w:semiHidden="0" w:uiPriority="3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TOC1"/>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link w:val="1"/>
    <w:uiPriority w:val="9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
    <w:qFormat/>
    <w:pPr>
      <w:keepNext/>
      <w:keepLines/>
      <w:spacing w:before="260" w:after="260" w:line="413" w:lineRule="auto"/>
      <w:ind w:firstLine="628"/>
      <w:jc w:val="center"/>
      <w:outlineLvl w:val="1"/>
    </w:pPr>
    <w:rPr>
      <w:rFonts w:ascii="Arial" w:eastAsia="黑体" w:hAnsi="Arial"/>
      <w:b/>
      <w:bCs/>
      <w:sz w:val="32"/>
      <w:szCs w:val="32"/>
    </w:rPr>
  </w:style>
  <w:style w:type="paragraph" w:styleId="Heading3">
    <w:name w:val="heading 3"/>
    <w:basedOn w:val="Normal"/>
    <w:next w:val="Normal"/>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1">
    <w:name w:val="toc 1"/>
    <w:basedOn w:val="Normal"/>
    <w:next w:val="Normal"/>
    <w:uiPriority w:val="39"/>
    <w:qFormat/>
    <w:pPr>
      <w:spacing w:before="240" w:after="120"/>
      <w:jc w:val="left"/>
    </w:pPr>
    <w:rPr>
      <w:b/>
      <w:bCs/>
      <w:sz w:val="20"/>
      <w:szCs w:val="20"/>
    </w:rPr>
  </w:style>
  <w:style w:type="paragraph" w:styleId="TOC7">
    <w:name w:val="toc 7"/>
    <w:basedOn w:val="Normal"/>
    <w:next w:val="Normal"/>
    <w:semiHidden/>
    <w:qFormat/>
    <w:pPr>
      <w:ind w:left="1260"/>
      <w:jc w:val="left"/>
    </w:pPr>
    <w:rPr>
      <w:sz w:val="20"/>
      <w:szCs w:val="20"/>
    </w:rPr>
  </w:style>
  <w:style w:type="paragraph" w:styleId="CommentText">
    <w:name w:val="annotation text"/>
    <w:basedOn w:val="Normal"/>
    <w:link w:val="a2"/>
    <w:semiHidden/>
    <w:qFormat/>
    <w:pPr>
      <w:jc w:val="left"/>
    </w:pPr>
    <w:rPr>
      <w:szCs w:val="20"/>
    </w:rPr>
  </w:style>
  <w:style w:type="paragraph" w:styleId="TOC5">
    <w:name w:val="toc 5"/>
    <w:basedOn w:val="Normal"/>
    <w:next w:val="Normal"/>
    <w:semiHidden/>
    <w:qFormat/>
    <w:pPr>
      <w:ind w:left="840"/>
      <w:jc w:val="left"/>
    </w:pPr>
    <w:rPr>
      <w:sz w:val="20"/>
      <w:szCs w:val="20"/>
    </w:rPr>
  </w:style>
  <w:style w:type="paragraph" w:styleId="TOC3">
    <w:name w:val="toc 3"/>
    <w:basedOn w:val="Normal"/>
    <w:next w:val="Normal"/>
    <w:semiHidden/>
    <w:qFormat/>
    <w:pPr>
      <w:ind w:left="420"/>
      <w:jc w:val="left"/>
    </w:pPr>
    <w:rPr>
      <w:sz w:val="20"/>
      <w:szCs w:val="20"/>
    </w:rPr>
  </w:style>
  <w:style w:type="paragraph" w:styleId="PlainText">
    <w:name w:val="Plain Text"/>
    <w:basedOn w:val="Normal"/>
    <w:link w:val="a0"/>
    <w:qFormat/>
    <w:rPr>
      <w:rFonts w:ascii="宋体" w:hAnsi="Courier New"/>
      <w:szCs w:val="20"/>
    </w:rPr>
  </w:style>
  <w:style w:type="paragraph" w:styleId="ListNumber4">
    <w:name w:val="List Number 4"/>
    <w:basedOn w:val="Normal"/>
    <w:qFormat/>
    <w:pPr>
      <w:numPr>
        <w:ilvl w:val="0"/>
        <w:numId w:val="1"/>
      </w:numPr>
      <w:tabs>
        <w:tab w:val="left" w:pos="1620"/>
      </w:tabs>
    </w:pPr>
  </w:style>
  <w:style w:type="paragraph" w:styleId="TOC8">
    <w:name w:val="toc 8"/>
    <w:basedOn w:val="Normal"/>
    <w:next w:val="Normal"/>
    <w:semiHidden/>
    <w:qFormat/>
    <w:pPr>
      <w:ind w:left="1470"/>
      <w:jc w:val="left"/>
    </w:pPr>
    <w:rPr>
      <w:sz w:val="20"/>
      <w:szCs w:val="20"/>
    </w:rPr>
  </w:style>
  <w:style w:type="paragraph" w:styleId="Date">
    <w:name w:val="Date"/>
    <w:basedOn w:val="Normal"/>
    <w:next w:val="Normal"/>
    <w:qFormat/>
    <w:pPr>
      <w:ind w:left="100" w:leftChars="2500"/>
    </w:pPr>
  </w:style>
  <w:style w:type="paragraph" w:styleId="BodyTextIndent2">
    <w:name w:val="Body Text Indent 2"/>
    <w:basedOn w:val="Normal"/>
    <w:link w:val="23"/>
    <w:qFormat/>
    <w:pPr>
      <w:spacing w:after="120" w:line="480" w:lineRule="auto"/>
      <w:ind w:left="420" w:leftChars="200"/>
    </w:pPr>
  </w:style>
  <w:style w:type="paragraph" w:styleId="BalloonText">
    <w:name w:val="Balloon Text"/>
    <w:basedOn w:val="Normal"/>
    <w:semiHidden/>
    <w:qFormat/>
    <w:rPr>
      <w:sz w:val="18"/>
      <w:szCs w:val="18"/>
    </w:rPr>
  </w:style>
  <w:style w:type="paragraph" w:styleId="Footer">
    <w:name w:val="footer"/>
    <w:basedOn w:val="Normal"/>
    <w:link w:val="a1"/>
    <w:uiPriority w:val="99"/>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4">
    <w:name w:val="toc 4"/>
    <w:basedOn w:val="Normal"/>
    <w:next w:val="Normal"/>
    <w:semiHidden/>
    <w:qFormat/>
    <w:pPr>
      <w:ind w:left="630"/>
      <w:jc w:val="left"/>
    </w:pPr>
    <w:rPr>
      <w:sz w:val="20"/>
      <w:szCs w:val="20"/>
    </w:rPr>
  </w:style>
  <w:style w:type="paragraph" w:styleId="TOC6">
    <w:name w:val="toc 6"/>
    <w:basedOn w:val="Normal"/>
    <w:next w:val="Normal"/>
    <w:semiHidden/>
    <w:qFormat/>
    <w:pPr>
      <w:ind w:left="1050"/>
      <w:jc w:val="left"/>
    </w:pPr>
    <w:rPr>
      <w:sz w:val="20"/>
      <w:szCs w:val="20"/>
    </w:rPr>
  </w:style>
  <w:style w:type="paragraph" w:styleId="TOC2">
    <w:name w:val="toc 2"/>
    <w:basedOn w:val="Normal"/>
    <w:next w:val="Normal"/>
    <w:uiPriority w:val="39"/>
    <w:qFormat/>
    <w:pPr>
      <w:tabs>
        <w:tab w:val="right" w:leader="dot" w:pos="9514"/>
      </w:tabs>
      <w:spacing w:line="320" w:lineRule="exact"/>
      <w:ind w:left="210"/>
      <w:jc w:val="left"/>
    </w:pPr>
    <w:rPr>
      <w:rFonts w:ascii="宋体" w:hAnsi="宋体"/>
      <w:iCs/>
      <w:color w:val="FF0000"/>
      <w:kern w:val="0"/>
      <w:szCs w:val="21"/>
    </w:rPr>
  </w:style>
  <w:style w:type="paragraph" w:styleId="TOC9">
    <w:name w:val="toc 9"/>
    <w:basedOn w:val="Normal"/>
    <w:next w:val="Normal"/>
    <w:semiHidden/>
    <w:qFormat/>
    <w:pPr>
      <w:ind w:left="1680"/>
      <w:jc w:val="left"/>
    </w:pPr>
    <w:rPr>
      <w:sz w:val="20"/>
      <w:szCs w:val="20"/>
    </w:rPr>
  </w:style>
  <w:style w:type="paragraph" w:styleId="BodyText2">
    <w:name w:val="Body Text 2"/>
    <w:basedOn w:val="Normal"/>
    <w:link w:val="21"/>
    <w:qFormat/>
    <w:pPr>
      <w:adjustRightInd w:val="0"/>
      <w:snapToGrid w:val="0"/>
      <w:spacing w:line="480" w:lineRule="atLeast"/>
    </w:pPr>
    <w:rPr>
      <w:rFonts w:ascii="宋体"/>
      <w:kern w:val="0"/>
      <w:sz w:val="28"/>
      <w:szCs w:val="20"/>
    </w:rPr>
  </w:style>
  <w:style w:type="paragraph" w:styleId="NormalWeb">
    <w:name w:val="Normal (Web)"/>
    <w:basedOn w:val="Normal"/>
    <w:uiPriority w:val="99"/>
    <w:qFormat/>
    <w:pPr>
      <w:widowControl/>
      <w:spacing w:before="100" w:beforeAutospacing="1" w:after="100" w:afterAutospacing="1"/>
      <w:jc w:val="left"/>
    </w:pPr>
    <w:rPr>
      <w:rFonts w:ascii="宋体" w:hAnsi="宋体" w:cs="宋体"/>
      <w:kern w:val="0"/>
      <w:sz w:val="24"/>
    </w:rPr>
  </w:style>
  <w:style w:type="paragraph" w:styleId="CommentSubject">
    <w:name w:val="annotation subject"/>
    <w:basedOn w:val="CommentText"/>
    <w:next w:val="CommentText"/>
    <w:link w:val="a3"/>
    <w:semiHidden/>
    <w:unhideWhenUsed/>
    <w:qFormat/>
    <w:rPr>
      <w:b/>
      <w:bCs/>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PageNumber">
    <w:name w:val="page number"/>
    <w:basedOn w:val="DefaultParagraphFont"/>
    <w:qFormat/>
  </w:style>
  <w:style w:type="character" w:styleId="FollowedHyperlink">
    <w:name w:val="FollowedHyperlink"/>
    <w:qFormat/>
    <w:rPr>
      <w:color w:val="800080"/>
      <w:u w:val="none"/>
    </w:rPr>
  </w:style>
  <w:style w:type="character" w:styleId="Emphasis">
    <w:name w:val="Emphasis"/>
    <w:basedOn w:val="DefaultParagraphFont"/>
    <w:qFormat/>
    <w:rPr>
      <w:b/>
    </w:rPr>
  </w:style>
  <w:style w:type="character" w:styleId="HTMLDefinition">
    <w:name w:val="HTML Definition"/>
    <w:basedOn w:val="DefaultParagraphFont"/>
    <w:qFormat/>
  </w:style>
  <w:style w:type="character" w:styleId="HTMLTypewriter">
    <w:name w:val="HTML Typewriter"/>
    <w:basedOn w:val="DefaultParagraphFont"/>
    <w:qFormat/>
    <w:rPr>
      <w:rFonts w:ascii="monospace" w:eastAsia="monospace" w:hAnsi="monospace" w:cs="monospace" w:hint="default"/>
      <w:sz w:val="20"/>
    </w:rPr>
  </w:style>
  <w:style w:type="character" w:styleId="HTMLAcronym">
    <w:name w:val="HTML Acronym"/>
    <w:basedOn w:val="DefaultParagraphFont"/>
    <w:qFormat/>
  </w:style>
  <w:style w:type="character" w:styleId="HTMLVariable">
    <w:name w:val="HTML Variable"/>
    <w:basedOn w:val="DefaultParagraphFont"/>
    <w:qFormat/>
    <w:rPr>
      <w:vanish/>
    </w:rPr>
  </w:style>
  <w:style w:type="character" w:styleId="Hyperlink">
    <w:name w:val="Hyperlink"/>
    <w:qFormat/>
    <w:rPr>
      <w:color w:val="0000FF"/>
      <w:u w:val="none"/>
    </w:rPr>
  </w:style>
  <w:style w:type="character" w:styleId="HTMLCode">
    <w:name w:val="HTML Code"/>
    <w:basedOn w:val="DefaultParagraphFont"/>
    <w:qFormat/>
    <w:rPr>
      <w:rFonts w:ascii="monospace" w:eastAsia="monospace" w:hAnsi="monospace" w:cs="monospace"/>
      <w:sz w:val="20"/>
    </w:rPr>
  </w:style>
  <w:style w:type="character" w:styleId="CommentReference">
    <w:name w:val="annotation reference"/>
    <w:basedOn w:val="DefaultParagraphFont"/>
    <w:qFormat/>
    <w:rPr>
      <w:sz w:val="21"/>
      <w:szCs w:val="21"/>
    </w:rPr>
  </w:style>
  <w:style w:type="character" w:styleId="HTMLCite">
    <w:name w:val="HTML Cite"/>
    <w:basedOn w:val="DefaultParagraphFont"/>
    <w:qFormat/>
  </w:style>
  <w:style w:type="character" w:styleId="HTMLKeyboard">
    <w:name w:val="HTML Keyboard"/>
    <w:basedOn w:val="DefaultParagraphFont"/>
    <w:qFormat/>
    <w:rPr>
      <w:rFonts w:ascii="monospace" w:eastAsia="monospace" w:hAnsi="monospace" w:cs="monospace" w:hint="default"/>
      <w:sz w:val="20"/>
    </w:rPr>
  </w:style>
  <w:style w:type="character" w:styleId="HTMLSample">
    <w:name w:val="HTML Sample"/>
    <w:basedOn w:val="DefaultParagraphFont"/>
    <w:qFormat/>
    <w:rPr>
      <w:rFonts w:ascii="monospace" w:eastAsia="monospace" w:hAnsi="monospace" w:cs="monospace" w:hint="default"/>
    </w:rPr>
  </w:style>
  <w:style w:type="character" w:customStyle="1" w:styleId="2">
    <w:name w:val="标题 2 字符"/>
    <w:link w:val="Heading2"/>
    <w:qFormat/>
    <w:rPr>
      <w:rFonts w:ascii="Arial" w:eastAsia="黑体" w:hAnsi="Arial"/>
      <w:b/>
      <w:bCs/>
      <w:kern w:val="2"/>
      <w:sz w:val="32"/>
      <w:szCs w:val="32"/>
      <w:lang w:val="en-US" w:eastAsia="zh-CN" w:bidi="ar-SA"/>
    </w:rPr>
  </w:style>
  <w:style w:type="paragraph" w:customStyle="1" w:styleId="CharCharCharCharCharChar">
    <w:name w:val="Char Char Char Char Char Char"/>
    <w:basedOn w:val="Normal"/>
    <w:qFormat/>
    <w:pPr>
      <w:widowControl/>
      <w:spacing w:after="160" w:line="240" w:lineRule="exact"/>
      <w:jc w:val="left"/>
    </w:pPr>
    <w:rPr>
      <w:rFonts w:ascii="Verdana" w:hAnsi="Verdana"/>
      <w:kern w:val="0"/>
      <w:sz w:val="20"/>
      <w:szCs w:val="20"/>
      <w:lang w:eastAsia="en-US"/>
    </w:rPr>
  </w:style>
  <w:style w:type="paragraph" w:customStyle="1" w:styleId="20">
    <w:name w:val="列出段落2"/>
    <w:basedOn w:val="Normal"/>
    <w:uiPriority w:val="99"/>
    <w:qFormat/>
    <w:pPr>
      <w:ind w:firstLine="420" w:firstLineChars="200"/>
    </w:pPr>
  </w:style>
  <w:style w:type="paragraph" w:customStyle="1" w:styleId="CharChar">
    <w:name w:val="Char Char"/>
    <w:basedOn w:val="Normal"/>
    <w:qFormat/>
    <w:pPr>
      <w:widowControl/>
      <w:spacing w:after="160" w:line="240" w:lineRule="exact"/>
      <w:jc w:val="left"/>
    </w:pPr>
  </w:style>
  <w:style w:type="paragraph" w:customStyle="1" w:styleId="CharCharCharCharCharChar1">
    <w:name w:val="Char Char Char Char Char Char1"/>
    <w:basedOn w:val="Normal"/>
    <w:qFormat/>
    <w:pPr>
      <w:widowControl/>
      <w:spacing w:after="160" w:line="240" w:lineRule="exact"/>
      <w:jc w:val="left"/>
    </w:pPr>
    <w:rPr>
      <w:rFonts w:ascii="Verdana" w:hAnsi="Verdana"/>
      <w:kern w:val="0"/>
      <w:sz w:val="20"/>
      <w:szCs w:val="20"/>
      <w:lang w:eastAsia="en-US"/>
    </w:rPr>
  </w:style>
  <w:style w:type="paragraph" w:customStyle="1" w:styleId="3">
    <w:name w:val="样式 样式 标题 3 + 加粗 + 加粗"/>
    <w:basedOn w:val="Normal"/>
    <w:qFormat/>
    <w:pPr>
      <w:numPr>
        <w:ilvl w:val="3"/>
        <w:numId w:val="2"/>
      </w:numPr>
    </w:pPr>
  </w:style>
  <w:style w:type="paragraph" w:customStyle="1" w:styleId="a">
    <w:name w:val="正"/>
    <w:basedOn w:val="Normal"/>
    <w:qFormat/>
    <w:pPr>
      <w:tabs>
        <w:tab w:val="left" w:pos="-120"/>
      </w:tabs>
      <w:adjustRightInd w:val="0"/>
      <w:spacing w:line="560" w:lineRule="exact"/>
      <w:ind w:firstLine="600"/>
      <w:textAlignment w:val="baseline"/>
    </w:pPr>
    <w:rPr>
      <w:rFonts w:ascii="仿宋_GB2312" w:eastAsia="仿宋_GB2312" w:hAnsi="Times New Roman"/>
      <w:color w:val="000000"/>
      <w:spacing w:val="20"/>
      <w:kern w:val="0"/>
      <w:sz w:val="28"/>
      <w:szCs w:val="28"/>
    </w:rPr>
  </w:style>
  <w:style w:type="paragraph" w:customStyle="1" w:styleId="ListParagraph1">
    <w:name w:val="List Paragraph1"/>
    <w:basedOn w:val="Normal"/>
    <w:uiPriority w:val="34"/>
    <w:qFormat/>
    <w:pPr>
      <w:ind w:firstLine="420" w:firstLineChars="200"/>
    </w:pPr>
    <w:rPr>
      <w:szCs w:val="22"/>
    </w:rPr>
  </w:style>
  <w:style w:type="paragraph" w:customStyle="1" w:styleId="p0">
    <w:name w:val="p0"/>
    <w:basedOn w:val="Normal"/>
    <w:qFormat/>
    <w:pPr>
      <w:widowControl/>
      <w:spacing w:before="100" w:beforeAutospacing="1" w:after="100" w:afterAutospacing="1"/>
      <w:jc w:val="left"/>
    </w:pPr>
    <w:rPr>
      <w:rFonts w:ascii="宋体" w:hAnsi="宋体"/>
      <w:kern w:val="0"/>
      <w:sz w:val="24"/>
      <w:szCs w:val="20"/>
    </w:rPr>
  </w:style>
  <w:style w:type="paragraph" w:styleId="ListParagraph">
    <w:name w:val="List Paragraph"/>
    <w:basedOn w:val="Normal"/>
    <w:uiPriority w:val="34"/>
    <w:qFormat/>
    <w:pPr>
      <w:ind w:firstLine="420" w:firstLineChars="200"/>
    </w:pPr>
    <w:rPr>
      <w:szCs w:val="22"/>
    </w:rPr>
  </w:style>
  <w:style w:type="paragraph" w:customStyle="1" w:styleId="22">
    <w:name w:val="样式 左侧:  2 字符 首行缩进:  2 字符"/>
    <w:basedOn w:val="Normal"/>
    <w:qFormat/>
    <w:pPr>
      <w:ind w:left="200" w:firstLine="200" w:leftChars="200" w:firstLineChars="200"/>
    </w:pPr>
    <w:rPr>
      <w:rFonts w:ascii="Verdana" w:hAnsi="Verdana"/>
      <w:szCs w:val="20"/>
    </w:rPr>
  </w:style>
  <w:style w:type="paragraph" w:customStyle="1" w:styleId="ParaCharCharCharCharCharCharCharCharChar1Char">
    <w:name w:val="默认段落字体 Para Char Char Char Char Char Char Char Char Char1 Char"/>
    <w:basedOn w:val="Normal"/>
    <w:qFormat/>
    <w:rPr>
      <w:rFonts w:ascii="Tahoma" w:hAnsi="Tahoma"/>
      <w:sz w:val="24"/>
      <w:szCs w:val="20"/>
    </w:rPr>
  </w:style>
  <w:style w:type="character" w:customStyle="1" w:styleId="21">
    <w:name w:val="正文文本 2 字符"/>
    <w:link w:val="BodyText2"/>
    <w:semiHidden/>
    <w:qFormat/>
    <w:locked/>
    <w:rPr>
      <w:rFonts w:ascii="宋体" w:eastAsia="宋体" w:hAnsi="Calibri"/>
      <w:sz w:val="28"/>
      <w:lang w:val="en-US" w:eastAsia="zh-CN" w:bidi="ar-SA"/>
    </w:rPr>
  </w:style>
  <w:style w:type="character" w:customStyle="1" w:styleId="Char1">
    <w:name w:val="纯文本 Char1"/>
    <w:qFormat/>
    <w:locked/>
    <w:rPr>
      <w:rFonts w:ascii="宋体" w:eastAsia="宋体" w:hAnsi="Courier New"/>
      <w:kern w:val="2"/>
      <w:sz w:val="21"/>
      <w:lang w:val="en-US" w:eastAsia="zh-CN" w:bidi="ar-SA"/>
    </w:rPr>
  </w:style>
  <w:style w:type="character" w:customStyle="1" w:styleId="a0">
    <w:name w:val="纯文本 字符"/>
    <w:link w:val="PlainText"/>
    <w:qFormat/>
    <w:rPr>
      <w:rFonts w:ascii="宋体" w:eastAsia="宋体" w:hAnsi="Courier New"/>
      <w:kern w:val="2"/>
      <w:sz w:val="21"/>
      <w:lang w:val="en-US" w:eastAsia="zh-CN" w:bidi="ar-SA"/>
    </w:rPr>
  </w:style>
  <w:style w:type="character" w:customStyle="1" w:styleId="font141">
    <w:name w:val="font141"/>
    <w:basedOn w:val="DefaultParagraphFont"/>
    <w:qFormat/>
    <w:rPr>
      <w:rFonts w:ascii="Calibri" w:hAnsi="Calibri" w:cs="Calibri" w:hint="default"/>
      <w:color w:val="000000"/>
      <w:sz w:val="24"/>
      <w:szCs w:val="24"/>
      <w:u w:val="none"/>
    </w:rPr>
  </w:style>
  <w:style w:type="character" w:customStyle="1" w:styleId="font61">
    <w:name w:val="font61"/>
    <w:basedOn w:val="DefaultParagraphFont"/>
    <w:qFormat/>
    <w:rPr>
      <w:rFonts w:ascii="宋体" w:eastAsia="宋体" w:hAnsi="宋体" w:cs="宋体" w:hint="eastAsia"/>
      <w:color w:val="000000"/>
      <w:sz w:val="22"/>
      <w:szCs w:val="22"/>
      <w:u w:val="none"/>
    </w:rPr>
  </w:style>
  <w:style w:type="character" w:customStyle="1" w:styleId="font41">
    <w:name w:val="font41"/>
    <w:basedOn w:val="DefaultParagraphFont"/>
    <w:qFormat/>
    <w:rPr>
      <w:rFonts w:ascii="宋体" w:eastAsia="宋体" w:hAnsi="宋体" w:cs="宋体" w:hint="eastAsia"/>
      <w:color w:val="000000"/>
      <w:sz w:val="22"/>
      <w:szCs w:val="22"/>
      <w:u w:val="none"/>
    </w:rPr>
  </w:style>
  <w:style w:type="character" w:customStyle="1" w:styleId="hang1">
    <w:name w:val="hang1"/>
    <w:basedOn w:val="DefaultParagraphFont"/>
    <w:qFormat/>
  </w:style>
  <w:style w:type="character" w:customStyle="1" w:styleId="23">
    <w:name w:val="正文文本缩进 2 字符"/>
    <w:basedOn w:val="DefaultParagraphFont"/>
    <w:link w:val="BodyTextIndent2"/>
    <w:qFormat/>
    <w:rPr>
      <w:kern w:val="2"/>
      <w:sz w:val="21"/>
      <w:szCs w:val="24"/>
    </w:rPr>
  </w:style>
  <w:style w:type="character" w:customStyle="1" w:styleId="1">
    <w:name w:val="标题 1 字符"/>
    <w:link w:val="Heading1"/>
    <w:uiPriority w:val="99"/>
    <w:qFormat/>
    <w:rPr>
      <w:rFonts w:eastAsia="宋体"/>
      <w:b/>
      <w:bCs/>
      <w:kern w:val="44"/>
      <w:sz w:val="44"/>
      <w:szCs w:val="44"/>
      <w:lang w:val="en-US" w:eastAsia="zh-CN" w:bidi="ar-SA"/>
    </w:rPr>
  </w:style>
  <w:style w:type="character" w:customStyle="1" w:styleId="font11">
    <w:name w:val="font11"/>
    <w:qFormat/>
    <w:rPr>
      <w:rFonts w:ascii="宋体" w:eastAsia="宋体" w:hAnsi="宋体" w:cs="宋体" w:hint="eastAsia"/>
      <w:color w:val="000000"/>
      <w:sz w:val="20"/>
      <w:szCs w:val="20"/>
      <w:u w:val="none"/>
    </w:rPr>
  </w:style>
  <w:style w:type="character" w:customStyle="1" w:styleId="font71">
    <w:name w:val="font71"/>
    <w:qFormat/>
    <w:rPr>
      <w:rFonts w:ascii="宋体" w:eastAsia="宋体" w:hAnsi="宋体" w:cs="宋体" w:hint="eastAsia"/>
      <w:color w:val="808080"/>
      <w:sz w:val="18"/>
      <w:szCs w:val="18"/>
      <w:u w:val="none"/>
    </w:rPr>
  </w:style>
  <w:style w:type="character" w:customStyle="1" w:styleId="a1">
    <w:name w:val="页脚 字符"/>
    <w:link w:val="Footer"/>
    <w:uiPriority w:val="99"/>
    <w:qFormat/>
    <w:rPr>
      <w:kern w:val="2"/>
      <w:sz w:val="18"/>
      <w:szCs w:val="18"/>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Char2">
    <w:name w:val="Char Char2"/>
    <w:qFormat/>
    <w:rPr>
      <w:rFonts w:ascii="Arial" w:eastAsia="黑体" w:hAnsi="Arial"/>
      <w:b/>
      <w:bCs/>
      <w:kern w:val="2"/>
      <w:sz w:val="32"/>
      <w:szCs w:val="32"/>
      <w:lang w:val="en-US" w:eastAsia="zh-CN" w:bidi="ar-SA"/>
    </w:rPr>
  </w:style>
  <w:style w:type="character" w:customStyle="1" w:styleId="CharChar3">
    <w:name w:val="Char Char3"/>
    <w:qFormat/>
    <w:rPr>
      <w:rFonts w:ascii="Arial" w:eastAsia="黑体" w:hAnsi="Arial"/>
      <w:b/>
      <w:bCs/>
      <w:kern w:val="2"/>
      <w:sz w:val="32"/>
      <w:szCs w:val="32"/>
      <w:lang w:val="en-US" w:eastAsia="zh-CN" w:bidi="ar-SA"/>
    </w:rPr>
  </w:style>
  <w:style w:type="character" w:customStyle="1" w:styleId="font51">
    <w:name w:val="font51"/>
    <w:qFormat/>
    <w:rPr>
      <w:rFonts w:ascii="宋体" w:eastAsia="宋体" w:hAnsi="宋体" w:cs="宋体" w:hint="eastAsia"/>
      <w:color w:val="000000"/>
      <w:sz w:val="20"/>
      <w:szCs w:val="20"/>
      <w:u w:val="none"/>
    </w:rPr>
  </w:style>
  <w:style w:type="character" w:customStyle="1" w:styleId="font81">
    <w:name w:val="font81"/>
    <w:qFormat/>
    <w:rPr>
      <w:rFonts w:ascii="宋体" w:eastAsia="宋体" w:hAnsi="宋体" w:cs="宋体" w:hint="eastAsia"/>
      <w:color w:val="FF0000"/>
      <w:sz w:val="20"/>
      <w:szCs w:val="20"/>
      <w:u w:val="none"/>
    </w:rPr>
  </w:style>
  <w:style w:type="character" w:customStyle="1" w:styleId="font21">
    <w:name w:val="font21"/>
    <w:qFormat/>
    <w:rPr>
      <w:rFonts w:ascii="宋体" w:eastAsia="宋体" w:hAnsi="宋体" w:cs="宋体" w:hint="eastAsia"/>
      <w:color w:val="000000"/>
      <w:sz w:val="20"/>
      <w:szCs w:val="20"/>
      <w:u w:val="none"/>
    </w:rPr>
  </w:style>
  <w:style w:type="character" w:customStyle="1" w:styleId="bold1">
    <w:name w:val="bold1"/>
    <w:qFormat/>
    <w:rPr>
      <w:b/>
      <w:bCs/>
    </w:rPr>
  </w:style>
  <w:style w:type="character" w:customStyle="1" w:styleId="Char4">
    <w:name w:val="普通文字 Char4"/>
    <w:qFormat/>
    <w:rPr>
      <w:rFonts w:ascii="宋体" w:eastAsia="仿宋_GB2312" w:hAnsi="Courier New"/>
      <w:sz w:val="24"/>
      <w:lang w:val="en-US" w:eastAsia="zh-CN" w:bidi="ar-SA"/>
    </w:rPr>
  </w:style>
  <w:style w:type="character" w:customStyle="1" w:styleId="font31">
    <w:name w:val="font31"/>
    <w:basedOn w:val="DefaultParagraphFont"/>
    <w:qFormat/>
    <w:rPr>
      <w:rFonts w:ascii="微软雅黑" w:eastAsia="微软雅黑" w:hAnsi="微软雅黑" w:cs="微软雅黑" w:hint="eastAsia"/>
      <w:color w:val="000000"/>
      <w:sz w:val="24"/>
      <w:szCs w:val="24"/>
      <w:u w:val="none"/>
    </w:rPr>
  </w:style>
  <w:style w:type="character" w:customStyle="1" w:styleId="font91">
    <w:name w:val="font91"/>
    <w:qFormat/>
    <w:rPr>
      <w:rFonts w:ascii="Times New Roman" w:hAnsi="Times New Roman" w:cs="Times New Roman" w:hint="default"/>
      <w:color w:val="000000"/>
      <w:sz w:val="20"/>
      <w:szCs w:val="20"/>
      <w:u w:val="none"/>
    </w:rPr>
  </w:style>
  <w:style w:type="character" w:customStyle="1" w:styleId="font121">
    <w:name w:val="font121"/>
    <w:basedOn w:val="DefaultParagraphFont"/>
    <w:qFormat/>
    <w:rPr>
      <w:rFonts w:ascii="宋体" w:eastAsia="宋体" w:hAnsi="宋体" w:cs="宋体" w:hint="eastAsia"/>
      <w:color w:val="000000"/>
      <w:sz w:val="24"/>
      <w:szCs w:val="24"/>
      <w:u w:val="none"/>
    </w:rPr>
  </w:style>
  <w:style w:type="character" w:customStyle="1" w:styleId="Char">
    <w:name w:val="普通文字 Char"/>
    <w:qFormat/>
    <w:locked/>
    <w:rPr>
      <w:rFonts w:ascii="宋体" w:eastAsia="宋体" w:hAnsi="Courier New"/>
      <w:lang w:bidi="ar-SA"/>
    </w:rPr>
  </w:style>
  <w:style w:type="character" w:customStyle="1" w:styleId="a2">
    <w:name w:val="批注文字 字符"/>
    <w:link w:val="CommentText"/>
    <w:semiHidden/>
    <w:qFormat/>
    <w:rPr>
      <w:rFonts w:eastAsia="宋体"/>
      <w:kern w:val="2"/>
      <w:sz w:val="21"/>
      <w:lang w:val="en-US" w:eastAsia="zh-CN" w:bidi="ar-SA"/>
    </w:rPr>
  </w:style>
  <w:style w:type="character" w:customStyle="1" w:styleId="mini-outputtext1">
    <w:name w:val="mini-outputtext1"/>
    <w:basedOn w:val="DefaultParagraphFont"/>
    <w:qFormat/>
  </w:style>
  <w:style w:type="character" w:customStyle="1" w:styleId="a3">
    <w:name w:val="批注主题 字符"/>
    <w:basedOn w:val="a2"/>
    <w:link w:val="CommentSubject"/>
    <w:semiHidden/>
    <w:qFormat/>
    <w:rPr>
      <w:rFonts w:eastAsia="宋体"/>
      <w:b/>
      <w:bCs/>
      <w:kern w:val="2"/>
      <w:sz w:val="21"/>
      <w:szCs w:val="24"/>
      <w:lang w:val="en-US" w:eastAsia="zh-CN" w:bidi="ar-SA"/>
    </w:rPr>
  </w:style>
  <w:style w:type="paragraph" w:customStyle="1" w:styleId="10">
    <w:name w:val="修订1"/>
    <w:hidden/>
    <w:uiPriority w:val="99"/>
    <w:semiHidden/>
    <w:qFormat/>
    <w:rPr>
      <w:rFonts w:ascii="Calibri" w:eastAsia="宋体" w:hAnsi="Calibri" w:cs="Times New Roman"/>
      <w:kern w:val="2"/>
      <w:sz w:val="21"/>
      <w:szCs w:val="24"/>
      <w:lang w:val="en-US" w:eastAsia="zh-CN" w:bidi="ar-SA"/>
    </w:rPr>
  </w:style>
  <w:style w:type="table" w:customStyle="1" w:styleId="TableGrid0">
    <w:name w:val="Table Grid_0"/>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hyperlink" Target="https://d.book118.com/118063003075006044" TargetMode="External" /><Relationship Id="rId44" Type="http://schemas.openxmlformats.org/officeDocument/2006/relationships/footer" Target="footer39.xml" /><Relationship Id="rId45" Type="http://schemas.openxmlformats.org/officeDocument/2006/relationships/footer" Target="footer40.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22</Pages>
  <Words>3015</Words>
  <Characters>17188</Characters>
  <Application>Microsoft Office Word</Application>
  <DocSecurity>0</DocSecurity>
  <Lines>143</Lines>
  <Paragraphs>40</Paragraphs>
  <ScaleCrop>false</ScaleCrop>
  <Company>CHINA</Company>
  <LinksUpToDate>false</LinksUpToDate>
  <CharactersWithSpaces>20163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南康市环宇招标代理有限公司</dc:title>
  <dc:creator>USER</dc:creator>
  <cp:lastModifiedBy>WPS_1622166628</cp:lastModifiedBy>
  <cp:revision>89</cp:revision>
  <cp:lastPrinted>2022-07-07T08:02:03Z</cp:lastPrinted>
  <dcterms:created xsi:type="dcterms:W3CDTF">2018-05-23T07:16:00Z</dcterms:created>
  <dcterms:modified xsi:type="dcterms:W3CDTF">2022-07-07T08:26:43Z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