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组织毒活苗相关行业公司成立方案及可行性研究报告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0555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_Toc10555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7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_Toc3077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97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_Toc26597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57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_Toc24957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91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_Toc16191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31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_Toc12231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28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_Toc17528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0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_Toc2170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69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_Toc22369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94" w:history="1">
        <w:r>
          <w:rPr>
            <w:rFonts w:ascii="仿宋" w:eastAsia="仿宋" w:hAnsi="仿宋" w:cs="仿宋" w:hint="eastAsia"/>
            <w:lang w:eastAsia="zh-CN"/>
          </w:rPr>
          <w:t>二、组织毒活苗项目概况</w:t>
        </w:r>
        <w:r>
          <w:tab/>
        </w:r>
        <w:r>
          <w:fldChar w:fldCharType="begin"/>
        </w:r>
        <w:r>
          <w:instrText xml:space="preserve"> PAGEREF _Toc30294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86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_Toc8486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42" w:history="1">
        <w:r>
          <w:rPr>
            <w:rFonts w:ascii="仿宋" w:eastAsia="仿宋" w:hAnsi="仿宋" w:cs="仿宋" w:hint="eastAsia"/>
            <w:lang w:eastAsia="zh-CN"/>
          </w:rPr>
          <w:t>(二)、组织毒活苗项目提出的理由</w:t>
        </w:r>
        <w:r>
          <w:tab/>
        </w:r>
        <w:r>
          <w:fldChar w:fldCharType="begin"/>
        </w:r>
        <w:r>
          <w:instrText xml:space="preserve"> PAGEREF _Toc18842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59" w:history="1">
        <w:r>
          <w:rPr>
            <w:rFonts w:ascii="仿宋" w:eastAsia="仿宋" w:hAnsi="仿宋" w:cs="仿宋" w:hint="eastAsia"/>
            <w:lang w:eastAsia="zh-CN"/>
          </w:rPr>
          <w:t>(三)、组织毒活苗项目选址</w:t>
        </w:r>
        <w:r>
          <w:tab/>
        </w:r>
        <w:r>
          <w:fldChar w:fldCharType="begin"/>
        </w:r>
        <w:r>
          <w:instrText xml:space="preserve"> PAGEREF _Toc21959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98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_Toc24598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14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_Toc13914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16" w:history="1">
        <w:r>
          <w:rPr>
            <w:rFonts w:ascii="仿宋" w:eastAsia="仿宋" w:hAnsi="仿宋" w:cs="仿宋" w:hint="eastAsia"/>
            <w:lang w:eastAsia="zh-CN"/>
          </w:rPr>
          <w:t>(六)、组织毒活苗项目投资</w:t>
        </w:r>
        <w:r>
          <w:tab/>
        </w:r>
        <w:r>
          <w:fldChar w:fldCharType="begin"/>
        </w:r>
        <w:r>
          <w:instrText xml:space="preserve"> PAGEREF _Toc3816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8" w:history="1">
        <w:r>
          <w:rPr>
            <w:rFonts w:ascii="仿宋" w:eastAsia="仿宋" w:hAnsi="仿宋" w:cs="仿宋" w:hint="eastAsia"/>
            <w:lang w:eastAsia="zh-CN"/>
          </w:rPr>
          <w:t>(七)、组织毒活苗项目进度规划</w:t>
        </w:r>
        <w:r>
          <w:tab/>
        </w:r>
        <w:r>
          <w:fldChar w:fldCharType="begin"/>
        </w:r>
        <w:r>
          <w:instrText xml:space="preserve"> PAGEREF _Toc608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53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_Toc17153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11" w:history="1">
        <w:r>
          <w:rPr>
            <w:rFonts w:ascii="仿宋" w:eastAsia="仿宋" w:hAnsi="仿宋" w:cs="仿宋" w:hint="eastAsia"/>
            <w:lang w:eastAsia="zh-CN"/>
          </w:rPr>
          <w:t>(九)、组织毒活苗项目综合评价</w:t>
        </w:r>
        <w:r>
          <w:tab/>
        </w:r>
        <w:r>
          <w:fldChar w:fldCharType="begin"/>
        </w:r>
        <w:r>
          <w:instrText xml:space="preserve"> PAGEREF _Toc14511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42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_Toc22242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48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_Toc19648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76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_Toc20276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95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_Toc23395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35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_Toc32035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5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_Toc555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33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_Toc15533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81" w:history="1">
        <w:r>
          <w:rPr>
            <w:rFonts w:ascii="仿宋" w:eastAsia="仿宋" w:hAnsi="仿宋" w:cs="仿宋" w:hint="eastAsia"/>
            <w:lang w:eastAsia="zh-CN"/>
          </w:rPr>
          <w:t>(七)、组织毒活苗项目建设必要性分析</w:t>
        </w:r>
        <w:r>
          <w:tab/>
        </w:r>
        <w:r>
          <w:fldChar w:fldCharType="begin"/>
        </w:r>
        <w:r>
          <w:instrText xml:space="preserve"> PAGEREF _Toc22281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71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_Toc30271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35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_Toc10735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9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_Toc1619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57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_Toc18557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1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_Toc751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35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_Toc31735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70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_Toc22070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73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_Toc31773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90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_Toc7790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30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_Toc9630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7" w:history="1">
        <w:r>
          <w:rPr>
            <w:rFonts w:ascii="仿宋" w:eastAsia="仿宋" w:hAnsi="仿宋" w:cs="仿宋" w:hint="eastAsia"/>
            <w:lang w:eastAsia="zh-CN"/>
          </w:rPr>
          <w:t>(一)、组织毒活苗项目背景分析</w:t>
        </w:r>
        <w:r>
          <w:tab/>
        </w:r>
        <w:r>
          <w:fldChar w:fldCharType="begin"/>
        </w:r>
        <w:r>
          <w:instrText xml:space="preserve"> PAGEREF _Toc1817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30" w:history="1">
        <w:r>
          <w:rPr>
            <w:rFonts w:ascii="仿宋" w:eastAsia="仿宋" w:hAnsi="仿宋" w:cs="仿宋" w:hint="eastAsia"/>
            <w:lang w:eastAsia="zh-CN"/>
          </w:rPr>
          <w:t>(二)、组织毒活苗项目建设必要性分析</w:t>
        </w:r>
        <w:r>
          <w:tab/>
        </w:r>
        <w:r>
          <w:fldChar w:fldCharType="begin"/>
        </w:r>
        <w:r>
          <w:instrText xml:space="preserve"> PAGEREF _Toc31030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98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_Toc11298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73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_Toc20673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4366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_Toc24366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21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_Toc25021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67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_Toc10367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72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_Toc8472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56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_Toc26656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96" w:history="1">
        <w:r>
          <w:rPr>
            <w:rFonts w:ascii="仿宋" w:eastAsia="仿宋" w:hAnsi="仿宋" w:cs="仿宋" w:hint="eastAsia"/>
            <w:lang w:eastAsia="zh-CN"/>
          </w:rPr>
          <w:t>(五)、组织毒活苗项目总投资</w:t>
        </w:r>
        <w:r>
          <w:tab/>
        </w:r>
        <w:r>
          <w:fldChar w:fldCharType="begin"/>
        </w:r>
        <w:r>
          <w:instrText xml:space="preserve"> PAGEREF _Toc31296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73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_Toc24873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10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_Toc7110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4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_Toc2134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87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_Toc28187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08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_Toc30808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66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_Toc11566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59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_Toc16759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99" w:history="1">
        <w:r>
          <w:rPr>
            <w:rFonts w:ascii="仿宋" w:eastAsia="仿宋" w:hAnsi="仿宋" w:cs="仿宋" w:hint="eastAsia"/>
            <w:lang w:eastAsia="zh-CN"/>
          </w:rPr>
          <w:t>(一)、组织毒活苗项目进度安排</w:t>
        </w:r>
        <w:r>
          <w:tab/>
        </w:r>
        <w:r>
          <w:fldChar w:fldCharType="begin"/>
        </w:r>
        <w:r>
          <w:instrText xml:space="preserve"> PAGEREF _Toc9199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09" w:history="1">
        <w:r>
          <w:rPr>
            <w:rFonts w:ascii="仿宋" w:eastAsia="仿宋" w:hAnsi="仿宋" w:cs="仿宋" w:hint="eastAsia"/>
            <w:lang w:eastAsia="zh-CN"/>
          </w:rPr>
          <w:t>(二)、组织毒活苗项目实施保障措施</w:t>
        </w:r>
        <w:r>
          <w:tab/>
        </w:r>
        <w:r>
          <w:fldChar w:fldCharType="begin"/>
        </w:r>
        <w:r>
          <w:instrText xml:space="preserve"> PAGEREF _Toc14209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49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_Toc16649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77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_Toc14377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04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_Toc13904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03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_Toc30003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73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_Toc8373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11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_Toc26911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90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_Toc25790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71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_Toc4671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4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_Toc3024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14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_Toc12114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11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_Toc4311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19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_Toc21019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34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_Toc16134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54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_Toc32654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14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_Toc7114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44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_Toc4744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47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_Toc23847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49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_Toc32049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51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_Toc14351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43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_Toc9843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85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_Toc28285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04" w:history="1">
        <w:r>
          <w:rPr>
            <w:rFonts w:ascii="仿宋" w:eastAsia="仿宋" w:hAnsi="仿宋" w:cs="仿宋" w:hint="eastAsia"/>
            <w:lang w:eastAsia="zh-CN"/>
          </w:rPr>
          <w:t>十三、市场营销策略</w:t>
        </w:r>
        <w:r>
          <w:tab/>
        </w:r>
        <w:r>
          <w:fldChar w:fldCharType="begin"/>
        </w:r>
        <w:r>
          <w:instrText xml:space="preserve"> PAGEREF _Toc19504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4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_Toc854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53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_Toc22553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28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_Toc27228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98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_Toc17498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33" w:history="1">
        <w:r>
          <w:rPr>
            <w:rFonts w:ascii="仿宋" w:eastAsia="仿宋" w:hAnsi="仿宋" w:cs="仿宋" w:hint="eastAsia"/>
            <w:lang w:eastAsia="zh-CN"/>
          </w:rPr>
          <w:t>十四、组织毒活苗项目总结分析</w:t>
        </w:r>
        <w:r>
          <w:tab/>
        </w:r>
        <w:r>
          <w:fldChar w:fldCharType="begin"/>
        </w:r>
        <w:r>
          <w:instrText xml:space="preserve"> PAGEREF _Toc31933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27" w:history="1">
        <w:r>
          <w:rPr>
            <w:rFonts w:ascii="仿宋" w:eastAsia="仿宋" w:hAnsi="仿宋" w:cs="仿宋" w:hint="eastAsia"/>
            <w:lang w:eastAsia="zh-CN"/>
          </w:rPr>
          <w:t>十五、推进公司成立的必要性分析</w:t>
        </w:r>
        <w:r>
          <w:tab/>
        </w:r>
        <w:r>
          <w:fldChar w:fldCharType="begin"/>
        </w:r>
        <w:r>
          <w:instrText xml:space="preserve"> PAGEREF _Toc22127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06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_Toc32506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7105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_Toc27105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77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_Toc11077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0555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077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6597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https://d.book118.com/118070025112006031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组织毒活苗相关行业公司成立方案及可行性研究报告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组织毒活苗相关行业公司成立方案及可行性研究报告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组织毒活苗相关行业公司成立方案及可行性研究报告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组织毒活苗相关行业公司成立方案及可行性研究报告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组织毒活苗相关行业公司成立方案及可行性研究报告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1807002511200603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2024-01-20T01:28:00Z</dcterms:created>
  <dcterms:modified xsi:type="dcterms:W3CDTF">2024-01-20T01:28:37Z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7D66CFC01B7B4A6B9858D4C872497A8B_11</vt:lpwstr>
  </property>
  <property fmtid="{D5CDD505-2E9C-101B-9397-08002B2CF9AE}" pid="3" name="KSOProductBuildVer">
    <vt:lpwstr>2052-12.1.0.16120</vt:lpwstr>
  </property>
</Properties>
</file>