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光刻胶用光引发剂项目规划设计方案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一、建设用地、征地拆迁及移民安置分析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(一)、光刻胶用光引发剂项目选址及用地方案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0" w:history="1">
        <w:r>
          <w:rPr>
            <w:rFonts w:ascii="仿宋" w:eastAsia="仿宋" w:hAnsi="仿宋" w:cs="仿宋" w:hint="eastAsia"/>
            <w:lang w:eastAsia="zh-CN"/>
          </w:rPr>
          <w:t>二、建设光刻胶用光引发剂项目概况</w:t>
        </w:r>
        <w:r>
          <w:tab/>
        </w:r>
        <w:r>
          <w:fldChar w:fldCharType="begin"/>
        </w:r>
        <w:r>
          <w:instrText xml:space="preserve"> PAGEREF _Toc31490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(二)、建设光刻胶用光引发剂项目基本情况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" w:history="1">
        <w:r>
          <w:rPr>
            <w:rFonts w:ascii="仿宋" w:eastAsia="仿宋" w:hAnsi="仿宋" w:cs="仿宋" w:hint="eastAsia"/>
            <w:lang w:eastAsia="zh-CN"/>
          </w:rPr>
          <w:t>(四)、建设光刻胶用光引发剂项目地理位置</w:t>
        </w:r>
        <w:r>
          <w:tab/>
        </w:r>
        <w:r>
          <w:fldChar w:fldCharType="begin"/>
        </w:r>
        <w:r>
          <w:instrText xml:space="preserve"> PAGEREF _Toc3058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eastAsia="zh-CN"/>
          </w:rPr>
          <w:t>(五)、光刻胶用光引发剂项目所在地自然条件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(六)、光刻胶用光引发剂项目周边环境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三、光刻胶用光引发剂行业背景及市场分析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(一)、光刻胶用光引发剂行业创新驱动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(二)、光刻胶用光引发剂行业发展现状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(三)、光刻胶用光引发剂行业高质量发展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eastAsia="zh-CN"/>
          </w:rPr>
          <w:t>(四)、光刻胶用光引发剂行业产业链分析</w:t>
        </w:r>
        <w:r>
          <w:tab/>
        </w:r>
        <w:r>
          <w:fldChar w:fldCharType="begin"/>
        </w:r>
        <w:r>
          <w:instrText xml:space="preserve"> PAGEREF _Toc18633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(五)、光刻胶用光引发剂行业发展方向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(六)、光刻胶用光引发剂行业前景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(七)、光刻胶用光引发剂行业发展趋势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四、光刻胶用光引发剂项目概况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(二)、光刻胶用光引发剂项目提出的理由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(三)、光刻胶用光引发剂项目选址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(六)、光刻胶用光引发剂项目投资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(七)、光刻胶用光引发剂项目进度规划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(九)、光刻胶用光引发剂项目综合评价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_Toc18942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(一)、光刻胶用光引发剂项目建设期原辅材料供应情况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(二)、光刻胶用光引发剂项目运营期原辅材料供应及质量管理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六、光刻胶用光引发剂生产控制的概念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5" w:history="1">
        <w:r>
          <w:rPr>
            <w:rFonts w:ascii="仿宋" w:eastAsia="仿宋" w:hAnsi="仿宋" w:cs="仿宋" w:hint="eastAsia"/>
            <w:lang w:eastAsia="zh-CN"/>
          </w:rPr>
          <w:t>(一)、光刻胶用光引发剂生产控制的概念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七、光刻胶用光引发剂项目概论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(一)、创新计划及光刻胶用光引发剂项目性质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11" w:history="1">
        <w:r>
          <w:rPr>
            <w:rFonts w:ascii="仿宋" w:eastAsia="仿宋" w:hAnsi="仿宋" w:cs="仿宋" w:hint="eastAsia"/>
            <w:lang w:eastAsia="zh-CN"/>
          </w:rPr>
          <w:t>(二)、主管单位与光刻胶用光引发剂项目执行方</w:t>
        </w:r>
        <w:r>
          <w:tab/>
        </w:r>
        <w:r>
          <w:fldChar w:fldCharType="begin"/>
        </w:r>
        <w:r>
          <w:instrText xml:space="preserve"> PAGEREF _Toc23111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(四)、光刻胶用光引发剂项目提出背景和合理性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5" w:history="1">
        <w:r>
          <w:rPr>
            <w:rFonts w:ascii="仿宋" w:eastAsia="仿宋" w:hAnsi="仿宋" w:cs="仿宋" w:hint="eastAsia"/>
            <w:lang w:eastAsia="zh-CN"/>
          </w:rPr>
          <w:t>(五)、光刻胶用光引发剂项目选址和土地综合评估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9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_Toc19109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(十)、光刻胶用光引发剂项目能源消耗分析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eastAsia="zh-CN"/>
          </w:rPr>
          <w:t>(十二)、光刻胶用光引发剂项目进度规划与执行</w:t>
        </w:r>
        <w:r>
          <w:tab/>
        </w:r>
        <w:r>
          <w:fldChar w:fldCharType="begin"/>
        </w:r>
        <w:r>
          <w:instrText xml:space="preserve"> PAGEREF _Toc16480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5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_Toc32735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八、环境可持续性管理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5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九、安全评价结论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十、员工家庭与工作平衡支持计划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3" w:history="1">
        <w:r>
          <w:rPr>
            <w:rFonts w:ascii="仿宋" w:eastAsia="仿宋" w:hAnsi="仿宋" w:cs="仿宋" w:hint="eastAsia"/>
            <w:lang w:eastAsia="zh-CN"/>
          </w:rPr>
          <w:t>十一、营销和销售分析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十二、光刻胶用光引发剂项目经济评价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(三)、光刻胶用光引发剂项目盈利能力分析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十三、第十二章职业伦理与社会责任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4" w:history="1">
        <w:r>
          <w:rPr>
            <w:rFonts w:ascii="仿宋" w:eastAsia="仿宋" w:hAnsi="仿宋" w:cs="仿宋" w:hint="eastAsia"/>
            <w:lang w:eastAsia="zh-CN"/>
          </w:rPr>
          <w:t>十四、运营风险管理的一般程序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5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_Toc24593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十六、财务管理与报告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4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_Toc31694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十八、光刻胶用光引发剂商业模式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eastAsia="zh-CN"/>
          </w:rPr>
          <w:t>(一)、光刻胶用光引发剂新型运营方式</w:t>
        </w:r>
        <w:r>
          <w:tab/>
        </w:r>
        <w:r>
          <w:fldChar w:fldCharType="begin"/>
        </w:r>
        <w:r>
          <w:instrText xml:space="preserve"> PAGEREF _Toc985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1" w:history="1">
        <w:r>
          <w:rPr>
            <w:rFonts w:ascii="仿宋" w:eastAsia="仿宋" w:hAnsi="仿宋" w:cs="仿宋" w:hint="eastAsia"/>
            <w:lang w:eastAsia="zh-CN"/>
          </w:rPr>
          <w:t>(二)、光刻胶用光引发剂数字化发展方案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(三)、光刻胶用光引发剂企业文化建设方案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(四)、光刻胶用光引发剂供应链管理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十九、战略的定量评价决策方法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01" w:history="1">
        <w:r>
          <w:rPr>
            <w:rFonts w:ascii="仿宋" w:eastAsia="仿宋" w:hAnsi="仿宋" w:cs="仿宋" w:hint="eastAsia"/>
            <w:lang w:eastAsia="zh-CN"/>
          </w:rPr>
          <w:t>二十、供应链安全管理</w:t>
        </w:r>
        <w:r>
          <w:tab/>
        </w:r>
        <w:r>
          <w:fldChar w:fldCharType="begin"/>
        </w:r>
        <w:r>
          <w:instrText xml:space="preserve"> PAGEREF _Toc13201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5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_Toc17305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1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_Toc22931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85"/>
      <w:r>
        <w:rPr>
          <w:rFonts w:ascii="仿宋" w:eastAsia="仿宋" w:hAnsi="仿宋" w:cs="仿宋" w:hint="eastAsia"/>
          <w:sz w:val="28"/>
          <w:lang w:eastAsia="zh-CN"/>
        </w:rPr>
        <w:t>一、建设用地、征地拆迁及移民安置分析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17"/>
      <w:r>
        <w:rPr>
          <w:rFonts w:ascii="仿宋" w:eastAsia="仿宋" w:hAnsi="仿宋" w:cs="仿宋" w:hint="eastAsia"/>
          <w:lang w:eastAsia="zh-CN"/>
        </w:rPr>
        <w:t>(一)、光刻胶用光引发剂项目选址及用地方案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光刻胶用光引发剂项目的选址原则包括：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避免环境敏感区域：所选场址应远离自然保护区、景区、饮用水源地和其他需要特别保护的环境敏感区域。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考虑地理条件和基础设施：光刻胶用光引发剂项目应选择地理条件优越、基础设施相对完善、具备发展潜力的区域。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符合城市规划：光刻胶用光引发剂项目建设区域应符合城市总体规划要求，布局相对独立且便于与建成区联系。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环境友好与社会影响：光刻胶用光引发剂项目不应对周围环境造成污染，不得超出法律和标准的允许范围，也不应引起不满或不良社会影响。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https://d.book118.com/118122016101006041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光刻胶用光引发剂项目规划设计方案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AD419B"/>
    <w:rsid w:val="4593521B"/>
    <w:rsid w:val="6EAD419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122016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2024-02-19T12:40:00Z</dcterms:created>
  <dcterms:modified xsi:type="dcterms:W3CDTF">2024-02-19T12:40:30Z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F957191CAB9543DB90FDC37F773C5918_11</vt:lpwstr>
  </property>
  <property fmtid="{D5CDD505-2E9C-101B-9397-08002B2CF9AE}" pid="3" name="KSOProductBuildVer">
    <vt:lpwstr>2052-12.1.0.16250</vt:lpwstr>
  </property>
</Properties>
</file>