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银行柜员考试：建行柜员合规考试考试资料（最新版）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客户对账副本账单打印由（）完成。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A.会计部门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B.营运部门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C.业务部门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D.营业网点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2、单选 私人银行为客户提供每年（）小时的免费法律顾问服务。</w:t>
      </w:r>
      <w:r>
        <w:rPr>
          <w:rFonts w:ascii="宋体" w:eastAsia="宋体" w:hAnsi="宋体" w:cs="宋体" w:hint="eastAsia"/>
          <w:outline w:val="0"/>
          <w:shadow w:val="0"/>
          <w:emboss w:val="0"/>
          <w:imprint w:val="0"/>
          <w:vanish w:val="0"/>
          <w:w w:val="100"/>
          <w:sz w:val="28"/>
          <w:szCs w:val="28"/>
          <w:u w:val="none"/>
          <w:lang w:eastAsia="zh-CN"/>
        </w:rPr>
        <w:t>（江南博哥）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3、多选 公民身份信息系统查询结果为号码存在，但姓名不匹配，原因可能是（）。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A.查询时将被核查人姓名输错，应重新查询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B.证件号码与他人重号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C.被核查人已变更姓名，而公安系统未及时更新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D.姓名中有字库中少见的复杂字，公安系统无法录入而使用其它字代替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E.其他原因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客户申请住房公积金贷款所需要提供的基本资料不包括（）.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A.身份证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B.户口簿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C.婚姻状况证明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D.工作证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河南分行集中采购限额标准为人民币（）。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E.20万元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6、单选 下列不能申请对公贷款的是（）。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A.独资企业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B.联营企业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C.流动摊贩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D.中外合作经营企业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E.乡镇企业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营业性系统中同一系统同一业务的（）和复核岗（授权）为不兼容岗位。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A.经办岗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B.审批岗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C.维护岗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D.审核岗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E.审定岗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8、单选 违约概率是指债务人未来（）发生违约的可能性。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A.一个月内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B.半年内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C.一年内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D.三至五年内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E.十年内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9、单选 上级的业务决策，明显会给建设银行带来损失，员工向上级说明后，上级拒绝改变，员工应（）.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A.遵照执行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B.不折不扣执行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C.立即越级报告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D.变通后执行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10、单选 客户持本人有效身份证件、理财协议，可以在（）网点开立理财产品资信证明。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A.任一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B.省内任一网点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C.原协议网点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国内保理的回购宽限期在合同中约定，一般不超过（）。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D.120天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12、单选 二战后，西方国家建立了以黄金—美元本位为基础的布雷顿森林体系，确立了美元在国际货币体系中的核心地位。在布雷顿森林体系中，黄金和美元的官方比价是多少？（）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A.每盎司黄金等于53美元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B.每盎司黄金等于35美元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C.每盎司黄金等于100美元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D.每盎司黄金等于1美元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13、多选 短信银行的目标客户是？（）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A.在我行开立人民币银行结算账户的自然人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B.法人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C.其它组织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D.以上都不对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14、单选 整点操作岗接收上门收款收回的款箱（包）时，要（）整点，严禁将不同《现金交款单》所对应的款箱（包）混点。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A.集中开箱（包）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B.分别开箱（包）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C.分批次开箱（包）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D.同时打开接收的箱（包）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15、多选 以下属于我行新型财务顾问的有（）。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A.私募财务顾问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B.IPO及再融资财务顾问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C.定向增发财务顾问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D.行业分析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16、单选 营运管理重大事项管理应遵循的（）是：发生营运重大事故、案件或发现重大风险隐患，要实事求是地向上级行报告，不得隐瞒或掩饰责任事故真相和发生原因。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A.实事求是原则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B.真实性原则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C.如实上报原则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D.及时性原则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E.重要性原则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3"/>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什么是指世界各国的中央政府或银行为满足一般投资者希望拥有钱币状黄金作为黄金储藏的需求而发行的具有一定币重、成色和面值，并铸成一定形状的铸金货币。（）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A.纪念辅币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B.纪念硬币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C.纪念金币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D.纪念钞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18、多选 各种会计专用印章必须严格按规定的范围使用，严禁（）。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A.错用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B.串用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C.提前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D.过期使用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19、多选 重要单证凭证保管基本要求，以下描述正确的是（）。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A.营业时间经办人员如需临时离岗，应将重要单证入柜（箱）妥善保管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B.营业终了，柜员保管的重要单证入保险柜或放入尾箱寄库保管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C.保管重要单证的保险柜应放置在录像监控下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D.柜员领用保管的重要空白凭证数量不得超过实际用量或核准保管量。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20、多选 经济资本在建设银行（）等方面可发挥实效。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A.风险偏好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C.限额管理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D.绩效评估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E.经营管理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21、单选 以下哪项不是私人银行内部环境的特点？（）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A.尊贵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B.大众化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C.舒适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D.私密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2012年末，建设银行市值为（）美元，居全球上市银行第二位。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A.2000亿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B.2101亿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C.2302亿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D.2503亿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E.2704亿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23、单选 财政公务卡的持有人是（）。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A.无业人员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B.银行员工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C.预算单位工作员工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D.以上三项均包括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24、单选 法人透支账户如需通兑透支，需经二级分（支）行（）部门审批。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A.资金结算部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B.财会部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C.营运部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D.信贷（营销）部门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25、单选 使用芭比美丽卡刷卡全额购买机票，可免费获赠高额航空意外险的金额分别是（）。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A.普卡30万元、金卡50万元、白金卡100万元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B.普卡50万元、金卡100万元、白金卡200万元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C.普卡50万元、金卡100万元、白金卡500万元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D.普卡50万元、金卡300万元、白金卡500万元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E.普卡100万元、金卡300万元、白金卡500万元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26、单选 职工福利费年度支出上限比例原则上为当年工资总额的（）。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A.0.01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B.0.06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C.0.02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D.0.1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27、多选 建设银行员工行为规范中对员工职业道德的要求包括（）。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A.客户至上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B.服务为本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C.爱行敬业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D.诚信守约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E.勤俭节约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28、多选 企业客户签约我行电话银行需要提供哪些资料？（）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A.组织机构代码证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B.营业执照副本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C.预留印鉴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D.经办人员有效身份证件（原件及复印件）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29、单选 每日整点结束后，未成捆现金放入（）保管。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A.保险柜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B.文件柜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C.库存现金专用尾箱入现金库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D.库存现金专用尾箱入尾箱库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30、多选 对公授信业务风险监测系统（CRMS系统）中风险提示事项的处置流程包括（）。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A.风险报警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B.通知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C.核查处置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D.风险提示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E.确认解除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31、多选 建行员工发现其他员工有违反规章制度的行为，以及与建行工作相关的可疑或欺诈性事件时，应立即向哪些部门报告？（）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A.直接上级或其他上级部门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B.信访部门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C.业务主管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D.当班大堂经理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E.合规部门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32、多选 以下属于资产收益权理财产品出让企业准入标准的有（）。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A.符合国家产业政策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B.符合人民银行及银监会监管政策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C.符合我行的信贷政策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D.有足额授信额度覆盖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33、多选 企业年金业务的业务优势包括（）。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A.合理避税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B.留住人才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C.提高企业核心竞争力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D.提高退休保障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E.节约资金成本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34、多选 中国建设银行股份有限公司河南省分行信贷业务审批纵向转授权方案规定，小企业客户河南省分行二级分行信用等级审批权限为（）。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A.建议评级不高于系统评级结果R2的客户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B.对于向上推翻并申报aa+，aa，aa-，a+，a，a-信用等级的客户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C.申报b级（含）以下的客户信用等级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D.向上推翻并申报aaa信用等级的客户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35、单选 我行大白金客户可享受全国三甲医院贵宾预约挂号、全年可享受（）次全程导诊服务，持卡人本人和（）名亲属共享。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E.5，2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36、多选 私人银行高端医疗服务的内容包括（）。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A.贵宾体检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B.专家预约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C.贵宾就医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D.私人医生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37、单选 我行个人助业贷款的单户最高额度是（）万元。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38、多选 关于个人自用车贷款，下列说法正确的是（）。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A.借款人购买自用车所申请的汽车贷款（自营车指所购买的不以营利为目的的汽车）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B.贷款对象为我国公民或在我国境内连续居住一年以上（含）的港澳台居民及外国人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C.贷款期限最长5年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D.担保方式多样，可采取纯车辆抵押，车辆抵押＋担保机构担保，车辆抵押＋履约保证保险，车辆抵押＋自然人保证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39、单选 下列哪个客户符合目前个人有效客户的标准（）.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A.个人客户金融总量在100万元（含）以上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B.个人客户金融总量大于等于20万元小于50万元，且当年账务性交易量在6笔以上，且个人产品覆盖2个以上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C.个人客户金融总量大于等于0.2万元，且当年账务性交易量在12笔以上，且个人产品覆盖3个以上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D.个人客户金融总量大于等于5万元小于20万元，且当年账务性交易量在12笔以上，且个人产品覆盖3个以上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个人再交易住房贷款期限最长不超过（）年。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41、单选 对公结售汇业务可分为即期业务、远期业务、掉期业务。掉期业务是指交易双方同时进行（）笔到期日不同且方向相反的即期或远期交易。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42、单选 参数管理的（）环节是指职责部门根据业务规则对参数变更申请内容进行正确性、合规性审查。经审查后，变更参数申请方可流转至营运管理部进行维护管理。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C.检核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43、单选 营运稽核系统根据问题性质不同，采取不同的督促整改方式：一般违规、重大违规类问题在营业机构整改的基础上，由其（）监督整改。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B.上级业务管理部门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C.纪检监察部门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44、单选 个人住房抵押额度贷款，是建设银行用信贷资金向自然人发放的，以其（）作最高额抵押，用于其明确用途的人民币贷款.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A.自有住房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B.自有住房或商业用房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C.自有或家庭成员所有住房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D.自有或家庭成员所有住房或商业用房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45、多选 贷款按期限可分为（）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A、短期贷款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B、中期贷款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C、固定资产贷款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D、长期贷款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46、多选 组合风险管理的目标包括（）。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A.防范系统性风险，降低资产波动性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B.实现价值二次创造，促进银行业绩稳步增长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C.建立资本集约化经营模式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D.科学制定并有效传导风险偏好，推动组合风险与收益的动态平衡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E.主动安排风险，优化资源配置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47、单选 针对风险较高的贷款实施贷款利率上浮属于（）的范畴。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A.风险分散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B.风险对冲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C.风险补偿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D.风险规避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E.风险缓释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48、单选 以下哪些情况不需要缴纳个人所得税。（）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A.信用卡、借记卡积分兑换的礼品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B.企业在庆典活动中向本单位以外的个人赠送礼品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C.企业对累积消费达到一定额度的顾客，给予额外抽奖机会，个人的获奖所得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D.企业在业务宣传活动中，随机向本单位以外的个人赠送礼品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49、多选 以下属于小企业四大产品体系的业务有（）。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A.速贷通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B.成长之路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C.小额贷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D.信用贷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E.助保贷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50、单选 在信贷担保方式中，（）是指债务人或者第三人将其财产移交建设银行占有，将该财产作为对建设银行债权的担保。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A.质押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B.抵押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D.订金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51、单选 某网点对公产品覆盖度4，对公有效客户100个，存款余额1万元以上客户300个，存款客户330个，贷款客户30个，基本结算户200个，符合标准的客户一共使用了我行多少个产品？（）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A.400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以下不属于小企业四大产品体系的有（）。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A.速贷通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B.网银循环贷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C.成长之路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D.信用贷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53、多选 有效的首付款缴款单据包括（）。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A.发票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B.收据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C.银行转账凭据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D.银行进账凭据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54、单选 香港投资移民服务减免年费的银行是（）。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A.汇丰银行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B.中银香港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C.建设银行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D.恒生银行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55、多选 龙卡商城为龙卡持卡人提供（）服务。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A.缴纳公共事业费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B.在线购物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C.增值服务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D.消费信贷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56、多选 客户服务中的对仪态的基本要求有哪些（）。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A.表情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B.眼神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C.姿态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D.动作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E.语言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57、多选 《中国建设银行股份有限公司员工合规手册》依循的法律法规包括但不限于以下内容法律法规是什么？（）。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A.《中国人民银行法》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B.《商业银行法》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C.《银行业监督管理法》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D.《证券法》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E.《商业银行合规风险管理指引》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58、单选 在通过风险识别确定风险性质的基础上，对影响目标实现的潜在事项出现的可能性和影响程度进行评估和计量的过程是风险管理流程中的（）。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A.风险监测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C.风险评估与计量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D.风险识别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E.风险控制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59、多选 营运业务外包风险种类及表现形式除外包服务供应商准入风险、外包人员流动性风险、信息泄密风险、外包业务传递交接风险外，还包括（）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A.外包作业场地风险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B.外包合同管理风险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C.日常监管不到位风险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D.业务应急风险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60、多选 按照风险程度大小，信贷资产可划分为（）。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A.正常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B.关注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C.次级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D.可疑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E.损失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61、单选 国内保理业务中预付款担保方式为（）。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B.抵押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C.质押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62、单选 个人住房贷款期限在（）的，遇法定利率调整，于下年1月1日开始，按相应利率档次执行新的利率。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A.1年以上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B.1年以内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C.2年以上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D.2年以内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63、多选 按审批结论内容区分，审批结论分为（）。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A.同意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B.续议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C.否决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D.复议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64、多选 可刷卡免年费的白金卡系列，包括（）。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A.银联标准白金卡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B.芭比白金卡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C.欧洲旅行卡白金卡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D.精英版白金卡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E.汽车卡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65、多选 手机银行特约取款申请成功后，凭（）在ATM取款。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A.特约取款ID号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B.取款密码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C.身份证号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D.账号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66、单选 经济资本是指在一定的置信度和期限下，对于建设银行特定资产组合，为了覆盖和抵御（）所需要持有的资本数额。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A.预期损失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B.极端损失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C.敞口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E.非预期损失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67、多选 以下（）是我行集中采购的方式。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A.公开招标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B.邀请招标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C.竞争性谈判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D.议标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E.单一来源采购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68、单选 个人消费贷款的贷款对象为（）的具有完全民事行为能力的中国公民。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A.16周岁~60周岁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B.18周岁~60周岁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C.20周岁~60周岁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D.18周岁~65周岁（特殊优质客户群体不超过70岁）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信贷资产的分类方法包括（）两种。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A.直接分类与非直接分类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B.权重法与标准法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C.风险因子调整与风险缓释措施调整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D.定性判断与定量计算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E.初级法与高级法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70、单选 以下公司类信贷资产分类流程顺序正确的是（）。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A.分类准备、初分、分类认定、分类审批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B.分类认定、分类准备、分类审批、初分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C.分类认定、分类审批、分类准备、初分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D.分类准备、分类认定、分类审批、初分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E.分类准备、分类认定、初分、分类审批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71、单选 我行处置抵债资产时，原则上应要求买受人一次性付款，付款期限控制在（）内；采用分期付款方式的，首付款比例不得低于成交金额的（），最长付款期限不得超过一年。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A.1个月，30%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B.2个月，30%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C.3个月，50%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D.6个月，20%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72、单选 同一借记卡账户连续（）次输入交易密码（含网点、ATM、POS、电话银行、网上银行等各类渠道）不正确，发卡行将立即对该卡进行锁定，禁止所有持卡交易。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D.6次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73、单选 单位客户租用保管箱时必须指定有完全民事行为能力的（）作为保管箱业务的授权代理人。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A.自然人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B.负责人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C.财务人员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D.营销人员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银行结算账户管理档案按会计档案进行管理，保管期限为银行结算账户撤销后（）年。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E.无有效期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75、多选 服务礼仪主要是对员工的哪些方面做出的要求（）。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A.仪容要求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B.仪表要求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C.仪态要求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D.服务流程八步法要求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76、多选 手机银行涉及的费用有（）。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A.管理费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B.交易手续费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C.上网流量费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77、单选 法定存款准备金按法人统一考核，由各金融机构总行按（）统一存入人民银行。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78、单选 在风险监测的基础上，编制不同层次和种类的报告，遵循报告的发送范围、程序和频率，以满足不同风险管理层级和不同职能部门对于风险状况的多样性需求的过程是风险管理流程中的（）。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B.风险监测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C.风险评估与计量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D.风险识别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E.风险控制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79、多选 关于私人银行国际紧急救援服务，以下说法正确的是（）。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A.与国际SOS组织合作推出的国际救援服务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B.在私人银行客户在异乡遇到突发事件需要帮助时提供服务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C.可以24小时拨打建设银行国际SOS服务专线寻求帮助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D.有专业人员和医生提供高品质服务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80、多选 营业性系统日常作业流程包括（）。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A.应急演练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B.完成相关系统工前准备、登录、签到等日始处理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C.完成相关系统日间监控、业务分析和处理、特殊业务处理、参数维护等日间处理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D.完成相关系统日终对账、数据备份、签退等日终处理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购车分期商户批量开通商户分期需提供协议并附（）上报省分行审批.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A.审批表、注册表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B.分期商户批量审批注册表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C.龙卡信用卡分期商户参数批量调整表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D.评价表、材料清单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代理信托计划业务，代收信托资金应通过（）操作。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A.手工转账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B.网银转账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C.理财系统“理财产品”功能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D.理财系统“代理第三方信托产品”功能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83、单选 现行存款利率上浮政策为央行基准利率（）。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A.上浮0%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B.上浮10%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C.上浮20%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D.上浮30%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E.无上限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84、多选 具有稽核系统查询权限的各级用户应（）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A.妥善保管自身的用户名和密码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B.按月更换密码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C.不得交由其他无权用户使用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D.不受限制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85、单选 营运管理重大事项管理应遵循的（）是：发生营运重大事故、案件或发现重大风险隐患，要在规定的时间内及时报告，采取有效措施排除故障或化解风险。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A.及时性原则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B.限时行原则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C.按时性原则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D.真实性原则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E.重要性原则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86、多选 “外汇”的划分口径按照外汇来源和用途分为（）。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A.贸易外汇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B.非贸易外汇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C.金融外汇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D.私人外汇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87、多选 他行卡可在我行自助设备上完成（）交易。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B.取款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C.查询余额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E.改密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88、单选 全面风险管理要覆盖所有机构、所有员工、所有业务类别及流程和所有风险形态，这是全面风险管理遵循的基本原则中的（）。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A.独立性原则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B.匹配性原则</w:t>
      </w:r>
      <w:r>
        <w:rPr>
          <w:rFonts w:ascii="宋体" w:eastAsia="宋体" w:hAnsi="宋体" w:cs="宋体"/>
          <w:outline w:val="0"/>
          <w:shadow w:val="0"/>
          <w:emboss w:val="0"/>
          <w:imprint w:val="0"/>
          <w:vanish w:val="0"/>
          <w:w w:val="100"/>
          <w:sz w:val="28"/>
          <w:szCs w:val="28"/>
          <w:u w:val="none"/>
        </w:rPr>
        <w:br/>
      </w:r>
      <w:r>
        <w:rPr>
          <w:rFonts w:ascii="宋体" w:eastAsia="宋体" w:hAnsi="宋体" w:cs="宋体"/>
          <w:outline w:val="0"/>
          <w:shadow w:val="0"/>
          <w:emboss w:val="0"/>
          <w:imprint w:val="0"/>
          <w:vanish w:val="0"/>
          <w:w w:val="100"/>
          <w:sz w:val="28"/>
          <w:szCs w:val="28"/>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https://d.book118.com/118130135135006036</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80D"/>
    <w:rsid w:val="000245BD"/>
    <w:rsid w:val="002B1D86"/>
    <w:rsid w:val="00B7380D"/>
    <w:rsid w:val="0C7047A3"/>
    <w:rsid w:val="748F0634"/>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1813013513500603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2774</Words>
  <Characters>15816</Characters>
  <Application>Microsoft Office Word</Application>
  <DocSecurity>0</DocSecurity>
  <Lines>131</Lines>
  <Paragraphs>37</Paragraphs>
  <ScaleCrop>false</ScaleCrop>
  <Company/>
  <LinksUpToDate>false</LinksUpToDate>
  <CharactersWithSpaces>18553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2024-02-06T00:26:00Z</dcterms:created>
  <dcterms:modified xsi:type="dcterms:W3CDTF">2024-02-20T01:03:14Z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5D0C31319F494A1D8B4744166392B0ED_13</vt:lpwstr>
  </property>
  <property fmtid="{D5CDD505-2E9C-101B-9397-08002B2CF9AE}" pid="3" name="KSOProductBuildVer">
    <vt:lpwstr>2052-12.1.0.16250</vt:lpwstr>
  </property>
</Properties>
</file>