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差压变送器相关行业公司成立方案及可行性研究报告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二、差压变送器项目概况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(二)、差压变送器项目提出的理由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(三)、差压变送器项目选址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(六)、差压变送器项目投资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(七)、差压变送器项目进度规划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(九)、差压变送器项目综合评价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_Toc24989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(七)、差压变送器项目建设必要性分析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_Toc16791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_Toc26480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_Toc14695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0" w:history="1">
        <w:r>
          <w:rPr>
            <w:rFonts w:ascii="仿宋" w:eastAsia="仿宋" w:hAnsi="仿宋" w:cs="仿宋" w:hint="eastAsia"/>
            <w:lang w:eastAsia="zh-CN"/>
          </w:rPr>
          <w:t>(一)、差压变送器项目进度安排</w:t>
        </w:r>
        <w:r>
          <w:tab/>
        </w:r>
        <w:r>
          <w:fldChar w:fldCharType="begin"/>
        </w:r>
        <w:r>
          <w:instrText xml:space="preserve"> PAGEREF _Toc12800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(二)、差压变送器项目实施保障措施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(一)、差压变送器项目背景分析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(二)、差压变送器项目建设必要性分析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1" w:history="1">
        <w:r>
          <w:rPr>
            <w:rFonts w:ascii="仿宋" w:eastAsia="仿宋" w:hAnsi="仿宋" w:cs="仿宋" w:hint="eastAsia"/>
            <w:lang w:eastAsia="zh-CN"/>
          </w:rPr>
          <w:t>九、差压变送器项目经济效益</w:t>
        </w:r>
        <w:r>
          <w:tab/>
        </w:r>
        <w:r>
          <w:fldChar w:fldCharType="begin"/>
        </w:r>
        <w:r>
          <w:instrText xml:space="preserve"> PAGEREF _Toc22671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(三)、差压变送器项目盈利能力分析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_Toc26451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十二、差压变送器项目总结分析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1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3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https://d.book118.com/125001030342011100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001030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2024-01-20T13:06:00Z</dcterms:created>
  <dcterms:modified xsi:type="dcterms:W3CDTF">2024-01-20T13:07:02Z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EB8723FD2991475B9F43CFEF87A31EF6_11</vt:lpwstr>
  </property>
  <property fmtid="{D5CDD505-2E9C-101B-9397-08002B2CF9AE}" pid="3" name="KSOProductBuildVer">
    <vt:lpwstr>2052-12.1.0.16120</vt:lpwstr>
  </property>
</Properties>
</file>