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泌尿肛肠外科手术器械行业企业战略发展规划及建议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3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二、工艺技术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8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_Toc25058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三、定性、定量安全评价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_Toc20363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四、人力资源风险管理的主要内容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五、法人治理架构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8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_Toc13618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(一)、泌尿肛肠外科手术器械生产控制的基本程序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八、法律法规及审批程序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十一、组织结构的基本类型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十二、科技创新与研发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十三、泌尿肛肠外科手术器械行业促销策略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eastAsia="zh-CN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_Toc23966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十五、泌尿肛肠外科手术器械项目监测与评估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(一)、泌尿肛肠外科手术器械项目监控体系建设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(四)、定期泌尿肛肠外科手术器械项目评估与改进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0" w:history="1">
        <w:r>
          <w:rPr>
            <w:rFonts w:ascii="仿宋" w:eastAsia="仿宋" w:hAnsi="仿宋" w:cs="仿宋" w:hint="eastAsia"/>
            <w:lang w:eastAsia="zh-CN"/>
          </w:rPr>
          <w:t>十六、泌尿肛肠外科手术器械人才战略与团队建设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十八、项目验收与收尾工作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eastAsia="zh-CN"/>
          </w:rPr>
          <w:t>十九、品质与服务体验优化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二十一、社会影响与可持续性报告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二十二泌尿肛肠外科手术器械数字化发展方案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1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_Toc26741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4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32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泌尿肛肠外科手术器械项目建设地点定在了«具体地点»，占地约«XXX亩»。选址泌尿肛肠外科手术器械项目的原则如下：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地理位置优越：该选址地理位置优越，位于«地理位置优越的描述»，具备区位优势。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交通便利：该选址地点交通十分便利，紧邻主要交通干道，方便物资运输和市场开拓。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公用设施条件完备：该选址地区已规划并完善了电力、供水、排水、通讯等公用设施，可以满足泌尿肛肠外科手术器械项目的建设和运营需求。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https://d.book118.com/125021032213011114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泌尿肛肠外科手术器械行业企业战略发展规划及建议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泌尿肛肠外科手术器械行业企业战略发展规划及建议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泌尿肛肠外科手术器械行业企业战略发展规划及建议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泌尿肛肠外科手术器械行业企业战略发展规划及建议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泌尿肛肠外科手术器械行业企业战略发展规划及建议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777535"/>
    <w:rsid w:val="4593521B"/>
    <w:rsid w:val="6677753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021032213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2024-03-04T18:57:00Z</dcterms:created>
  <dcterms:modified xsi:type="dcterms:W3CDTF">2024-03-04T18:57:42Z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D102A33A12D748BE9499E6F8A33F8586_11</vt:lpwstr>
  </property>
  <property fmtid="{D5CDD505-2E9C-101B-9397-08002B2CF9AE}" pid="3" name="KSOProductBuildVer">
    <vt:lpwstr>2052-12.1.0.16399</vt:lpwstr>
  </property>
</Properties>
</file>