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磁性载体材料项目可行性建设方案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354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_Toc7354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63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_Toc6863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20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_Toc30820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12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_Toc20312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68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_Toc21968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63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_Toc20763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52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_Toc24852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40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_Toc25040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10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_Toc27410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74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_Toc5274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44" w:history="1">
        <w:r>
          <w:rPr>
            <w:rFonts w:ascii="仿宋" w:eastAsia="仿宋" w:hAnsi="仿宋" w:cs="仿宋" w:hint="eastAsia"/>
            <w:lang w:eastAsia="zh-CN"/>
          </w:rPr>
          <w:t>三、资源开发及综合利用分析</w:t>
        </w:r>
        <w:r>
          <w:tab/>
        </w:r>
        <w:r>
          <w:fldChar w:fldCharType="begin"/>
        </w:r>
        <w:r>
          <w:instrText xml:space="preserve"> PAGEREF _Toc20744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93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_Toc5593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35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_Toc10635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16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_Toc5816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36" w:history="1">
        <w:r>
          <w:rPr>
            <w:rFonts w:ascii="仿宋" w:eastAsia="仿宋" w:hAnsi="仿宋" w:cs="仿宋" w:hint="eastAsia"/>
            <w:lang w:eastAsia="zh-CN"/>
          </w:rPr>
          <w:t>四、项目监理与质量保证</w:t>
        </w:r>
        <w:r>
          <w:tab/>
        </w:r>
        <w:r>
          <w:fldChar w:fldCharType="begin"/>
        </w:r>
        <w:r>
          <w:instrText xml:space="preserve"> PAGEREF _Toc10836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73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_Toc8773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20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_Toc5520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03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_Toc4103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42" w:history="1">
        <w:r>
          <w:rPr>
            <w:rFonts w:ascii="仿宋" w:eastAsia="仿宋" w:hAnsi="仿宋" w:cs="仿宋" w:hint="eastAsia"/>
            <w:lang w:eastAsia="zh-CN"/>
          </w:rPr>
          <w:t>五、发展规划、产业政策和行业准入分析</w:t>
        </w:r>
        <w:r>
          <w:tab/>
        </w:r>
        <w:r>
          <w:fldChar w:fldCharType="begin"/>
        </w:r>
        <w:r>
          <w:instrText xml:space="preserve"> PAGEREF _Toc12942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43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_Toc10343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69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_Toc13569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48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_Toc29048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72" w:history="1">
        <w:r>
          <w:rPr>
            <w:rFonts w:ascii="仿宋" w:eastAsia="仿宋" w:hAnsi="仿宋" w:cs="仿宋" w:hint="eastAsia"/>
            <w:lang w:eastAsia="zh-CN"/>
          </w:rPr>
          <w:t>六、背景、必要性分析</w:t>
        </w:r>
        <w:r>
          <w:tab/>
        </w:r>
        <w:r>
          <w:fldChar w:fldCharType="begin"/>
        </w:r>
        <w:r>
          <w:instrText xml:space="preserve"> PAGEREF _Toc20272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05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_Toc3805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71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_Toc20171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77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_Toc13777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93" w:history="1">
        <w:r>
          <w:rPr>
            <w:rFonts w:ascii="仿宋" w:eastAsia="仿宋" w:hAnsi="仿宋" w:cs="仿宋" w:hint="eastAsia"/>
            <w:lang w:eastAsia="zh-CN"/>
          </w:rPr>
          <w:t>七、资金管理与财务规划</w:t>
        </w:r>
        <w:r>
          <w:tab/>
        </w:r>
        <w:r>
          <w:fldChar w:fldCharType="begin"/>
        </w:r>
        <w:r>
          <w:instrText xml:space="preserve"> PAGEREF _Toc24893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29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_Toc32429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29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_Toc17329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9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_Toc26459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4" w:history="1">
        <w:r>
          <w:rPr>
            <w:rFonts w:ascii="仿宋" w:eastAsia="仿宋" w:hAnsi="仿宋" w:cs="仿宋" w:hint="eastAsia"/>
            <w:lang w:eastAsia="zh-CN"/>
          </w:rPr>
          <w:t>八、环境保护与绿色发展</w:t>
        </w:r>
        <w:r>
          <w:tab/>
        </w:r>
        <w:r>
          <w:fldChar w:fldCharType="begin"/>
        </w:r>
        <w:r>
          <w:instrText xml:space="preserve"> PAGEREF _Toc1064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72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_Toc13972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77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_Toc25677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39" w:history="1">
        <w:r>
          <w:rPr>
            <w:rFonts w:ascii="仿宋" w:eastAsia="仿宋" w:hAnsi="仿宋" w:cs="仿宋" w:hint="eastAsia"/>
            <w:lang w:eastAsia="zh-CN"/>
          </w:rPr>
          <w:t>九、项目进度计划</w:t>
        </w:r>
        <w:r>
          <w:tab/>
        </w:r>
        <w:r>
          <w:fldChar w:fldCharType="begin"/>
        </w:r>
        <w:r>
          <w:instrText xml:space="preserve"> PAGEREF _Toc11739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97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_Toc13297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94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_Toc10394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05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_Toc26705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16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_Toc30916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25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_Toc7825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10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_Toc5610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11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_Toc27411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571" w:history="1">
        <w:r>
          <w:rPr>
            <w:rFonts w:ascii="仿宋" w:eastAsia="仿宋" w:hAnsi="仿宋" w:cs="仿宋" w:hint="eastAsia"/>
            <w:lang w:eastAsia="zh-CN"/>
          </w:rPr>
          <w:t>十、技术创新与产业升级</w:t>
        </w:r>
        <w:r>
          <w:tab/>
        </w:r>
        <w:r>
          <w:fldChar w:fldCharType="begin"/>
        </w:r>
        <w:r>
          <w:instrText xml:space="preserve"> PAGEREF _Toc6571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68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_Toc9368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93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_Toc7393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25" w:history="1">
        <w:r>
          <w:rPr>
            <w:rFonts w:ascii="仿宋" w:eastAsia="仿宋" w:hAnsi="仿宋" w:cs="仿宋" w:hint="eastAsia"/>
            <w:lang w:eastAsia="zh-CN"/>
          </w:rPr>
          <w:t>十一、环境保护与治理方案</w:t>
        </w:r>
        <w:r>
          <w:tab/>
        </w:r>
        <w:r>
          <w:fldChar w:fldCharType="begin"/>
        </w:r>
        <w:r>
          <w:instrText xml:space="preserve"> PAGEREF _Toc4425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39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_Toc25339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33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_Toc19733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05" w:history="1">
        <w:r>
          <w:rPr>
            <w:rFonts w:ascii="仿宋" w:eastAsia="仿宋" w:hAnsi="仿宋" w:cs="仿宋" w:hint="eastAsia"/>
            <w:lang w:eastAsia="zh-CN"/>
          </w:rPr>
          <w:t>十二、经济效益与社会效益优化</w:t>
        </w:r>
        <w:r>
          <w:tab/>
        </w:r>
        <w:r>
          <w:fldChar w:fldCharType="begin"/>
        </w:r>
        <w:r>
          <w:instrText xml:space="preserve"> PAGEREF _Toc28005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6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_Toc15376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14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_Toc7914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70" w:history="1">
        <w:r>
          <w:rPr>
            <w:rFonts w:ascii="仿宋" w:eastAsia="仿宋" w:hAnsi="仿宋" w:cs="仿宋" w:hint="eastAsia"/>
            <w:lang w:eastAsia="zh-CN"/>
          </w:rPr>
          <w:t>十三、合作与交流机制建立</w:t>
        </w:r>
        <w:r>
          <w:tab/>
        </w:r>
        <w:r>
          <w:fldChar w:fldCharType="begin"/>
        </w:r>
        <w:r>
          <w:instrText xml:space="preserve"> PAGEREF _Toc12470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8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_Toc6008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56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_Toc27956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56" w:history="1">
        <w:r>
          <w:rPr>
            <w:rFonts w:ascii="仿宋" w:eastAsia="仿宋" w:hAnsi="仿宋" w:cs="仿宋" w:hint="eastAsia"/>
            <w:lang w:eastAsia="zh-CN"/>
          </w:rPr>
          <w:t>十四、项目施工方案</w:t>
        </w:r>
        <w:r>
          <w:tab/>
        </w:r>
        <w:r>
          <w:fldChar w:fldCharType="begin"/>
        </w:r>
        <w:r>
          <w:instrText xml:space="preserve"> PAGEREF _Toc29356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40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_Toc8240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52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_Toc10252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55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_Toc16555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6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_Toc486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9" w:history="1">
        <w:r>
          <w:rPr>
            <w:rFonts w:ascii="仿宋" w:eastAsia="仿宋" w:hAnsi="仿宋" w:cs="仿宋" w:hint="eastAsia"/>
            <w:lang w:eastAsia="zh-CN"/>
          </w:rPr>
          <w:t>十五、成果转化与推广应用</w:t>
        </w:r>
        <w:r>
          <w:tab/>
        </w:r>
        <w:r>
          <w:fldChar w:fldCharType="begin"/>
        </w:r>
        <w:r>
          <w:instrText xml:space="preserve"> PAGEREF _Toc2529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3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_Toc2073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34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_Toc8034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13" w:history="1">
        <w:r>
          <w:rPr>
            <w:rFonts w:ascii="仿宋" w:eastAsia="仿宋" w:hAnsi="仿宋" w:cs="仿宋" w:hint="eastAsia"/>
            <w:lang w:eastAsia="zh-CN"/>
          </w:rPr>
          <w:t>十六、法律法规与政策遵循</w:t>
        </w:r>
        <w:r>
          <w:tab/>
        </w:r>
        <w:r>
          <w:fldChar w:fldCharType="begin"/>
        </w:r>
        <w:r>
          <w:instrText xml:space="preserve"> PAGEREF _Toc26213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8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_Toc25268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74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_Toc20974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01" w:history="1">
        <w:r>
          <w:rPr>
            <w:rFonts w:ascii="仿宋" w:eastAsia="仿宋" w:hAnsi="仿宋" w:cs="仿宋" w:hint="eastAsia"/>
            <w:lang w:eastAsia="zh-CN"/>
          </w:rPr>
          <w:t>十七、知识产权管理与保护</w:t>
        </w:r>
        <w:r>
          <w:tab/>
        </w:r>
        <w:r>
          <w:fldChar w:fldCharType="begin"/>
        </w:r>
        <w:r>
          <w:instrText xml:space="preserve"> PAGEREF _Toc3901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96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_Toc20496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02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_Toc5702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93" w:history="1">
        <w:r>
          <w:rPr>
            <w:rFonts w:ascii="仿宋" w:eastAsia="仿宋" w:hAnsi="仿宋" w:cs="仿宋" w:hint="eastAsia"/>
            <w:lang w:eastAsia="zh-CN"/>
          </w:rPr>
          <w:t>十八、设施与设备管理</w:t>
        </w:r>
        <w:r>
          <w:tab/>
        </w:r>
        <w:r>
          <w:fldChar w:fldCharType="begin"/>
        </w:r>
        <w:r>
          <w:instrText xml:space="preserve"> PAGEREF _Toc4293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97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_Toc17497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59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_Toc24859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67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_Toc16967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33" w:history="1">
        <w:r>
          <w:rPr>
            <w:rFonts w:ascii="仿宋" w:eastAsia="仿宋" w:hAnsi="仿宋" w:cs="仿宋" w:hint="eastAsia"/>
            <w:lang w:eastAsia="zh-CN"/>
          </w:rPr>
          <w:t>十九、质量管理与控制</w:t>
        </w:r>
        <w:r>
          <w:tab/>
        </w:r>
        <w:r>
          <w:fldChar w:fldCharType="begin"/>
        </w:r>
        <w:r>
          <w:instrText xml:space="preserve"> PAGEREF _Toc7833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20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_Toc22420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82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_Toc6782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74" w:history="1">
        <w:r>
          <w:rPr>
            <w:rFonts w:ascii="仿宋" w:eastAsia="仿宋" w:hAnsi="仿宋" w:cs="仿宋" w:hint="eastAsia"/>
            <w:lang w:eastAsia="zh-CN"/>
          </w:rPr>
          <w:t>二十、人力资源管理与开发</w:t>
        </w:r>
        <w:r>
          <w:tab/>
        </w:r>
        <w:r>
          <w:fldChar w:fldCharType="begin"/>
        </w:r>
        <w:r>
          <w:instrText xml:space="preserve"> PAGEREF _Toc16674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80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_Toc5180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99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_Toc17999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354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863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820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磁性载体材料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磁性载体材料项目将进行详细的生态影响评估，确保不会对当地的动植物种群和自然栖息地造成负面影响。如果项目地点附近有重要的生物栖息地或生态敏感区，项目将重新考虑建设地点或采取相应的保护措施。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磁性载体材料项目将积极采用可持续材料，如再生塑料和生物降解材料，以减少对环境的影响。项目还将推行废物减量和回收计划，例如通过再利用工业废料或建立回收系统。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磁性载体材料项目还将参与当地的环保活动和计划，如资助当地的环境保护项目或与社区合作进行环保宣传活动。通过这些活动，项目不仅能够提高自身的环境表现，还能在当地社区中树立积极的环保形象。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0312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磁性载体材料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磁性载体材料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磁性载体材料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1968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磁性载体材料项目将采用绿色屋顶和生态墙等环境友好型建筑设计，这些设计不仅有助于改善空气质量，还能为城市野生动植物提供栖息地。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磁性载体材料项目将建立高效的废水处理系统，确保所有工业废水在排放前都经过适当处理，达到或超过环保标准。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磁性载体材料项目将致力于使用清洁能源，如太阳能和风能，减少对化石燃料的依赖。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磁性载体材料项目将举办环保教育研讨会，向员工和当地社区普及环保知识，提升对环境保护重要性的认识。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0763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在磁性载体材料项目启动前，将进行一系列深入的地质调查，包括钻探和土壤取样，以深入了解项目区域的地层结构和土壤组成。特别是对于土壤的承载能力和地下水位的深度进行详细评估。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磁性载体材料项目将通过地下水位监测系统定期检测水位变化，以预测和预防由高地下水位可能引起的地基问题。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磁性载体材料项目将进行详尽的水文和地形分析，以识别可能的洪水和泥石流风险区。基于这些分析，项目将设计防洪设施，如提高地基、构建防洪墙和排水沟。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磁性载体材料项目还将考虑建设排水系统，以减少地表水对土壤稳定性的影响。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完成初始的地质风险评估后，磁性载体材料项目将安装长期地质监测设备，如倾斜仪、裂缝计和地下水位计，以持续监测地质条件的变化。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4852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磁性载体材料项目将通过这些措施来适应和尊重特殊环境条件，确保项目的可持续发展，同时减少对环境的负面影响。这不仅有助于保护自然和文化遗产，还能提升项目在社会责任方面的表现和形象。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5040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7410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磁性载体材料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5274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https://d.book118.com/125021104314011034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磁性载体材料项目可行性建设方案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磁性载体材料项目可行性建设方案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磁性载体材料项目可行性建设方案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磁性载体材料项目可行性建设方案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磁性载体材料项目可行性建设方案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磁性载体材料项目可行性建设方案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磁性载体材料项目可行性建设方案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磁性载体材料项目可行性建设方案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磁性载体材料项目可行性建设方案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磁性载体材料项目可行性建设方案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磁性载体材料项目可行性建设方案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磁性载体材料项目可行性建设方案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AE5787"/>
    <w:rsid w:val="15AE578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12502110431401103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2023-12-22T11:31:00Z</dcterms:created>
  <dcterms:modified xsi:type="dcterms:W3CDTF">2023-12-22T11:31:29Z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94CF0C13E6C8428DA23450FFECAE0F29_11</vt:lpwstr>
  </property>
  <property fmtid="{D5CDD505-2E9C-101B-9397-08002B2CF9AE}" pid="3" name="KSOProductBuildVer">
    <vt:lpwstr>2052-12.1.0.16120</vt:lpwstr>
  </property>
</Properties>
</file>