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60;height:260;left:2600;position:absolute;top:1980" stroked="f">
              <v:imagedata r:id="rId4" o:title=""/>
            </v:shape>
            <v:shape id="_x0000_s1027" type="#_x0000_t75" style="width:12780;height:1980;left:2540;position:absolute;top:2640" stroked="f">
              <v:imagedata r:id="rId5" o:title=""/>
            </v:shape>
            <v:shape id="_x0000_s1028" type="#_x0000_t75" style="width:4740;height:880;left:2600;position:absolute;top:4860" stroked="f">
              <v:imagedata r:id="rId6" o:title=""/>
            </v:shape>
            <v:shape id="_x0000_s1029" type="#_x0000_t75" style="width:12500;height:620;left:2700;position:absolute;top:7540" stroked="f">
              <v:imagedata r:id="rId7" o:title=""/>
            </v:shape>
            <v:shape id="_x0000_s1030" type="#_x0000_t75" style="width:17860;height:24960;position:absolute" stroked="f">
              <v:imagedata r:id="rId8" o:title=""/>
            </v:shape>
            <v:shape id="_x0000_s1031" type="#_x0000_t75" style="width:4540;height:620;left:2700;position:absolute;top:6260" stroked="f">
              <v:imagedata r:id="rId9" o:title=""/>
            </v:shape>
            <v:shape id="_x0000_s1032" type="#_x0000_t75" style="width:1380;height:620;left:2700;position:absolute;top:8480" stroked="f">
              <v:imagedata r:id="rId10" o:title=""/>
            </v:shape>
            <v:shape id="_x0000_s1033" type="#_x0000_t75" style="width:12500;height:640;left:2700;position:absolute;top:9740" stroked="f">
              <v:imagedata r:id="rId11" o:title=""/>
            </v:shape>
            <v:shape id="_x0000_s1034" type="#_x0000_t75" style="width:12500;height:620;left:2700;position:absolute;top:10680" stroked="f">
              <v:imagedata r:id="rId12" o:title=""/>
            </v:shape>
            <v:shape id="_x0000_s1035" type="#_x0000_t75" style="width:2280;height:620;left:2700;position:absolute;top:11620" stroked="f">
              <v:imagedata r:id="rId13" o:title=""/>
            </v:shape>
            <v:shape id="_x0000_s1036" type="#_x0000_t75" style="width:5880;height:620;left:2700;position:absolute;top:12900" stroked="f">
              <v:imagedata r:id="rId14" o:title=""/>
            </v:shape>
            <v:shape id="_x0000_s1037" type="#_x0000_t75" style="width:9040;height:620;left:2700;position:absolute;top:14180" stroked="f">
              <v:imagedata r:id="rId15" o:title=""/>
            </v:shape>
            <v:shape id="_x0000_s1038" type="#_x0000_t75" style="width:12180;height:640;left:2700;position:absolute;top:15440" stroked="f">
              <v:imagedata r:id="rId16" o:title=""/>
            </v:shape>
            <v:shape id="_x0000_s1039" type="#_x0000_t75" style="width:7680;height:620;left:2700;position:absolute;top:16380" stroked="f">
              <v:imagedata r:id="rId17" o:title=""/>
            </v:shape>
            <v:shape id="_x0000_s1040" type="#_x0000_t75" style="width:11280;height:620;left:2700;position:absolute;top:17660" stroked="f">
              <v:imagedata r:id="rId18" o:title=""/>
            </v:shape>
            <v:shape id="_x0000_s1041" type="#_x0000_t75" style="width:12400;height:620;left:2700;position:absolute;top:18940" stroked="f">
              <v:imagedata r:id="rId19" o:title=""/>
            </v:shape>
            <v:shape id="_x0000_s1042" type="#_x0000_t75" style="width:12400;height:620;left:2700;position:absolute;top:19880" stroked="f">
              <v:imagedata r:id="rId19" o:title=""/>
            </v:shape>
            <v:shape id="_x0000_s1043" type="#_x0000_t75" style="width:4980;height:640;left:2700;position:absolute;top:20800" stroked="f">
              <v:imagedata r:id="rId20" o:title=""/>
            </v:shape>
            <v:shape id="_x0000_s1044" type="#_x0000_t75" style="width:9260;height:620;left:2700;position:absolute;top:22080" stroked="f">
              <v:imagedata r:id="rId21" o:title=""/>
            </v:shape>
          </v:group>
        </w:pict>
      </w:r>
    </w:p>
    <w:p>
      <w:pPr>
        <w:pStyle w:val="BodyText"/>
        <w:spacing w:before="2"/>
        <w:rPr>
          <w:rFonts w:ascii="Times New Roman"/>
          <w:sz w:val="16"/>
        </w:rPr>
      </w:pPr>
    </w:p>
    <w:p>
      <w:pPr>
        <w:spacing w:before="59"/>
        <w:ind w:left="3658" w:right="0" w:firstLine="0"/>
        <w:jc w:val="left"/>
        <w:rPr>
          <w:b/>
          <w:sz w:val="29"/>
        </w:rPr>
      </w:pPr>
      <w:r>
        <w:rPr>
          <w:b/>
          <w:color w:val="0707F7"/>
          <w:w w:val="95"/>
          <w:sz w:val="29"/>
        </w:rPr>
        <w:t>财务治理规章制度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7"/>
        <w:rPr>
          <w:b/>
          <w:sz w:val="38"/>
        </w:rPr>
      </w:pPr>
    </w:p>
    <w:p>
      <w:pPr>
        <w:pStyle w:val="Heading1"/>
      </w:pPr>
      <w:r>
        <w:rPr>
          <w:color w:val="0707F7"/>
          <w:spacing w:val="-9"/>
        </w:rPr>
        <w:t xml:space="preserve">财务治理规章制度 </w:t>
      </w:r>
      <w:r>
        <w:rPr>
          <w:color w:val="0707F7"/>
        </w:rPr>
        <w:t>1</w:t>
      </w:r>
    </w:p>
    <w:p>
      <w:pPr>
        <w:pStyle w:val="BodyText"/>
        <w:spacing w:before="4"/>
        <w:rPr>
          <w:rFonts w:ascii="楷体"/>
          <w:b/>
          <w:sz w:val="55"/>
        </w:rPr>
      </w:pPr>
    </w:p>
    <w:p>
      <w:pPr>
        <w:pStyle w:val="BodyText"/>
        <w:ind w:left="1040"/>
      </w:pPr>
      <w:r>
        <w:t>一、库存现金治理</w:t>
      </w:r>
    </w:p>
    <w:p>
      <w:pPr>
        <w:pStyle w:val="BodyText"/>
        <w:spacing w:before="7"/>
        <w:rPr>
          <w:sz w:val="54"/>
        </w:rPr>
      </w:pPr>
    </w:p>
    <w:p>
      <w:pPr>
        <w:pStyle w:val="ListParagraph"/>
        <w:numPr>
          <w:ilvl w:val="0"/>
          <w:numId w:val="3"/>
        </w:numPr>
        <w:tabs>
          <w:tab w:val="left" w:pos="1495"/>
        </w:tabs>
        <w:spacing w:before="0" w:after="0" w:line="388" w:lineRule="auto"/>
        <w:ind w:left="140" w:right="477" w:firstLine="899"/>
        <w:jc w:val="left"/>
        <w:rPr>
          <w:sz w:val="45"/>
        </w:rPr>
      </w:pPr>
      <w:r>
        <w:rPr>
          <w:spacing w:val="-9"/>
          <w:sz w:val="45"/>
        </w:rPr>
        <w:t>公司财务部库存现金掌握在核定限额内，不得超限额存放</w:t>
      </w:r>
      <w:r>
        <w:rPr>
          <w:sz w:val="45"/>
        </w:rPr>
        <w:t>现金。</w:t>
      </w:r>
    </w:p>
    <w:p>
      <w:pPr>
        <w:pStyle w:val="ListParagraph"/>
        <w:numPr>
          <w:ilvl w:val="0"/>
          <w:numId w:val="3"/>
        </w:numPr>
        <w:tabs>
          <w:tab w:val="left" w:pos="1495"/>
        </w:tabs>
        <w:spacing w:before="342" w:after="0" w:line="388" w:lineRule="auto"/>
        <w:ind w:left="140" w:right="254" w:firstLine="899"/>
        <w:jc w:val="both"/>
        <w:rPr>
          <w:sz w:val="45"/>
        </w:rPr>
      </w:pPr>
      <w:r>
        <w:rPr>
          <w:spacing w:val="-21"/>
          <w:sz w:val="45"/>
        </w:rPr>
        <w:t>严格执行现金盘点制度，做到日清日结，保证现金的安全。</w:t>
      </w:r>
      <w:r>
        <w:rPr>
          <w:sz w:val="45"/>
        </w:rPr>
        <w:t>现金遇有短款，应准时查明缘由，报告单位领导，并要追究责任者的责任。</w:t>
      </w:r>
    </w:p>
    <w:p>
      <w:pPr>
        <w:pStyle w:val="ListParagraph"/>
        <w:numPr>
          <w:ilvl w:val="0"/>
          <w:numId w:val="3"/>
        </w:numPr>
        <w:tabs>
          <w:tab w:val="left" w:pos="1495"/>
        </w:tabs>
        <w:spacing w:before="345" w:after="0" w:line="240" w:lineRule="auto"/>
        <w:ind w:left="1494" w:right="0" w:hanging="455"/>
        <w:jc w:val="left"/>
        <w:rPr>
          <w:sz w:val="45"/>
        </w:rPr>
      </w:pPr>
      <w:r>
        <w:rPr>
          <w:sz w:val="45"/>
        </w:rPr>
        <w:t>不准用“白条”入帐。</w:t>
      </w:r>
    </w:p>
    <w:p>
      <w:pPr>
        <w:pStyle w:val="BodyText"/>
        <w:spacing w:before="10"/>
        <w:rPr>
          <w:sz w:val="54"/>
        </w:rPr>
      </w:pPr>
    </w:p>
    <w:p>
      <w:pPr>
        <w:pStyle w:val="ListParagraph"/>
        <w:numPr>
          <w:ilvl w:val="0"/>
          <w:numId w:val="3"/>
        </w:numPr>
        <w:tabs>
          <w:tab w:val="left" w:pos="1495"/>
        </w:tabs>
        <w:spacing w:before="0" w:after="0" w:line="240" w:lineRule="auto"/>
        <w:ind w:left="1494" w:right="0" w:hanging="455"/>
        <w:jc w:val="left"/>
        <w:rPr>
          <w:sz w:val="45"/>
        </w:rPr>
      </w:pPr>
      <w:r>
        <w:rPr>
          <w:sz w:val="45"/>
        </w:rPr>
        <w:t>不准私人挪用、占用和借用公款现金。</w:t>
      </w:r>
    </w:p>
    <w:p>
      <w:pPr>
        <w:pStyle w:val="BodyText"/>
        <w:spacing w:before="6"/>
        <w:rPr>
          <w:sz w:val="54"/>
        </w:rPr>
      </w:pPr>
    </w:p>
    <w:p>
      <w:pPr>
        <w:pStyle w:val="ListParagraph"/>
        <w:numPr>
          <w:ilvl w:val="0"/>
          <w:numId w:val="3"/>
        </w:numPr>
        <w:tabs>
          <w:tab w:val="left" w:pos="1495"/>
        </w:tabs>
        <w:spacing w:before="0" w:after="0" w:line="388" w:lineRule="auto"/>
        <w:ind w:left="140" w:right="782" w:firstLine="899"/>
        <w:jc w:val="left"/>
        <w:rPr>
          <w:sz w:val="45"/>
        </w:rPr>
      </w:pPr>
      <w:r>
        <w:rPr>
          <w:spacing w:val="-7"/>
          <w:sz w:val="45"/>
        </w:rPr>
        <w:t xml:space="preserve">到公司以外金融机构提取或送存现金(限额 </w:t>
      </w:r>
      <w:r>
        <w:rPr>
          <w:sz w:val="45"/>
        </w:rPr>
        <w:t>1</w:t>
      </w:r>
      <w:r>
        <w:rPr>
          <w:spacing w:val="-20"/>
          <w:sz w:val="45"/>
        </w:rPr>
        <w:t xml:space="preserve"> 万元以上)</w:t>
      </w:r>
      <w:r>
        <w:rPr>
          <w:spacing w:val="-222"/>
          <w:sz w:val="45"/>
        </w:rPr>
        <w:t xml:space="preserve"> </w:t>
      </w:r>
      <w:r>
        <w:rPr>
          <w:sz w:val="45"/>
        </w:rPr>
        <w:t>时，需由两名人员乘坐公司汽车前往。</w:t>
      </w:r>
    </w:p>
    <w:p>
      <w:pPr>
        <w:pStyle w:val="ListParagraph"/>
        <w:numPr>
          <w:ilvl w:val="0"/>
          <w:numId w:val="3"/>
        </w:numPr>
        <w:tabs>
          <w:tab w:val="left" w:pos="1495"/>
        </w:tabs>
        <w:spacing w:before="342" w:after="0" w:line="240" w:lineRule="auto"/>
        <w:ind w:left="1494" w:right="0" w:hanging="455"/>
        <w:jc w:val="left"/>
        <w:rPr>
          <w:sz w:val="45"/>
        </w:rPr>
      </w:pPr>
      <w:r>
        <w:rPr>
          <w:sz w:val="45"/>
        </w:rPr>
        <w:t>现金出纳员必需严格和妥当保管金库密码和钥匙。</w:t>
      </w:r>
    </w:p>
    <w:p>
      <w:pPr>
        <w:pStyle w:val="BodyText"/>
        <w:spacing w:before="7"/>
        <w:rPr>
          <w:sz w:val="54"/>
        </w:rPr>
      </w:pPr>
    </w:p>
    <w:p>
      <w:pPr>
        <w:pStyle w:val="ListParagraph"/>
        <w:numPr>
          <w:ilvl w:val="0"/>
          <w:numId w:val="3"/>
        </w:numPr>
        <w:tabs>
          <w:tab w:val="left" w:pos="1495"/>
        </w:tabs>
        <w:spacing w:before="0" w:after="0" w:line="388" w:lineRule="auto"/>
        <w:ind w:left="140" w:right="555" w:firstLine="899"/>
        <w:jc w:val="both"/>
        <w:rPr>
          <w:sz w:val="45"/>
        </w:rPr>
      </w:pPr>
      <w:r>
        <w:rPr>
          <w:spacing w:val="-1"/>
          <w:sz w:val="45"/>
        </w:rPr>
        <w:t xml:space="preserve">现金出纳员要妥当保管金库内存放的现金和有价证券;私人财物不得存放入内。 </w:t>
      </w:r>
      <w:r>
        <w:rPr>
          <w:sz w:val="45"/>
        </w:rPr>
        <w:t>8.现金出纳员必需随时承受开户银行和本单位领导的检查监视。</w:t>
      </w:r>
    </w:p>
    <w:p>
      <w:pPr>
        <w:pStyle w:val="BodyText"/>
        <w:spacing w:before="344"/>
        <w:ind w:left="1040"/>
      </w:pPr>
      <w:r>
        <w:t>9.出纳员必需严格遵守执行上述各条规定.</w:t>
      </w:r>
    </w:p>
    <w:p>
      <w:pPr>
        <w:spacing w:after="0"/>
        <w:sectPr>
          <w:type w:val="continuous"/>
          <w:pgSz w:w="17860" w:h="25260"/>
          <w:pgMar w:top="2420" w:right="2220" w:bottom="280" w:left="2560" w:header="708" w:footer="708"/>
          <w:cols w:space="708"/>
        </w:sect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pict>
          <v:group id="_x0000_i1045" style="width:227pt;height:32.15pt;mso-position-horizontal-relative:char;mso-position-vertical-relative:line" coordorigin="0,0" coordsize="4540,643">
            <v:shape id="_x0000_s1046" type="#_x0000_t75" style="width:4540;height:640;position:absolute;top:2" stroked="f">
              <v:imagedata r:id="rId2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width:454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二、银行存款治理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  <w:r>
        <w:pict>
          <v:group id="_x0000_s1048" style="width:625pt;height:31.45pt;margin-top:18.24pt;margin-left:135pt;mso-position-horizontal-relative:page;mso-wrap-distance-left:0;mso-wrap-distance-right:0;position:absolute;z-index:-251657216" coordorigin="2700,365" coordsize="12500,629">
            <v:shape id="_x0000_s1049" type="#_x0000_t75" style="width:12500;height:620;left:2700;position:absolute;top:373" stroked="f">
              <v:imagedata r:id="rId12" o:title=""/>
            </v:shape>
            <v:shape id="_x0000_s1050" type="#_x0000_t202" style="width:12500;height:629;left:2700;position:absolute;top:36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1</w:t>
                    </w:r>
                    <w:r>
                      <w:rPr>
                        <w:spacing w:val="-9"/>
                        <w:sz w:val="45"/>
                      </w:rPr>
                      <w:t>.公司必需遵守中国人民银行的规定，办理银行根本帐户和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1" style="width:429pt;height:31.65pt;margin-top:65.04pt;margin-left:135pt;mso-position-horizontal-relative:page;mso-wrap-distance-left:0;mso-wrap-distance-right:0;position:absolute;z-index:-251656192" coordorigin="2700,1301" coordsize="8580,633">
            <v:shape id="_x0000_s1052" type="#_x0000_t75" style="width:8580;height:620;left:2700;position:absolute;top:1313" stroked="f">
              <v:imagedata r:id="rId23" o:title=""/>
            </v:shape>
            <v:shape id="_x0000_s1053" type="#_x0000_t202" style="width:8580;height:633;left:2700;position:absolute;top:130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关心帐户的开户和公司各种银行结算业务。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  <w:r>
        <w:pict>
          <v:group id="_x0000_s1054" style="width:625pt;height:31.9pt;margin-top:17.84pt;margin-left:135pt;mso-position-horizontal-relative:page;mso-wrap-distance-left:0;mso-wrap-distance-right:0;position:absolute;z-index:-251655168" coordorigin="2700,357" coordsize="12500,638">
            <v:shape id="_x0000_s1055" type="#_x0000_t75" style="width:12500;height:620;left:2700;position:absolute;top:374" stroked="f">
              <v:imagedata r:id="rId24" o:title=""/>
            </v:shape>
            <v:shape id="_x0000_s1056" type="#_x0000_t202" style="width:12500;height:638;left:2700;position:absolute;top:356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2</w:t>
                    </w:r>
                    <w:r>
                      <w:rPr>
                        <w:spacing w:val="-8"/>
                        <w:sz w:val="45"/>
                      </w:rPr>
                      <w:t>.公司必需认真贯彻执行《中国人民银行法》、《中华人民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7" style="width:407pt;height:32.1pt;margin-top:64.64pt;margin-left:135pt;mso-position-horizontal-relative:page;mso-wrap-distance-left:0;mso-wrap-distance-right:0;position:absolute;z-index:-251654144" coordorigin="2700,1293" coordsize="8140,642">
            <v:shape id="_x0000_s1058" type="#_x0000_t75" style="width:8140;height:640;left:2700;position:absolute;top:1294" stroked="f">
              <v:imagedata r:id="rId25" o:title=""/>
            </v:shape>
            <v:shape id="_x0000_s1059" type="#_x0000_t202" style="width:8140;height:642;left:2700;position:absolute;top:129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共和国票据法》等相关的结算治理制度。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  <w:r>
        <w:pict>
          <v:group id="_x0000_s1060" style="width:587pt;height:31.35pt;margin-top:17.41pt;margin-left:135pt;mso-position-horizontal-relative:page;mso-wrap-distance-left:0;mso-wrap-distance-right:0;position:absolute;z-index:-251653120" coordorigin="2700,348" coordsize="11740,627">
            <v:shape id="_x0000_s1061" type="#_x0000_t75" style="width:11740;height:620;left:2700;position:absolute;top:354" stroked="f">
              <v:imagedata r:id="rId26" o:title=""/>
            </v:shape>
            <v:shape id="_x0000_s1062" type="#_x0000_t202" style="width:11740;height:627;left:2700;position:absolute;top:34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3.作废的银行支票由出纳员加盖作废戳记，妥当保存。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pict>
          <v:group id="_x0000_s1063" style="width:625pt;height:31.65pt;margin-top:18.13pt;margin-left:135pt;mso-position-horizontal-relative:page;mso-wrap-distance-left:0;mso-wrap-distance-right:0;position:absolute;z-index:-251652096" coordorigin="2700,363" coordsize="12500,633">
            <v:shape id="_x0000_s1064" type="#_x0000_t75" style="width:12500;height:620;left:2700;position:absolute;top:374" stroked="f">
              <v:imagedata r:id="rId7" o:title=""/>
            </v:shape>
            <v:shape id="_x0000_s1065" type="#_x0000_t202" style="width:12500;height:633;left:2700;position:absolute;top:36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4</w:t>
                    </w:r>
                    <w:r>
                      <w:rPr>
                        <w:spacing w:val="-6"/>
                        <w:sz w:val="45"/>
                      </w:rPr>
                      <w:t>.银行结算方式依据公司实际状况实行如下几种方式：支票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6" style="width:634.4pt;height:31.65pt;margin-top:65.11pt;margin-left:135pt;mso-position-horizontal-relative:page;mso-wrap-distance-left:0;mso-wrap-distance-right:0;position:absolute;z-index:-251651072" coordorigin="2700,1302" coordsize="12688,633">
            <v:shape id="_x0000_s1067" type="#_x0000_t75" style="width:12500;height:620;left:2700;position:absolute;top:1314" stroked="f">
              <v:imagedata r:id="rId7" o:title=""/>
            </v:shape>
            <v:shape id="_x0000_s1068" type="#_x0000_t202" style="width:12688;height:633;left:2700;position:absolute;top:130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23"/>
                        <w:sz w:val="45"/>
                      </w:rPr>
                      <w:t>(现金支票、转帐支票)、银行汇票、电汇、信汇、银行承兑汇票、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9" style="width:634.45pt;height:31.85pt;margin-top:111.91pt;margin-left:135pt;mso-position-horizontal-relative:page;mso-wrap-distance-left:0;mso-wrap-distance-right:0;position:absolute;z-index:-251650048" coordorigin="2700,2238" coordsize="12689,637">
            <v:shape id="_x0000_s1070" type="#_x0000_t75" style="width:12500;height:620;left:2700;position:absolute;top:2254" stroked="f">
              <v:imagedata r:id="rId24" o:title=""/>
            </v:shape>
            <v:shape id="_x0000_s1071" type="#_x0000_t202" style="width:12689;height:637;left:2700;position:absolute;top:223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21"/>
                        <w:sz w:val="45"/>
                      </w:rPr>
                      <w:t>托付收款(仅限于水费、电费、   费结算)，除上述结算方式外，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2" style="width:159pt;height:32.05pt;margin-top:158.71pt;margin-left:135pt;mso-position-horizontal-relative:page;mso-wrap-distance-left:0;mso-wrap-distance-right:0;position:absolute;z-index:-251649024" coordorigin="2700,3174" coordsize="3180,641">
            <v:shape id="_x0000_s1073" type="#_x0000_t75" style="width:3180;height:640;left:2700;position:absolute;top:3174" stroked="f">
              <v:imagedata r:id="rId27" o:title=""/>
            </v:shape>
            <v:shape id="_x0000_s1074" type="#_x0000_t202" style="width:3180;height:641;left:2700;position:absolute;top:317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其他不予使用。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before="4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  <w:r>
        <w:pict>
          <v:group id="_x0000_s1075" style="width:491pt;height:31.3pt;margin-top:17.46pt;margin-left:135pt;mso-position-horizontal-relative:page;mso-wrap-distance-left:0;mso-wrap-distance-right:0;position:absolute;z-index:-251648000" coordorigin="2700,349" coordsize="9820,626">
            <v:shape id="_x0000_s1076" type="#_x0000_t75" style="width:9820;height:620;left:2700;position:absolute;top:354" stroked="f">
              <v:imagedata r:id="rId28" o:title=""/>
            </v:shape>
            <v:shape id="_x0000_s1077" type="#_x0000_t202" style="width:9820;height:626;left:2700;position:absolute;top:34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w w:val="95"/>
                        <w:sz w:val="45"/>
                      </w:rPr>
                      <w:t>5 从银行取回的各种结算凭证，要准时入帐。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  <w:r>
        <w:pict>
          <v:group id="_x0000_s1078" style="width:625pt;height:31.6pt;margin-top:18.18pt;margin-left:135pt;mso-position-horizontal-relative:page;mso-wrap-distance-left:0;mso-wrap-distance-right:0;position:absolute;z-index:-251646976" coordorigin="2700,364" coordsize="12500,632">
            <v:shape id="_x0000_s1079" type="#_x0000_t75" style="width:12500;height:620;left:2700;position:absolute;top:374" stroked="f">
              <v:imagedata r:id="rId7" o:title=""/>
            </v:shape>
            <v:shape id="_x0000_s1080" type="#_x0000_t202" style="width:12500;height:632;left:2700;position:absolute;top:36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w w:val="95"/>
                        <w:sz w:val="45"/>
                      </w:rPr>
                      <w:t>6 公司应按每个银行开户帐号建立一本银行存款明细帐，出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81" style="width:630.05pt;height:31.8pt;margin-top:64.98pt;margin-left:135pt;mso-position-horizontal-relative:page;mso-wrap-distance-left:0;mso-wrap-distance-right:0;position:absolute;z-index:-251645952" coordorigin="2700,1300" coordsize="12601,636">
            <v:shape id="_x0000_s1082" type="#_x0000_t75" style="width:12500;height:620;left:2700;position:absolute;top:1314" stroked="f">
              <v:imagedata r:id="rId24" o:title=""/>
            </v:shape>
            <v:shape id="_x0000_s1083" type="#_x0000_t202" style="width:12601;height:636;left:2700;position:absolute;top:129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1"/>
                        <w:sz w:val="45"/>
                      </w:rPr>
                      <w:t>纳员应准时将公司银行存款明细帐与银行对帐单逐笔进展核对。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84" style="width:429pt;height:32pt;margin-top:111.78pt;margin-left:135pt;mso-position-horizontal-relative:page;mso-wrap-distance-left:0;mso-wrap-distance-right:0;position:absolute;z-index:-251644928" coordorigin="2700,2236" coordsize="8580,640">
            <v:shape id="_x0000_s1085" type="#_x0000_t75" style="width:8580;height:620;left:2700;position:absolute;top:2254" stroked="f">
              <v:imagedata r:id="rId29" o:title=""/>
            </v:shape>
            <v:shape id="_x0000_s1086" type="#_x0000_t202" style="width:8580;height:640;left:2700;position:absolute;top:223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于每季度末做出银行核对余额调整明细表。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  <w:r>
        <w:pict>
          <v:group id="_x0000_s1087" style="width:625pt;height:31.25pt;margin-top:17.5pt;margin-left:135pt;mso-position-horizontal-relative:page;mso-wrap-distance-left:0;mso-wrap-distance-right:0;position:absolute;z-index:-251643904" coordorigin="2700,350" coordsize="12500,625">
            <v:shape id="_x0000_s1088" type="#_x0000_t75" style="width:12500;height:620;left:2700;position:absolute;top:354" stroked="f">
              <v:imagedata r:id="rId12" o:title=""/>
            </v:shape>
            <v:shape id="_x0000_s1089" type="#_x0000_t202" style="width:12500;height:625;left:2700;position:absolute;top:35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7</w:t>
                    </w:r>
                    <w:r>
                      <w:rPr>
                        <w:spacing w:val="-13"/>
                        <w:sz w:val="45"/>
                      </w:rPr>
                      <w:t xml:space="preserve"> 银行出纳员对银行调整明细表所记载的帐项必需准时查明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90" style="width:625pt;height:31.4pt;margin-top:64.34pt;margin-left:135pt;mso-position-horizontal-relative:page;mso-wrap-distance-left:0;mso-wrap-distance-right:0;position:absolute;z-index:-251642880" coordorigin="2700,1287" coordsize="12500,628">
            <v:shape id="_x0000_s1091" type="#_x0000_t75" style="width:12500;height:620;left:2700;position:absolute;top:1294" stroked="f">
              <v:imagedata r:id="rId12" o:title=""/>
            </v:shape>
            <v:shape id="_x0000_s1092" type="#_x0000_t202" style="width:12500;height:628;left:2700;position:absolute;top:128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pacing w:val="-13"/>
                        <w:sz w:val="45"/>
                      </w:rPr>
                      <w:t>缘由，对消灭的过失通知责任人进展更正，对未达帐项要准时予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93" style="width:429pt;height:31.6pt;margin-top:111.14pt;margin-left:135pt;mso-position-horizontal-relative:page;mso-wrap-distance-left:0;mso-wrap-distance-right:0;position:absolute;z-index:-251641856" coordorigin="2700,2223" coordsize="8580,632">
            <v:shape id="_x0000_s1094" type="#_x0000_t75" style="width:8580;height:620;left:2700;position:absolute;top:2234" stroked="f">
              <v:imagedata r:id="rId23" o:title=""/>
            </v:shape>
            <v:shape id="_x0000_s1095" type="#_x0000_t202" style="width:8580;height:632;left:2700;position:absolute;top:222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以清理。造成的帐帐不全都，应尽快解决。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19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  <w:r>
        <w:pict>
          <v:group id="_x0000_s1096" style="width:625pt;height:31.9pt;margin-top:17.86pt;margin-left:135pt;mso-position-horizontal-relative:page;mso-wrap-distance-left:0;mso-wrap-distance-right:0;position:absolute;z-index:-251640832" coordorigin="2700,357" coordsize="12500,638">
            <v:shape id="_x0000_s1097" type="#_x0000_t75" style="width:12500;height:620;left:2700;position:absolute;top:374" stroked="f">
              <v:imagedata r:id="rId24" o:title=""/>
            </v:shape>
            <v:shape id="_x0000_s1098" type="#_x0000_t202" style="width:12500;height:638;left:2700;position:absolute;top:357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w w:val="95"/>
                        <w:sz w:val="45"/>
                      </w:rPr>
                      <w:t>8 空白银行支票与预留印鉴必需实行分管。由出纳员逐笔登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99" style="width:609pt;height:32.1pt;margin-top:64.63pt;margin-left:135pt;mso-position-horizontal-relative:page;mso-wrap-distance-left:0;mso-wrap-distance-right:0;position:absolute;z-index:-251639808" coordorigin="2700,1293" coordsize="12180,642">
            <v:shape id="_x0000_s1100" type="#_x0000_t75" style="width:12180;height:640;left:2700;position:absolute;top:1294" stroked="f">
              <v:imagedata r:id="rId16" o:title=""/>
            </v:shape>
            <v:shape id="_x0000_s1101" type="#_x0000_t202" style="width:12180;height:642;left:2700;position:absolute;top:129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sz w:val="45"/>
                      </w:rPr>
                      <w:t>记，记录所签发支票的用途、使用单位、金额、支票号码等。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2"/>
        <w:rPr>
          <w:sz w:val="17"/>
        </w:rPr>
      </w:pPr>
    </w:p>
    <w:p>
      <w:pPr>
        <w:spacing w:after="0"/>
        <w:rPr>
          <w:sz w:val="17"/>
        </w:rPr>
      </w:pPr>
      <w:r>
        <w:rPr>
          <w:sz w:val="17"/>
        </w:rPr>
        <w:br/>
      </w:r>
      <w:r>
        <w:rPr>
          <w:sz w:val="1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https://d.book118.com/125130003014011034</w:t>
        </w:r>
      </w:hyperlink>
    </w:p>
    <w:p>
      <w:pPr>
        <w:spacing w:after="0"/>
        <w:rPr>
          <w:sz w:val="17"/>
        </w:rPr>
      </w:pPr>
    </w:p>
    <w:sectPr>
      <w:pgSz w:w="17860" w:h="25260"/>
      <w:pgMar w:top="2000" w:right="2220" w:bottom="280" w:left="25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C6D5C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678"/>
        <w:jc w:val="left"/>
      </w:pPr>
      <w:rPr>
        <w:rFonts w:ascii="宋体" w:eastAsia="宋体" w:hAnsi="宋体" w:cs="宋体" w:hint="default"/>
        <w:spacing w:val="0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1433" w:hanging="6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27" w:hanging="6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1" w:hanging="6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5" w:hanging="6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6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03" w:hanging="6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7" w:hanging="6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1" w:hanging="678"/>
      </w:pPr>
      <w:rPr>
        <w:rFonts w:hint="default"/>
      </w:rPr>
    </w:lvl>
  </w:abstractNum>
  <w:abstractNum w:abstractNumId="1">
    <w:nsid w:val="71878D07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54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1433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27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1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5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9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03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7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1" w:hanging="454"/>
      </w:pPr>
      <w:rPr>
        <w:rFonts w:hint="default"/>
      </w:rPr>
    </w:lvl>
  </w:abstractNum>
  <w:abstractNum w:abstractNumId="2">
    <w:nsid w:val="760B1FB0"/>
    <w:multiLevelType w:val="hybridMultilevel"/>
    <w:tmpl w:val="00000000"/>
    <w:lvl w:ilvl="0">
      <w:start w:val="2"/>
      <w:numFmt w:val="decimal"/>
      <w:lvlText w:val="%1)"/>
      <w:lvlJc w:val="left"/>
      <w:pPr>
        <w:ind w:left="1494" w:hanging="454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657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15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3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1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47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05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63" w:hanging="45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5"/>
      <w:szCs w:val="45"/>
    </w:rPr>
  </w:style>
  <w:style w:type="paragraph" w:customStyle="1" w:styleId="Heading1">
    <w:name w:val="Heading 1"/>
    <w:basedOn w:val="Normal"/>
    <w:uiPriority w:val="1"/>
    <w:qFormat/>
    <w:pPr>
      <w:ind w:left="320"/>
      <w:outlineLvl w:val="1"/>
    </w:pPr>
    <w:rPr>
      <w:rFonts w:ascii="楷体" w:eastAsia="楷体" w:hAnsi="楷体" w:cs="楷体"/>
      <w:b/>
      <w:bCs/>
      <w:sz w:val="49"/>
      <w:szCs w:val="49"/>
    </w:rPr>
  </w:style>
  <w:style w:type="paragraph" w:customStyle="1" w:styleId="Heading2">
    <w:name w:val="Heading 2"/>
    <w:basedOn w:val="Normal"/>
    <w:uiPriority w:val="1"/>
    <w:qFormat/>
    <w:pPr>
      <w:ind w:left="1040"/>
      <w:outlineLvl w:val="2"/>
    </w:pPr>
    <w:rPr>
      <w:rFonts w:ascii="宋体" w:eastAsia="宋体" w:hAnsi="宋体" w:cs="宋体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ind w:left="140" w:firstLine="89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hyperlink" Target="https://d.book118.com/125130003014011034" TargetMode="Externa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2023-10-19T12:26:06Z</dcterms:created>
  <dcterms:modified xsi:type="dcterms:W3CDTF">2023-10-19T12:26:06Z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2022-12-31T00:00:00Z</vt:filetime>
  </property>
  <property fmtid="{D5CDD505-2E9C-101B-9397-08002B2CF9AE}" pid="3" name="LastSaved">
    <vt:filetime>2023-10-19T00:00:00Z</vt:filetime>
  </property>
</Properties>
</file>