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Times New Roman" w:eastAsia="黑体" w:hAnsi="Times New Roman" w:cs="Times New Roman"/>
          <w:sz w:val="32"/>
          <w:szCs w:val="32"/>
        </w:rPr>
      </w:pPr>
      <w:r>
        <w:rPr>
          <w:rFonts w:ascii="Times New Roman" w:eastAsia="黑体" w:hAnsi="Times New Roman" w:cs="Times New Roman"/>
          <w:sz w:val="32"/>
          <w:szCs w:val="32"/>
        </w:rPr>
        <w:t>摘 要</w:t>
      </w:r>
    </w:p>
    <w:p>
      <w:pPr>
        <w:jc w:val="center"/>
        <w:rPr>
          <w:rFonts w:ascii="Times New Roman" w:eastAsia="黑体" w:hAnsi="Times New Roman" w:cs="Times New Roman"/>
          <w:sz w:val="32"/>
          <w:szCs w:val="32"/>
        </w:rPr>
      </w:pPr>
    </w:p>
    <w:p>
      <w:pPr>
        <w:ind w:firstLine="480" w:firstLineChars="200"/>
        <w:jc w:val="left"/>
        <w:rPr>
          <w:rFonts w:ascii="Times New Roman" w:hAnsi="Times New Roman" w:cs="Times New Roman"/>
          <w:color w:val="000000" w:themeColor="text1"/>
          <w14:textFill>
            <w14:solidFill>
              <w14:schemeClr w14:val="tx1"/>
            </w14:solidFill>
          </w14:textFill>
        </w:rPr>
      </w:pPr>
      <w:r>
        <w:rPr>
          <w:rFonts w:ascii="Times New Roman" w:hAnsi="Times New Roman" w:cs="Times New Roman" w:hint="eastAsia"/>
          <w:color w:val="000000" w:themeColor="text1"/>
          <w:lang w:val="en-US" w:eastAsia="zh-CN"/>
          <w14:textFill>
            <w14:solidFill>
              <w14:schemeClr w14:val="tx1"/>
            </w14:solidFill>
          </w14:textFill>
        </w:rPr>
        <w:t>作为企业管理当中的一项重要内容，</w:t>
      </w:r>
      <w:r>
        <w:rPr>
          <w:rFonts w:ascii="Times New Roman" w:hAnsi="Times New Roman" w:cs="Times New Roman" w:hint="eastAsia"/>
          <w:color w:val="000000" w:themeColor="text1"/>
          <w14:textFill>
            <w14:solidFill>
              <w14:schemeClr w14:val="tx1"/>
            </w14:solidFill>
          </w14:textFill>
        </w:rPr>
        <w:t>固定资产管理</w:t>
      </w:r>
      <w:r>
        <w:rPr>
          <w:rFonts w:ascii="Times New Roman" w:hAnsi="Times New Roman" w:cs="Times New Roman" w:hint="eastAsia"/>
          <w:color w:val="000000" w:themeColor="text1"/>
          <w:lang w:val="en-US" w:eastAsia="zh-CN"/>
          <w14:textFill>
            <w14:solidFill>
              <w14:schemeClr w14:val="tx1"/>
            </w14:solidFill>
          </w14:textFill>
        </w:rPr>
        <w:t>事关企业在激烈复杂的市场竞争的生存与发展。</w:t>
      </w:r>
      <w:r>
        <w:rPr>
          <w:rFonts w:ascii="Times New Roman" w:hAnsi="Times New Roman" w:cs="Times New Roman" w:hint="eastAsia"/>
          <w:color w:val="000000" w:themeColor="text1"/>
          <w14:textFill>
            <w14:solidFill>
              <w14:schemeClr w14:val="tx1"/>
            </w14:solidFill>
          </w14:textFill>
        </w:rPr>
        <w:t>本论文以银川新华百货商业集团股份有限公司固定资产管理问题分析为研究对象。首先，运用文献研究、定量与定性分析相结合及案例研究等方法，分析银川新华百货商业集团股份有限公司固定资产管理现状。其次，以理论联系实际，</w:t>
      </w:r>
      <w:r>
        <w:rPr>
          <w:rFonts w:ascii="Times New Roman" w:hAnsi="Times New Roman" w:cs="Times New Roman" w:hint="eastAsia"/>
          <w:color w:val="000000" w:themeColor="text1"/>
          <w:lang w:val="en-US" w:eastAsia="zh-CN"/>
          <w14:textFill>
            <w14:solidFill>
              <w14:schemeClr w14:val="tx1"/>
            </w14:solidFill>
          </w14:textFill>
        </w:rPr>
        <w:t>找出</w:t>
      </w:r>
      <w:r>
        <w:rPr>
          <w:rFonts w:ascii="Times New Roman" w:hAnsi="Times New Roman" w:cs="Times New Roman" w:hint="eastAsia"/>
          <w:color w:val="000000" w:themeColor="text1"/>
          <w14:textFill>
            <w14:solidFill>
              <w14:schemeClr w14:val="tx1"/>
            </w14:solidFill>
          </w14:textFill>
        </w:rPr>
        <w:t>银川新华百货商业集团股份有限公司</w:t>
      </w:r>
      <w:r>
        <w:rPr>
          <w:rFonts w:ascii="Times New Roman" w:hAnsi="Times New Roman" w:cs="Times New Roman" w:hint="eastAsia"/>
          <w:color w:val="000000" w:themeColor="text1"/>
          <w:lang w:eastAsia="zh-CN"/>
          <w14:textFill>
            <w14:solidFill>
              <w14:schemeClr w14:val="tx1"/>
            </w14:solidFill>
          </w14:textFill>
        </w:rPr>
        <w:t>（</w:t>
      </w:r>
      <w:r>
        <w:rPr>
          <w:rFonts w:ascii="Times New Roman" w:hAnsi="Times New Roman" w:cs="Times New Roman" w:hint="eastAsia"/>
          <w:color w:val="000000" w:themeColor="text1"/>
          <w:lang w:val="en-US" w:eastAsia="zh-CN"/>
          <w14:textFill>
            <w14:solidFill>
              <w14:schemeClr w14:val="tx1"/>
            </w14:solidFill>
          </w14:textFill>
        </w:rPr>
        <w:t>正文中简称新华百货或公司</w:t>
      </w:r>
      <w:r>
        <w:rPr>
          <w:rFonts w:ascii="Times New Roman" w:hAnsi="Times New Roman" w:cs="Times New Roman" w:hint="eastAsia"/>
          <w:color w:val="000000" w:themeColor="text1"/>
          <w:lang w:eastAsia="zh-CN"/>
          <w14:textFill>
            <w14:solidFill>
              <w14:schemeClr w14:val="tx1"/>
            </w14:solidFill>
          </w14:textFill>
        </w:rPr>
        <w:t>）</w:t>
      </w:r>
      <w:r>
        <w:rPr>
          <w:rFonts w:ascii="Times New Roman" w:hAnsi="Times New Roman" w:cs="Times New Roman" w:hint="eastAsia"/>
          <w:color w:val="000000" w:themeColor="text1"/>
          <w:lang w:val="en-US" w:eastAsia="zh-CN"/>
          <w14:textFill>
            <w14:solidFill>
              <w14:schemeClr w14:val="tx1"/>
            </w14:solidFill>
          </w14:textFill>
        </w:rPr>
        <w:t>的</w:t>
      </w:r>
      <w:r>
        <w:rPr>
          <w:rFonts w:ascii="Times New Roman" w:hAnsi="Times New Roman" w:cs="Times New Roman" w:hint="eastAsia"/>
          <w:color w:val="000000" w:themeColor="text1"/>
          <w14:textFill>
            <w14:solidFill>
              <w14:schemeClr w14:val="tx1"/>
            </w14:solidFill>
          </w14:textFill>
        </w:rPr>
        <w:t>固定资产管理</w:t>
      </w:r>
      <w:r>
        <w:rPr>
          <w:rFonts w:ascii="Times New Roman" w:hAnsi="Times New Roman" w:cs="Times New Roman" w:hint="eastAsia"/>
          <w:color w:val="000000" w:themeColor="text1"/>
          <w:lang w:val="en-US" w:eastAsia="zh-CN"/>
          <w14:textFill>
            <w14:solidFill>
              <w14:schemeClr w14:val="tx1"/>
            </w14:solidFill>
          </w14:textFill>
        </w:rPr>
        <w:t>存在着多个突出问题，这些问题对公司发展带来了较大的不利影响。在文章的最后，比这提出了相关的可行对策来有效的解决这些问题，从而有力的提升公司的资产管理水平，推动公司的健康、持续发展。</w:t>
      </w:r>
    </w:p>
    <w:p>
      <w:pPr>
        <w:rPr>
          <w:rFonts w:ascii="Times New Roman" w:hAnsi="Times New Roman" w:cs="Times New Roman"/>
          <w:color w:val="000000" w:themeColor="text1"/>
          <w14:textFill>
            <w14:solidFill>
              <w14:schemeClr w14:val="tx1"/>
            </w14:solidFill>
          </w14:textFill>
        </w:rPr>
        <w:sectPr>
          <w:headerReference w:type="default" r:id="rId6"/>
          <w:footerReference w:type="default" r:id="rId7"/>
          <w:pgSz w:w="11906" w:h="16838"/>
          <w:pgMar w:top="1417" w:right="1418" w:bottom="1417" w:left="1559" w:header="851" w:footer="992" w:gutter="0"/>
          <w:cols w:num="1" w:space="0"/>
          <w:docGrid w:type="lines" w:linePitch="333" w:charSpace="0"/>
        </w:sectPr>
      </w:pPr>
      <w:r>
        <w:rPr>
          <w:rFonts w:ascii="黑体" w:eastAsia="黑体" w:hAnsi="黑体" w:cs="Times New Roman"/>
          <w:color w:val="000000" w:themeColor="text1"/>
          <w:szCs w:val="24"/>
          <w14:textFill>
            <w14:solidFill>
              <w14:schemeClr w14:val="tx1"/>
            </w14:solidFill>
          </w14:textFill>
        </w:rPr>
        <w:t>关键词：</w:t>
      </w:r>
      <w:r>
        <w:rPr>
          <w:rFonts w:ascii="Times New Roman" w:hAnsi="Times New Roman" w:cs="Times New Roman" w:hint="eastAsia"/>
          <w:color w:val="000000" w:themeColor="text1"/>
          <w14:textFill>
            <w14:solidFill>
              <w14:schemeClr w14:val="tx1"/>
            </w14:solidFill>
          </w14:textFill>
        </w:rPr>
        <w:t>新华百货；固定资产管理；</w:t>
      </w:r>
      <w:r>
        <w:rPr>
          <w:rFonts w:hint="eastAsia"/>
          <w:color w:val="000000" w:themeColor="text1"/>
          <w14:textFill>
            <w14:solidFill>
              <w14:schemeClr w14:val="tx1"/>
            </w14:solidFill>
          </w14:textFill>
        </w:rPr>
        <w:t>问题</w:t>
      </w:r>
      <w:r>
        <w:rPr>
          <w:rFonts w:ascii="Times New Roman" w:hAnsi="Times New Roman" w:cs="Times New Roman" w:hint="eastAsia"/>
          <w:color w:val="000000" w:themeColor="text1"/>
          <w14:textFill>
            <w14:solidFill>
              <w14:schemeClr w14:val="tx1"/>
            </w14:solidFill>
          </w14:textFill>
        </w:rPr>
        <w:t>；对策</w:t>
      </w:r>
    </w:p>
    <w:p>
      <w:pPr>
        <w:jc w:val="center"/>
        <w:rPr>
          <w:rFonts w:ascii="Times New Roman" w:eastAsia="黑体" w:hAnsi="Times New Roman" w:cs="Times New Roman"/>
          <w:b/>
          <w:bCs/>
          <w:color w:val="000000" w:themeColor="text1"/>
          <w:sz w:val="32"/>
          <w:szCs w:val="32"/>
          <w14:textFill>
            <w14:solidFill>
              <w14:schemeClr w14:val="tx1"/>
            </w14:solidFill>
          </w14:textFill>
        </w:rPr>
      </w:pPr>
      <w:r>
        <w:rPr>
          <w:rFonts w:ascii="Times New Roman" w:eastAsia="黑体" w:hAnsi="Times New Roman" w:cs="Times New Roman"/>
          <w:b/>
          <w:bCs/>
          <w:color w:val="000000" w:themeColor="text1"/>
          <w:sz w:val="32"/>
          <w:szCs w:val="32"/>
          <w14:textFill>
            <w14:solidFill>
              <w14:schemeClr w14:val="tx1"/>
            </w14:solidFill>
          </w14:textFill>
        </w:rPr>
        <w:t>ABSTRACT</w:t>
      </w:r>
    </w:p>
    <w:p>
      <w:pPr>
        <w:jc w:val="center"/>
        <w:rPr>
          <w:rFonts w:ascii="Times New Roman" w:eastAsia="黑体" w:hAnsi="Times New Roman" w:cs="Times New Roman"/>
          <w:b/>
          <w:bCs/>
          <w:color w:val="000000" w:themeColor="text1"/>
          <w:sz w:val="32"/>
          <w:szCs w:val="32"/>
          <w14:textFill>
            <w14:solidFill>
              <w14:schemeClr w14:val="tx1"/>
            </w14:solidFill>
          </w14:textFill>
        </w:rPr>
      </w:pPr>
    </w:p>
    <w:p>
      <w:pPr>
        <w:widowControl/>
        <w:spacing w:before="166" w:beforeLines="50" w:after="166" w:afterLines="50"/>
        <w:ind w:firstLine="480" w:firstLineChars="200"/>
        <w:rPr>
          <w:rFonts w:ascii="Times New Roman" w:hAnsi="Times New Roman" w:cs="Times New Roman"/>
          <w:color w:val="000000" w:themeColor="text1"/>
          <w:szCs w:val="24"/>
          <w14:textFill>
            <w14:solidFill>
              <w14:schemeClr w14:val="tx1"/>
            </w14:solidFill>
          </w14:textFill>
        </w:rPr>
      </w:pPr>
      <w:r>
        <w:rPr>
          <w:rFonts w:ascii="Times New Roman" w:hAnsi="Times New Roman" w:cs="Times New Roman" w:hint="eastAsia"/>
          <w:color w:val="000000" w:themeColor="text1"/>
          <w:szCs w:val="24"/>
          <w14:textFill>
            <w14:solidFill>
              <w14:schemeClr w14:val="tx1"/>
            </w14:solidFill>
          </w14:textFill>
        </w:rPr>
        <w:t>Fixed assets management is not only an important part of enterprise management, but also related to the survival and development of enterprises. This paper takes the fixed asset management of yinchuan xinhua department store commercial group co., LTD as the research object. Firstly, the paper analyzes the current situation of fixed assets management of yinchuan xinhua department store commercial group co., LTD. By means of literature research, quantitative and qualitative analysis and case study. Secondly, to integrate theory with practice, found that yinchuan xinhua department store business group co., LTD., the fixed asset management is the lack of a sound system of fixed assets management, fixed assets, fixed assets management of idle and erosion phenomenon, fixed assets books set is not sound, internal supervise mechanism is not sound and so on. Finally, the paper puts forward some countermeasures, such as formulating and improving the fixed assets management system, changing the ideas of enterprise managers, improving the utilization efficiency of fixed assets, establishing and improving the management of enterprise fixed assets account book, and establishing the internal supervise mechanism.</w:t>
      </w:r>
    </w:p>
    <w:p>
      <w:pPr>
        <w:widowControl/>
        <w:spacing w:before="166" w:beforeLines="50" w:after="166" w:afterLines="50"/>
        <w:ind w:firstLine="480" w:firstLineChars="200"/>
        <w:rPr>
          <w:rFonts w:ascii="Times New Roman" w:hAnsi="Times New Roman" w:cs="Times New Roman"/>
          <w:color w:val="000000" w:themeColor="text1"/>
          <w:szCs w:val="24"/>
          <w14:textFill>
            <w14:solidFill>
              <w14:schemeClr w14:val="tx1"/>
            </w14:solidFill>
          </w14:textFill>
        </w:rPr>
      </w:pPr>
    </w:p>
    <w:p>
      <w:pPr>
        <w:ind w:left="280" w:hanging="280" w:hangingChars="100"/>
        <w:rPr>
          <w:rFonts w:ascii="Times New Roman" w:eastAsia="黑体" w:hAnsi="Times New Roman" w:cs="Times New Roman"/>
          <w:b/>
          <w:color w:val="000000" w:themeColor="text1"/>
          <w:szCs w:val="24"/>
          <w14:textFill>
            <w14:solidFill>
              <w14:schemeClr w14:val="tx1"/>
            </w14:solidFill>
          </w14:textFill>
        </w:rPr>
        <w:sectPr>
          <w:headerReference w:type="default" r:id="rId8"/>
          <w:footerReference w:type="default" r:id="rId9"/>
          <w:type w:val="nextPage"/>
          <w:pgSz w:w="11906" w:h="16838"/>
          <w:pgMar w:top="1417" w:right="1418" w:bottom="1417" w:left="1559" w:header="851" w:footer="992" w:gutter="0"/>
          <w:pgNumType w:start="2"/>
          <w:cols w:num="1" w:space="0"/>
          <w:titlePg w:val="0"/>
          <w:docGrid w:type="lines" w:linePitch="333" w:charSpace="0"/>
        </w:sectPr>
      </w:pPr>
      <w:r>
        <w:rPr>
          <w:rFonts w:ascii="Times New Roman" w:eastAsia="黑体" w:hAnsi="Times New Roman" w:cs="Times New Roman"/>
          <w:b/>
          <w:color w:val="000000" w:themeColor="text1"/>
          <w:sz w:val="28"/>
          <w:szCs w:val="32"/>
          <w14:textFill>
            <w14:solidFill>
              <w14:schemeClr w14:val="tx1"/>
            </w14:solidFill>
          </w14:textFill>
        </w:rPr>
        <w:t>Key words</w:t>
      </w:r>
      <w:r>
        <w:rPr>
          <w:rFonts w:ascii="Times New Roman" w:eastAsia="黑体" w:hAnsi="Times New Roman" w:cs="Times New Roman" w:hint="eastAsia"/>
          <w:b/>
          <w:color w:val="000000" w:themeColor="text1"/>
          <w:sz w:val="28"/>
          <w:szCs w:val="32"/>
          <w14:textFill>
            <w14:solidFill>
              <w14:schemeClr w14:val="tx1"/>
            </w14:solidFill>
          </w14:textFill>
        </w:rPr>
        <w:t>：</w:t>
      </w:r>
      <w:r>
        <w:rPr>
          <w:rFonts w:ascii="Times New Roman" w:eastAsia="黑体" w:hAnsi="Times New Roman" w:cs="Times New Roman"/>
          <w:bCs/>
          <w:color w:val="000000" w:themeColor="text1"/>
          <w:szCs w:val="24"/>
          <w14:textFill>
            <w14:solidFill>
              <w14:schemeClr w14:val="tx1"/>
            </w14:solidFill>
          </w14:textFill>
        </w:rPr>
        <w:t xml:space="preserve"> xinhua department store;Fixed assets</w:t>
      </w:r>
      <w:r>
        <w:rPr>
          <w:rFonts w:ascii="Times New Roman" w:eastAsia="黑体" w:hAnsi="Times New Roman" w:cs="Times New Roman" w:hint="eastAsia"/>
          <w:bCs/>
          <w:color w:val="000000" w:themeColor="text1"/>
          <w:szCs w:val="24"/>
          <w14:textFill>
            <w14:solidFill>
              <w14:schemeClr w14:val="tx1"/>
            </w14:solidFill>
          </w14:textFill>
        </w:rPr>
        <w:t>;</w:t>
      </w:r>
      <w:r>
        <w:rPr>
          <w:rFonts w:ascii="Times New Roman" w:eastAsia="黑体" w:hAnsi="Times New Roman" w:cs="Times New Roman"/>
          <w:bCs/>
          <w:color w:val="000000" w:themeColor="text1"/>
          <w:szCs w:val="24"/>
          <w14:textFill>
            <w14:solidFill>
              <w14:schemeClr w14:val="tx1"/>
            </w14:solidFill>
          </w14:textFill>
        </w:rPr>
        <w:t>Fixed assets</w:t>
      </w:r>
      <w:r>
        <w:rPr>
          <w:rFonts w:ascii="Times New Roman" w:eastAsia="黑体" w:hAnsi="Times New Roman" w:cs="Times New Roman" w:hint="eastAsia"/>
          <w:bCs/>
          <w:color w:val="000000" w:themeColor="text1"/>
          <w:szCs w:val="24"/>
          <w14:textFill>
            <w14:solidFill>
              <w14:schemeClr w14:val="tx1"/>
            </w14:solidFill>
          </w14:textFill>
        </w:rPr>
        <w:t xml:space="preserve"> </w:t>
      </w:r>
      <w:r>
        <w:rPr>
          <w:rFonts w:ascii="Times New Roman" w:eastAsia="黑体" w:hAnsi="Times New Roman" w:cs="Times New Roman"/>
          <w:bCs/>
          <w:color w:val="000000" w:themeColor="text1"/>
          <w:szCs w:val="24"/>
          <w14:textFill>
            <w14:solidFill>
              <w14:schemeClr w14:val="tx1"/>
            </w14:solidFill>
          </w14:textFill>
        </w:rPr>
        <w:t>management</w:t>
      </w:r>
      <w:r>
        <w:rPr>
          <w:rFonts w:ascii="Times New Roman" w:eastAsia="黑体" w:hAnsi="Times New Roman" w:cs="Times New Roman" w:hint="eastAsia"/>
          <w:bCs/>
          <w:color w:val="000000" w:themeColor="text1"/>
          <w:szCs w:val="24"/>
          <w14:textFill>
            <w14:solidFill>
              <w14:schemeClr w14:val="tx1"/>
            </w14:solidFill>
          </w14:textFill>
        </w:rPr>
        <w:t>;</w:t>
      </w:r>
      <w:r>
        <w:rPr>
          <w:rFonts w:ascii="Times New Roman" w:hAnsi="Times New Roman" w:cs="Times New Roman" w:hint="eastAsia"/>
          <w:color w:val="000000" w:themeColor="text1"/>
          <w:szCs w:val="24"/>
          <w14:textFill>
            <w14:solidFill>
              <w14:schemeClr w14:val="tx1"/>
            </w14:solidFill>
          </w14:textFill>
        </w:rPr>
        <w:t>problems</w:t>
      </w:r>
      <w:r>
        <w:rPr>
          <w:rFonts w:ascii="Times New Roman" w:eastAsia="黑体" w:hAnsi="Times New Roman" w:cs="Times New Roman"/>
          <w:bCs/>
          <w:color w:val="000000" w:themeColor="text1"/>
          <w:szCs w:val="24"/>
          <w14:textFill>
            <w14:solidFill>
              <w14:schemeClr w14:val="tx1"/>
            </w14:solidFill>
          </w14:textFill>
        </w:rPr>
        <w:t>;</w:t>
      </w:r>
      <w:r>
        <w:rPr>
          <w:rFonts w:ascii="Times New Roman" w:eastAsia="黑体" w:hAnsi="Times New Roman" w:cs="Times New Roman" w:hint="eastAsia"/>
          <w:bCs/>
          <w:color w:val="000000" w:themeColor="text1"/>
          <w:szCs w:val="24"/>
          <w14:textFill>
            <w14:solidFill>
              <w14:schemeClr w14:val="tx1"/>
            </w14:solidFill>
          </w14:textFill>
        </w:rPr>
        <w:t xml:space="preserve"> </w:t>
      </w:r>
      <w:r>
        <w:rPr>
          <w:rFonts w:ascii="Times New Roman" w:eastAsia="黑体" w:hAnsi="Times New Roman" w:cs="Times New Roman"/>
          <w:bCs/>
          <w:color w:val="000000" w:themeColor="text1"/>
          <w:szCs w:val="24"/>
          <w14:textFill>
            <w14:solidFill>
              <w14:schemeClr w14:val="tx1"/>
            </w14:solidFill>
          </w14:textFill>
        </w:rPr>
        <w:t>management measure</w:t>
      </w:r>
    </w:p>
    <w:sdt>
      <w:sdtPr>
        <w:rPr>
          <w:rFonts w:ascii="宋体" w:hAnsi="宋体"/>
          <w:color w:val="000000" w:themeColor="text1"/>
          <w:sz w:val="21"/>
          <w14:textFill>
            <w14:solidFill>
              <w14:schemeClr w14:val="tx1"/>
            </w14:solidFill>
          </w14:textFill>
        </w:rPr>
        <w:id w:val="147452911"/>
        <w:docPartObj>
          <w:docPartGallery w:val="Table of Contents"/>
          <w:docPartUnique/>
        </w:docPartObj>
      </w:sdtPr>
      <w:sdtEndPr>
        <w:rPr>
          <w:rFonts w:ascii="宋体" w:hAnsi="宋体"/>
          <w:color w:val="000000" w:themeColor="text1"/>
          <w:sz w:val="21"/>
          <w14:textFill>
            <w14:solidFill>
              <w14:schemeClr w14:val="tx1"/>
            </w14:solidFill>
          </w14:textFill>
        </w:rPr>
      </w:sdtEndPr>
      <w:sdtContent>
        <w:p>
          <w:pPr>
            <w:jc w:val="center"/>
            <w:rPr>
              <w:rFonts w:ascii="黑体" w:eastAsia="黑体" w:hAnsi="黑体"/>
              <w:color w:val="000000" w:themeColor="text1"/>
              <w:sz w:val="32"/>
              <w:szCs w:val="32"/>
              <w14:textFill>
                <w14:solidFill>
                  <w14:schemeClr w14:val="tx1"/>
                </w14:solidFill>
              </w14:textFill>
            </w:rPr>
          </w:pPr>
          <w:r>
            <w:rPr>
              <w:rFonts w:ascii="黑体" w:eastAsia="黑体" w:hAnsi="黑体" w:hint="eastAsia"/>
              <w:color w:val="000000" w:themeColor="text1"/>
              <w:sz w:val="32"/>
              <w:szCs w:val="32"/>
              <w14:textFill>
                <w14:solidFill>
                  <w14:schemeClr w14:val="tx1"/>
                </w14:solidFill>
              </w14:textFill>
            </w:rPr>
            <w:t>目  录</w:t>
          </w:r>
        </w:p>
        <w:p>
          <w:pPr>
            <w:jc w:val="center"/>
            <w:rPr>
              <w:rFonts w:ascii="Times New Roman" w:eastAsia="黑体" w:hAnsi="Times New Roman" w:cs="Times New Roman"/>
              <w:color w:val="000000" w:themeColor="text1"/>
              <w:sz w:val="32"/>
              <w:szCs w:val="32"/>
              <w14:textFill>
                <w14:solidFill>
                  <w14:schemeClr w14:val="tx1"/>
                </w14:solidFill>
              </w14:textFill>
            </w:rPr>
          </w:pPr>
        </w:p>
        <w:p>
          <w:pPr>
            <w:pStyle w:val="TOC1"/>
            <w:tabs>
              <w:tab w:val="clear" w:pos="8919"/>
              <w:tab w:val="right" w:leader="dot" w:pos="8929"/>
            </w:tabs>
            <w:rPr>
              <w:color w:val="000000" w:themeColor="text1"/>
              <w:sz w:val="24"/>
              <w:szCs w:val="24"/>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TOC \o "1-3" \h \u </w:instrText>
          </w:r>
          <w:r>
            <w:rPr>
              <w:color w:val="000000" w:themeColor="text1"/>
              <w14:textFill>
                <w14:solidFill>
                  <w14:schemeClr w14:val="tx1"/>
                </w14:solidFill>
              </w14:textFill>
            </w:rPr>
            <w:fldChar w:fldCharType="separate"/>
          </w:r>
          <w:hyperlink w:anchor="_Toc15140" w:history="1">
            <w:r>
              <w:rPr>
                <w:rFonts w:ascii="黑体" w:eastAsia="黑体" w:hAnsi="黑体" w:cs="黑体" w:hint="eastAsia"/>
                <w:color w:val="000000" w:themeColor="text1"/>
                <w:sz w:val="24"/>
                <w:szCs w:val="24"/>
                <w14:textFill>
                  <w14:solidFill>
                    <w14:schemeClr w14:val="tx1"/>
                  </w14:solidFill>
                </w14:textFill>
              </w:rPr>
              <w:t>一 绪论</w:t>
            </w:r>
            <w:r>
              <w:rPr>
                <w:rFonts w:eastAsia="黑体" w:cs="Times New Roman"/>
                <w:color w:val="000000" w:themeColor="text1"/>
                <w:sz w:val="24"/>
                <w:szCs w:val="24"/>
                <w14:textFill>
                  <w14:solidFill>
                    <w14:schemeClr w14:val="tx1"/>
                  </w14:solidFill>
                </w14:textFill>
              </w:rPr>
              <w:tab/>
            </w:r>
            <w:r>
              <w:rPr>
                <w:rFonts w:eastAsia="黑体" w:cs="Times New Roman"/>
                <w:color w:val="000000" w:themeColor="text1"/>
                <w:sz w:val="24"/>
                <w:szCs w:val="24"/>
                <w14:textFill>
                  <w14:solidFill>
                    <w14:schemeClr w14:val="tx1"/>
                  </w14:solidFill>
                </w14:textFill>
              </w:rPr>
              <w:fldChar w:fldCharType="begin"/>
            </w:r>
            <w:r>
              <w:rPr>
                <w:rFonts w:eastAsia="黑体" w:cs="Times New Roman"/>
                <w:color w:val="000000" w:themeColor="text1"/>
                <w:sz w:val="24"/>
                <w:szCs w:val="24"/>
                <w14:textFill>
                  <w14:solidFill>
                    <w14:schemeClr w14:val="tx1"/>
                  </w14:solidFill>
                </w14:textFill>
              </w:rPr>
              <w:instrText xml:space="preserve"> PAGEREF _Toc15140 </w:instrText>
            </w:r>
            <w:r>
              <w:rPr>
                <w:rFonts w:eastAsia="黑体" w:cs="Times New Roman"/>
                <w:color w:val="000000" w:themeColor="text1"/>
                <w:sz w:val="24"/>
                <w:szCs w:val="24"/>
                <w14:textFill>
                  <w14:solidFill>
                    <w14:schemeClr w14:val="tx1"/>
                  </w14:solidFill>
                </w14:textFill>
              </w:rPr>
              <w:fldChar w:fldCharType="separate"/>
            </w:r>
            <w:r>
              <w:rPr>
                <w:rFonts w:eastAsia="黑体" w:cs="Times New Roman"/>
                <w:color w:val="000000" w:themeColor="text1"/>
                <w:sz w:val="24"/>
                <w:szCs w:val="24"/>
                <w14:textFill>
                  <w14:solidFill>
                    <w14:schemeClr w14:val="tx1"/>
                  </w14:solidFill>
                </w14:textFill>
              </w:rPr>
              <w:t>1</w:t>
            </w:r>
            <w:r>
              <w:rPr>
                <w:rFonts w:eastAsia="黑体" w:cs="Times New Roman"/>
                <w:color w:val="000000" w:themeColor="text1"/>
                <w:sz w:val="24"/>
                <w:szCs w:val="24"/>
                <w14:textFill>
                  <w14:solidFill>
                    <w14:schemeClr w14:val="tx1"/>
                  </w14:solidFill>
                </w14:textFill>
              </w:rPr>
              <w:fldChar w:fldCharType="end"/>
            </w:r>
          </w:hyperlink>
        </w:p>
        <w:p>
          <w:pPr>
            <w:pStyle w:val="TOC2"/>
            <w:tabs>
              <w:tab w:val="right" w:leader="dot" w:pos="8929"/>
            </w:tabs>
            <w:rPr>
              <w:color w:val="000000" w:themeColor="text1"/>
              <w:sz w:val="24"/>
              <w:szCs w:val="24"/>
              <w14:textFill>
                <w14:solidFill>
                  <w14:schemeClr w14:val="tx1"/>
                </w14:solidFill>
              </w14:textFill>
            </w:rPr>
          </w:pPr>
          <w:hyperlink w:anchor="_Toc19078" w:history="1">
            <w:r>
              <w:rPr>
                <w:rFonts w:ascii="宋体" w:eastAsia="宋体" w:hAnsi="宋体" w:cs="宋体" w:hint="eastAsia"/>
                <w:color w:val="000000" w:themeColor="text1"/>
                <w:sz w:val="24"/>
                <w:szCs w:val="24"/>
                <w14:textFill>
                  <w14:solidFill>
                    <w14:schemeClr w14:val="tx1"/>
                  </w14:solidFill>
                </w14:textFill>
              </w:rPr>
              <w:t>（一）研究背景及目的</w:t>
            </w:r>
            <w:r>
              <w:rPr>
                <w:rFonts w:ascii="Times New Roman" w:hAnsi="Times New Roman" w:cs="Times New Roman"/>
                <w:color w:val="000000" w:themeColor="text1"/>
                <w:sz w:val="24"/>
                <w:szCs w:val="24"/>
                <w14:textFill>
                  <w14:solidFill>
                    <w14:schemeClr w14:val="tx1"/>
                  </w14:solidFill>
                </w14:textFill>
              </w:rPr>
              <w:tab/>
            </w:r>
            <w:r>
              <w:rPr>
                <w:rFonts w:ascii="Times New Roman" w:eastAsia="黑体" w:hAnsi="Times New Roman" w:cs="Times New Roman"/>
                <w:color w:val="000000" w:themeColor="text1"/>
                <w:sz w:val="24"/>
                <w:szCs w:val="24"/>
                <w14:textFill>
                  <w14:solidFill>
                    <w14:schemeClr w14:val="tx1"/>
                  </w14:solidFill>
                </w14:textFill>
              </w:rPr>
              <w:fldChar w:fldCharType="begin"/>
            </w:r>
            <w:r>
              <w:rPr>
                <w:rFonts w:ascii="Times New Roman" w:eastAsia="黑体" w:hAnsi="Times New Roman" w:cs="Times New Roman"/>
                <w:color w:val="000000" w:themeColor="text1"/>
                <w:sz w:val="24"/>
                <w:szCs w:val="24"/>
                <w14:textFill>
                  <w14:solidFill>
                    <w14:schemeClr w14:val="tx1"/>
                  </w14:solidFill>
                </w14:textFill>
              </w:rPr>
              <w:instrText xml:space="preserve"> PAGEREF _Toc19078 </w:instrText>
            </w:r>
            <w:r>
              <w:rPr>
                <w:rFonts w:ascii="Times New Roman" w:eastAsia="黑体" w:hAnsi="Times New Roman" w:cs="Times New Roman"/>
                <w:color w:val="000000" w:themeColor="text1"/>
                <w:sz w:val="24"/>
                <w:szCs w:val="24"/>
                <w14:textFill>
                  <w14:solidFill>
                    <w14:schemeClr w14:val="tx1"/>
                  </w14:solidFill>
                </w14:textFill>
              </w:rPr>
              <w:fldChar w:fldCharType="separate"/>
            </w:r>
            <w:r>
              <w:rPr>
                <w:rFonts w:ascii="Times New Roman" w:eastAsia="黑体" w:hAnsi="Times New Roman" w:cs="Times New Roman"/>
                <w:color w:val="000000" w:themeColor="text1"/>
                <w:sz w:val="24"/>
                <w:szCs w:val="24"/>
                <w14:textFill>
                  <w14:solidFill>
                    <w14:schemeClr w14:val="tx1"/>
                  </w14:solidFill>
                </w14:textFill>
              </w:rPr>
              <w:t>1</w:t>
            </w:r>
            <w:r>
              <w:rPr>
                <w:rFonts w:ascii="Times New Roman" w:eastAsia="黑体"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pPr>
          <w:hyperlink w:anchor="_Toc8285" w:history="1">
            <w:r>
              <w:rPr>
                <w:rFonts w:ascii="Times New Roman" w:hAnsi="Times New Roman" w:cs="Times New Roman"/>
                <w:color w:val="000000" w:themeColor="text1"/>
                <w:sz w:val="24"/>
                <w:szCs w:val="24"/>
                <w14:textFill>
                  <w14:solidFill>
                    <w14:schemeClr w14:val="tx1"/>
                  </w14:solidFill>
                </w14:textFill>
              </w:rPr>
              <w:t>1</w:t>
            </w:r>
            <w:r>
              <w:rPr>
                <w:rFonts w:ascii="宋体" w:hAnsi="宋体" w:hint="eastAsia"/>
                <w:color w:val="000000" w:themeColor="text1"/>
                <w:sz w:val="24"/>
                <w:szCs w:val="24"/>
                <w14:textFill>
                  <w14:solidFill>
                    <w14:schemeClr w14:val="tx1"/>
                  </w14:solidFill>
                </w14:textFill>
              </w:rPr>
              <w:t>.研究背景</w:t>
            </w:r>
            <w:r>
              <w:rPr>
                <w:rFonts w:ascii="Times New Roman" w:hAnsi="Times New Roman" w:cs="Times New Roman"/>
                <w:color w:val="000000" w:themeColor="text1"/>
                <w:sz w:val="24"/>
                <w:szCs w:val="24"/>
                <w14:textFill>
                  <w14:solidFill>
                    <w14:schemeClr w14:val="tx1"/>
                  </w14:solidFill>
                </w14:textFill>
              </w:rPr>
              <w:tab/>
            </w:r>
            <w:r>
              <w:rPr>
                <w:rFonts w:ascii="Times New Roman" w:eastAsia="黑体" w:hAnsi="Times New Roman" w:cs="Times New Roman"/>
                <w:color w:val="000000" w:themeColor="text1"/>
                <w:sz w:val="24"/>
                <w:szCs w:val="24"/>
                <w14:textFill>
                  <w14:solidFill>
                    <w14:schemeClr w14:val="tx1"/>
                  </w14:solidFill>
                </w14:textFill>
              </w:rPr>
              <w:fldChar w:fldCharType="begin"/>
            </w:r>
            <w:r>
              <w:rPr>
                <w:rFonts w:ascii="Times New Roman" w:eastAsia="黑体" w:hAnsi="Times New Roman" w:cs="Times New Roman"/>
                <w:color w:val="000000" w:themeColor="text1"/>
                <w:sz w:val="24"/>
                <w:szCs w:val="24"/>
                <w14:textFill>
                  <w14:solidFill>
                    <w14:schemeClr w14:val="tx1"/>
                  </w14:solidFill>
                </w14:textFill>
              </w:rPr>
              <w:instrText xml:space="preserve"> PAGEREF _Toc8285 </w:instrText>
            </w:r>
            <w:r>
              <w:rPr>
                <w:rFonts w:ascii="Times New Roman" w:eastAsia="黑体" w:hAnsi="Times New Roman" w:cs="Times New Roman"/>
                <w:color w:val="000000" w:themeColor="text1"/>
                <w:sz w:val="24"/>
                <w:szCs w:val="24"/>
                <w14:textFill>
                  <w14:solidFill>
                    <w14:schemeClr w14:val="tx1"/>
                  </w14:solidFill>
                </w14:textFill>
              </w:rPr>
              <w:fldChar w:fldCharType="separate"/>
            </w:r>
            <w:r>
              <w:rPr>
                <w:rFonts w:ascii="Times New Roman" w:eastAsia="黑体" w:hAnsi="Times New Roman" w:cs="Times New Roman"/>
                <w:color w:val="000000" w:themeColor="text1"/>
                <w:sz w:val="24"/>
                <w:szCs w:val="24"/>
                <w14:textFill>
                  <w14:solidFill>
                    <w14:schemeClr w14:val="tx1"/>
                  </w14:solidFill>
                </w14:textFill>
              </w:rPr>
              <w:t>1</w:t>
            </w:r>
            <w:r>
              <w:rPr>
                <w:rFonts w:ascii="Times New Roman" w:eastAsia="黑体"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pPr>
          <w:hyperlink w:anchor="_Toc10773" w:history="1">
            <w:r>
              <w:rPr>
                <w:rFonts w:ascii="Times New Roman" w:hAnsi="Times New Roman" w:cs="Times New Roman"/>
                <w:color w:val="000000" w:themeColor="text1"/>
                <w:sz w:val="24"/>
                <w:szCs w:val="24"/>
                <w14:textFill>
                  <w14:solidFill>
                    <w14:schemeClr w14:val="tx1"/>
                  </w14:solidFill>
                </w14:textFill>
              </w:rPr>
              <w:t>2</w:t>
            </w:r>
            <w:r>
              <w:rPr>
                <w:rFonts w:ascii="宋体" w:hAnsi="宋体" w:hint="eastAsia"/>
                <w:color w:val="000000" w:themeColor="text1"/>
                <w:sz w:val="24"/>
                <w:szCs w:val="24"/>
                <w14:textFill>
                  <w14:solidFill>
                    <w14:schemeClr w14:val="tx1"/>
                  </w14:solidFill>
                </w14:textFill>
              </w:rPr>
              <w:t>.研究目的</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_Toc10773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2"/>
            <w:tabs>
              <w:tab w:val="right" w:leader="dot" w:pos="8929"/>
            </w:tabs>
            <w:rPr>
              <w:color w:val="000000" w:themeColor="text1"/>
              <w:sz w:val="24"/>
              <w:szCs w:val="24"/>
              <w14:textFill>
                <w14:solidFill>
                  <w14:schemeClr w14:val="tx1"/>
                </w14:solidFill>
              </w14:textFill>
            </w:rPr>
          </w:pPr>
          <w:hyperlink w:anchor="_Toc26024" w:history="1">
            <w:r>
              <w:rPr>
                <w:rFonts w:ascii="宋体" w:eastAsia="宋体" w:hAnsi="宋体" w:cs="宋体" w:hint="eastAsia"/>
                <w:color w:val="000000" w:themeColor="text1"/>
                <w:sz w:val="24"/>
                <w:szCs w:val="24"/>
                <w14:textFill>
                  <w14:solidFill>
                    <w14:schemeClr w14:val="tx1"/>
                  </w14:solidFill>
                </w14:textFill>
              </w:rPr>
              <w:t>（二）研究意义及内容</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_Toc26024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pPr>
          <w:hyperlink w:anchor="_Toc31081" w:history="1">
            <w:r>
              <w:rPr>
                <w:rFonts w:ascii="Times New Roman" w:hAnsi="Times New Roman" w:cs="Times New Roman"/>
                <w:color w:val="000000" w:themeColor="text1"/>
                <w:sz w:val="24"/>
                <w:szCs w:val="24"/>
                <w14:textFill>
                  <w14:solidFill>
                    <w14:schemeClr w14:val="tx1"/>
                  </w14:solidFill>
                </w14:textFill>
              </w:rPr>
              <w:t>1</w:t>
            </w:r>
            <w:r>
              <w:rPr>
                <w:rFonts w:ascii="宋体" w:hAnsi="宋体" w:hint="eastAsia"/>
                <w:color w:val="000000" w:themeColor="text1"/>
                <w:sz w:val="24"/>
                <w:szCs w:val="24"/>
                <w14:textFill>
                  <w14:solidFill>
                    <w14:schemeClr w14:val="tx1"/>
                  </w14:solidFill>
                </w14:textFill>
              </w:rPr>
              <w:t>.研究意义</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_Toc31081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pPr>
          <w:hyperlink w:anchor="_Toc14504" w:history="1">
            <w:r>
              <w:rPr>
                <w:rFonts w:ascii="Times New Roman" w:hAnsi="Times New Roman" w:cs="Times New Roman" w:hint="eastAsia"/>
                <w:color w:val="000000" w:themeColor="text1"/>
                <w:sz w:val="24"/>
                <w:szCs w:val="24"/>
                <w14:textFill>
                  <w14:solidFill>
                    <w14:schemeClr w14:val="tx1"/>
                  </w14:solidFill>
                </w14:textFill>
              </w:rPr>
              <w:t>2</w:t>
            </w:r>
            <w:r>
              <w:rPr>
                <w:rFonts w:ascii="宋体" w:hAnsi="宋体" w:hint="eastAsia"/>
                <w:color w:val="000000" w:themeColor="text1"/>
                <w:sz w:val="24"/>
                <w:szCs w:val="24"/>
                <w14:textFill>
                  <w14:solidFill>
                    <w14:schemeClr w14:val="tx1"/>
                  </w14:solidFill>
                </w14:textFill>
              </w:rPr>
              <w:t>.研究内容</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_Toc14504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2</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2"/>
            <w:tabs>
              <w:tab w:val="right" w:leader="dot" w:pos="8929"/>
            </w:tabs>
            <w:rPr>
              <w:color w:val="000000" w:themeColor="text1"/>
              <w:sz w:val="24"/>
              <w:szCs w:val="24"/>
              <w14:textFill>
                <w14:solidFill>
                  <w14:schemeClr w14:val="tx1"/>
                </w14:solidFill>
              </w14:textFill>
            </w:rPr>
          </w:pPr>
          <w:hyperlink w:anchor="_Toc24986" w:history="1">
            <w:r>
              <w:rPr>
                <w:rFonts w:ascii="宋体" w:eastAsia="宋体" w:hAnsi="宋体" w:cs="宋体" w:hint="eastAsia"/>
                <w:color w:val="000000" w:themeColor="text1"/>
                <w:sz w:val="24"/>
                <w:szCs w:val="24"/>
                <w14:textFill>
                  <w14:solidFill>
                    <w14:schemeClr w14:val="tx1"/>
                  </w14:solidFill>
                </w14:textFill>
              </w:rPr>
              <w:t>（三）研究方法及框架</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_Toc24986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3</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pPr>
          <w:hyperlink w:anchor="_Toc28705" w:history="1">
            <w:r>
              <w:rPr>
                <w:rFonts w:ascii="Times New Roman" w:hAnsi="Times New Roman" w:cs="Times New Roman" w:hint="eastAsia"/>
                <w:color w:val="000000" w:themeColor="text1"/>
                <w:sz w:val="24"/>
                <w:szCs w:val="24"/>
                <w14:textFill>
                  <w14:solidFill>
                    <w14:schemeClr w14:val="tx1"/>
                  </w14:solidFill>
                </w14:textFill>
              </w:rPr>
              <w:t>1</w:t>
            </w:r>
            <w:r>
              <w:rPr>
                <w:rFonts w:ascii="宋体" w:hAnsi="宋体" w:hint="eastAsia"/>
                <w:color w:val="000000" w:themeColor="text1"/>
                <w:sz w:val="24"/>
                <w:szCs w:val="24"/>
                <w14:textFill>
                  <w14:solidFill>
                    <w14:schemeClr w14:val="tx1"/>
                  </w14:solidFill>
                </w14:textFill>
              </w:rPr>
              <w:t>.研究</w:t>
            </w:r>
            <w:r>
              <w:rPr>
                <w:rFonts w:ascii="宋体" w:hAnsi="宋体" w:cs="宋体" w:hint="eastAsia"/>
                <w:color w:val="000000" w:themeColor="text1"/>
                <w:sz w:val="24"/>
                <w:szCs w:val="24"/>
                <w14:textFill>
                  <w14:solidFill>
                    <w14:schemeClr w14:val="tx1"/>
                  </w14:solidFill>
                </w14:textFill>
              </w:rPr>
              <w:t>方法</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hint="eastAsia"/>
                <w:color w:val="000000" w:themeColor="text1"/>
                <w:sz w:val="24"/>
                <w:szCs w:val="24"/>
                <w14:textFill>
                  <w14:solidFill>
                    <w14:schemeClr w14:val="tx1"/>
                  </w14:solidFill>
                </w14:textFill>
              </w:rPr>
              <w:t>3</w:t>
            </w:r>
          </w:hyperlink>
          <w:hyperlink w:anchor="_Toc12323" w:history="1"/>
        </w:p>
        <w:p>
          <w:pPr>
            <w:pStyle w:val="TOC3"/>
            <w:tabs>
              <w:tab w:val="right" w:leader="dot" w:pos="8929"/>
            </w:tabs>
            <w:rPr>
              <w:color w:val="000000" w:themeColor="text1"/>
              <w:sz w:val="24"/>
              <w:szCs w:val="24"/>
              <w14:textFill>
                <w14:solidFill>
                  <w14:schemeClr w14:val="tx1"/>
                </w14:solidFill>
              </w14:textFill>
            </w:rPr>
          </w:pPr>
          <w:hyperlink w:anchor="_Toc22093" w:history="1">
            <w:r>
              <w:rPr>
                <w:rFonts w:ascii="Times New Roman" w:hAnsi="Times New Roman" w:cs="Times New Roman" w:hint="eastAsia"/>
                <w:color w:val="000000" w:themeColor="text1"/>
                <w:sz w:val="24"/>
                <w:szCs w:val="24"/>
                <w14:textFill>
                  <w14:solidFill>
                    <w14:schemeClr w14:val="tx1"/>
                  </w14:solidFill>
                </w14:textFill>
              </w:rPr>
              <w:t>2</w:t>
            </w:r>
            <w:r>
              <w:rPr>
                <w:rFonts w:ascii="宋体" w:hAnsi="宋体" w:cs="宋体" w:hint="eastAsia"/>
                <w:color w:val="000000" w:themeColor="text1"/>
                <w:sz w:val="24"/>
                <w:szCs w:val="24"/>
                <w14:textFill>
                  <w14:solidFill>
                    <w14:schemeClr w14:val="tx1"/>
                  </w14:solidFill>
                </w14:textFill>
              </w:rPr>
              <w:t>.研究</w:t>
            </w:r>
            <w:r>
              <w:rPr>
                <w:rFonts w:ascii="宋体" w:hAnsi="宋体" w:hint="eastAsia"/>
                <w:color w:val="000000" w:themeColor="text1"/>
                <w:sz w:val="24"/>
                <w:szCs w:val="24"/>
                <w14:textFill>
                  <w14:solidFill>
                    <w14:schemeClr w14:val="tx1"/>
                  </w14:solidFill>
                </w14:textFill>
              </w:rPr>
              <w:t>框架</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_Toc22093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3</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2"/>
            <w:tabs>
              <w:tab w:val="right" w:leader="dot" w:pos="8929"/>
            </w:tabs>
            <w:rPr>
              <w:color w:val="000000" w:themeColor="text1"/>
              <w:sz w:val="24"/>
              <w:szCs w:val="24"/>
              <w14:textFill>
                <w14:solidFill>
                  <w14:schemeClr w14:val="tx1"/>
                </w14:solidFill>
              </w14:textFill>
            </w:rPr>
          </w:pPr>
          <w:hyperlink w:anchor="_Toc30320" w:history="1">
            <w:r>
              <w:rPr>
                <w:rFonts w:ascii="宋体" w:eastAsia="宋体" w:hAnsi="宋体" w:cs="宋体" w:hint="eastAsia"/>
                <w:color w:val="000000" w:themeColor="text1"/>
                <w:sz w:val="24"/>
                <w:szCs w:val="24"/>
                <w14:textFill>
                  <w14:solidFill>
                    <w14:schemeClr w14:val="tx1"/>
                  </w14:solidFill>
                </w14:textFill>
              </w:rPr>
              <w:t>（四）研究创新及不足</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_Toc30320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5</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pPr>
          <w:hyperlink w:anchor="_Toc20115" w:history="1">
            <w:r>
              <w:rPr>
                <w:rFonts w:ascii="Times New Roman" w:hAnsi="Times New Roman" w:cs="Times New Roman" w:hint="eastAsia"/>
                <w:color w:val="000000" w:themeColor="text1"/>
                <w:sz w:val="24"/>
                <w:szCs w:val="24"/>
                <w14:textFill>
                  <w14:solidFill>
                    <w14:schemeClr w14:val="tx1"/>
                  </w14:solidFill>
                </w14:textFill>
              </w:rPr>
              <w:t>1</w:t>
            </w:r>
            <w:r>
              <w:rPr>
                <w:rFonts w:ascii="宋体" w:hAnsi="宋体" w:hint="eastAsia"/>
                <w:color w:val="000000" w:themeColor="text1"/>
                <w:sz w:val="24"/>
                <w:szCs w:val="24"/>
                <w14:textFill>
                  <w14:solidFill>
                    <w14:schemeClr w14:val="tx1"/>
                  </w14:solidFill>
                </w14:textFill>
              </w:rPr>
              <w:t>.研究创新</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_Toc20115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5</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pPr>
          <w:hyperlink w:anchor="_Toc2870" w:history="1">
            <w:r>
              <w:rPr>
                <w:rFonts w:ascii="Times New Roman" w:hAnsi="Times New Roman" w:cs="Times New Roman" w:hint="eastAsia"/>
                <w:color w:val="000000" w:themeColor="text1"/>
                <w:sz w:val="24"/>
                <w:szCs w:val="24"/>
                <w14:textFill>
                  <w14:solidFill>
                    <w14:schemeClr w14:val="tx1"/>
                  </w14:solidFill>
                </w14:textFill>
              </w:rPr>
              <w:t>2</w:t>
            </w:r>
            <w:r>
              <w:rPr>
                <w:rFonts w:ascii="宋体" w:hAnsi="宋体" w:cs="宋体" w:hint="eastAsia"/>
                <w:color w:val="000000" w:themeColor="text1"/>
                <w:sz w:val="24"/>
                <w:szCs w:val="24"/>
                <w14:textFill>
                  <w14:solidFill>
                    <w14:schemeClr w14:val="tx1"/>
                  </w14:solidFill>
                </w14:textFill>
              </w:rPr>
              <w:t>.研究不足</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_Toc2870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5</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1"/>
            <w:tabs>
              <w:tab w:val="clear" w:pos="8919"/>
              <w:tab w:val="right" w:leader="dot" w:pos="8929"/>
            </w:tabs>
            <w:rPr>
              <w:color w:val="000000" w:themeColor="text1"/>
              <w:sz w:val="24"/>
              <w:szCs w:val="24"/>
              <w14:textFill>
                <w14:solidFill>
                  <w14:schemeClr w14:val="tx1"/>
                </w14:solidFill>
              </w14:textFill>
            </w:rPr>
          </w:pPr>
          <w:hyperlink w:anchor="_Toc31256" w:history="1">
            <w:r>
              <w:rPr>
                <w:rFonts w:ascii="黑体" w:eastAsia="黑体" w:hAnsi="黑体" w:cs="黑体" w:hint="eastAsia"/>
                <w:color w:val="000000" w:themeColor="text1"/>
                <w:sz w:val="24"/>
                <w:szCs w:val="24"/>
                <w14:textFill>
                  <w14:solidFill>
                    <w14:schemeClr w14:val="tx1"/>
                  </w14:solidFill>
                </w14:textFill>
              </w:rPr>
              <w:t>二 文献综述与相关概念</w:t>
            </w:r>
            <w:r>
              <w:rPr>
                <w:rFonts w:cs="Times New Roman"/>
                <w:color w:val="000000" w:themeColor="text1"/>
                <w:sz w:val="24"/>
                <w:szCs w:val="24"/>
                <w14:textFill>
                  <w14:solidFill>
                    <w14:schemeClr w14:val="tx1"/>
                  </w14:solidFill>
                </w14:textFill>
              </w:rPr>
              <w:tab/>
            </w:r>
            <w:r>
              <w:rPr>
                <w:rFonts w:cs="Times New Roman"/>
                <w:color w:val="000000" w:themeColor="text1"/>
                <w:sz w:val="24"/>
                <w:szCs w:val="24"/>
                <w14:textFill>
                  <w14:solidFill>
                    <w14:schemeClr w14:val="tx1"/>
                  </w14:solidFill>
                </w14:textFill>
              </w:rPr>
              <w:fldChar w:fldCharType="begin"/>
            </w:r>
            <w:r>
              <w:rPr>
                <w:rFonts w:cs="Times New Roman"/>
                <w:color w:val="000000" w:themeColor="text1"/>
                <w:sz w:val="24"/>
                <w:szCs w:val="24"/>
                <w14:textFill>
                  <w14:solidFill>
                    <w14:schemeClr w14:val="tx1"/>
                  </w14:solidFill>
                </w14:textFill>
              </w:rPr>
              <w:instrText xml:space="preserve"> PAGEREF _Toc31256 </w:instrText>
            </w:r>
            <w:r>
              <w:rPr>
                <w:rFonts w:cs="Times New Roman"/>
                <w:color w:val="000000" w:themeColor="text1"/>
                <w:sz w:val="24"/>
                <w:szCs w:val="24"/>
                <w14:textFill>
                  <w14:solidFill>
                    <w14:schemeClr w14:val="tx1"/>
                  </w14:solidFill>
                </w14:textFill>
              </w:rPr>
              <w:fldChar w:fldCharType="separate"/>
            </w:r>
            <w:r>
              <w:rPr>
                <w:rFonts w:cs="Times New Roman"/>
                <w:color w:val="000000" w:themeColor="text1"/>
                <w:sz w:val="24"/>
                <w:szCs w:val="24"/>
                <w14:textFill>
                  <w14:solidFill>
                    <w14:schemeClr w14:val="tx1"/>
                  </w14:solidFill>
                </w14:textFill>
              </w:rPr>
              <w:t>6</w:t>
            </w:r>
            <w:r>
              <w:rPr>
                <w:rFonts w:cs="Times New Roman"/>
                <w:color w:val="000000" w:themeColor="text1"/>
                <w:sz w:val="24"/>
                <w:szCs w:val="24"/>
                <w14:textFill>
                  <w14:solidFill>
                    <w14:schemeClr w14:val="tx1"/>
                  </w14:solidFill>
                </w14:textFill>
              </w:rPr>
              <w:fldChar w:fldCharType="end"/>
            </w:r>
          </w:hyperlink>
        </w:p>
        <w:p>
          <w:pPr>
            <w:pStyle w:val="TOC2"/>
            <w:tabs>
              <w:tab w:val="right" w:leader="dot" w:pos="8929"/>
            </w:tabs>
            <w:rPr>
              <w:rFonts w:ascii="Times New Roman" w:hAnsi="Times New Roman" w:cs="Times New Roman"/>
              <w:color w:val="000000" w:themeColor="text1"/>
              <w:sz w:val="24"/>
              <w:szCs w:val="24"/>
              <w14:textFill>
                <w14:solidFill>
                  <w14:schemeClr w14:val="tx1"/>
                </w14:solidFill>
              </w14:textFill>
            </w:rPr>
          </w:pPr>
          <w:hyperlink w:anchor="_Toc9025" w:history="1">
            <w:r>
              <w:rPr>
                <w:rFonts w:ascii="宋体" w:eastAsia="宋体" w:hAnsi="宋体" w:cs="宋体" w:hint="eastAsia"/>
                <w:color w:val="000000" w:themeColor="text1"/>
                <w:sz w:val="24"/>
                <w:szCs w:val="24"/>
                <w14:textFill>
                  <w14:solidFill>
                    <w14:schemeClr w14:val="tx1"/>
                  </w14:solidFill>
                </w14:textFill>
              </w:rPr>
              <w:t>（一）文献综述</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_Toc9025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6</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pPr>
          <w:hyperlink w:anchor="_Toc22986" w:history="1">
            <w:r>
              <w:rPr>
                <w:rFonts w:ascii="Times New Roman" w:hAnsi="Times New Roman" w:cs="Times New Roman" w:hint="eastAsia"/>
                <w:color w:val="000000" w:themeColor="text1"/>
                <w:sz w:val="24"/>
                <w:szCs w:val="24"/>
                <w14:textFill>
                  <w14:solidFill>
                    <w14:schemeClr w14:val="tx1"/>
                  </w14:solidFill>
                </w14:textFill>
              </w:rPr>
              <w:t>1</w:t>
            </w:r>
            <w:r>
              <w:rPr>
                <w:rFonts w:ascii="宋体" w:hAnsi="宋体" w:hint="eastAsia"/>
                <w:color w:val="000000" w:themeColor="text1"/>
                <w:sz w:val="24"/>
                <w:szCs w:val="24"/>
                <w14:textFill>
                  <w14:solidFill>
                    <w14:schemeClr w14:val="tx1"/>
                  </w14:solidFill>
                </w14:textFill>
              </w:rPr>
              <w:t>.国外文献综述</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_Toc22986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6</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pPr>
          <w:hyperlink w:anchor="_Toc9678" w:history="1">
            <w:r>
              <w:rPr>
                <w:rFonts w:ascii="Times New Roman" w:hAnsi="Times New Roman" w:cs="Times New Roman" w:hint="eastAsia"/>
                <w:color w:val="000000" w:themeColor="text1"/>
                <w:sz w:val="24"/>
                <w:szCs w:val="24"/>
                <w14:textFill>
                  <w14:solidFill>
                    <w14:schemeClr w14:val="tx1"/>
                  </w14:solidFill>
                </w14:textFill>
              </w:rPr>
              <w:t>2</w:t>
            </w:r>
            <w:r>
              <w:rPr>
                <w:rFonts w:ascii="宋体" w:hAnsi="宋体" w:hint="eastAsia"/>
                <w:color w:val="000000" w:themeColor="text1"/>
                <w:sz w:val="24"/>
                <w:szCs w:val="24"/>
                <w14:textFill>
                  <w14:solidFill>
                    <w14:schemeClr w14:val="tx1"/>
                  </w14:solidFill>
                </w14:textFill>
              </w:rPr>
              <w:t>.国内文献综述</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_Toc9678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7</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2"/>
            <w:tabs>
              <w:tab w:val="right" w:leader="dot" w:pos="8929"/>
            </w:tabs>
            <w:rPr>
              <w:color w:val="000000" w:themeColor="text1"/>
              <w:sz w:val="24"/>
              <w:szCs w:val="24"/>
              <w14:textFill>
                <w14:solidFill>
                  <w14:schemeClr w14:val="tx1"/>
                </w14:solidFill>
              </w14:textFill>
            </w:rPr>
          </w:pPr>
          <w:hyperlink w:anchor="_Toc8661" w:history="1">
            <w:r>
              <w:rPr>
                <w:rFonts w:ascii="宋体" w:eastAsia="宋体" w:hAnsi="宋体" w:cs="宋体" w:hint="eastAsia"/>
                <w:color w:val="000000" w:themeColor="text1"/>
                <w:sz w:val="24"/>
                <w:szCs w:val="24"/>
                <w14:textFill>
                  <w14:solidFill>
                    <w14:schemeClr w14:val="tx1"/>
                  </w14:solidFill>
                </w14:textFill>
              </w:rPr>
              <w:t>（二）相关概念</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_Toc8661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8</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pPr>
          <w:hyperlink w:anchor="_Toc16567" w:history="1">
            <w:r>
              <w:rPr>
                <w:rFonts w:ascii="Times New Roman" w:hAnsi="Times New Roman" w:cs="Times New Roman" w:hint="eastAsia"/>
                <w:color w:val="000000" w:themeColor="text1"/>
                <w:sz w:val="24"/>
                <w:szCs w:val="24"/>
                <w14:textFill>
                  <w14:solidFill>
                    <w14:schemeClr w14:val="tx1"/>
                  </w14:solidFill>
                </w14:textFill>
              </w:rPr>
              <w:t>1</w:t>
            </w:r>
            <w:r>
              <w:rPr>
                <w:rFonts w:ascii="宋体" w:hAnsi="宋体" w:hint="eastAsia"/>
                <w:color w:val="000000" w:themeColor="text1"/>
                <w:sz w:val="24"/>
                <w:szCs w:val="24"/>
                <w14:textFill>
                  <w14:solidFill>
                    <w14:schemeClr w14:val="tx1"/>
                  </w14:solidFill>
                </w14:textFill>
              </w:rPr>
              <w:t>.固定资产定义</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_Toc16567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8</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pPr>
          <w:hyperlink w:anchor="_Toc20894" w:history="1">
            <w:r>
              <w:rPr>
                <w:rFonts w:ascii="Times New Roman" w:hAnsi="Times New Roman" w:cs="Times New Roman" w:hint="eastAsia"/>
                <w:color w:val="000000" w:themeColor="text1"/>
                <w:sz w:val="24"/>
                <w:szCs w:val="24"/>
                <w14:textFill>
                  <w14:solidFill>
                    <w14:schemeClr w14:val="tx1"/>
                  </w14:solidFill>
                </w14:textFill>
              </w:rPr>
              <w:t>2</w:t>
            </w:r>
            <w:r>
              <w:rPr>
                <w:rFonts w:ascii="宋体" w:hAnsi="宋体" w:cs="宋体" w:hint="eastAsia"/>
                <w:color w:val="000000" w:themeColor="text1"/>
                <w:sz w:val="24"/>
                <w:szCs w:val="24"/>
                <w14:textFill>
                  <w14:solidFill>
                    <w14:schemeClr w14:val="tx1"/>
                  </w14:solidFill>
                </w14:textFill>
              </w:rPr>
              <w:t>.固定资产管理概念</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_Toc20894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8</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pPr>
          <w:hyperlink w:anchor="_Toc8949" w:history="1">
            <w:r>
              <w:rPr>
                <w:rFonts w:ascii="Times New Roman" w:hAnsi="Times New Roman" w:cs="Times New Roman" w:hint="eastAsia"/>
                <w:color w:val="000000" w:themeColor="text1"/>
                <w:sz w:val="24"/>
                <w:szCs w:val="24"/>
                <w14:textFill>
                  <w14:solidFill>
                    <w14:schemeClr w14:val="tx1"/>
                  </w14:solidFill>
                </w14:textFill>
              </w:rPr>
              <w:t>3</w:t>
            </w:r>
            <w:r>
              <w:rPr>
                <w:rFonts w:ascii="宋体" w:hAnsi="宋体" w:hint="eastAsia"/>
                <w:color w:val="000000" w:themeColor="text1"/>
                <w:sz w:val="24"/>
                <w:szCs w:val="24"/>
                <w14:textFill>
                  <w14:solidFill>
                    <w14:schemeClr w14:val="tx1"/>
                  </w14:solidFill>
                </w14:textFill>
              </w:rPr>
              <w:t>.固定资产管理</w:t>
            </w:r>
            <w:r>
              <w:rPr>
                <w:rFonts w:ascii="宋体" w:hAnsi="宋体" w:cs="宋体" w:hint="eastAsia"/>
                <w:color w:val="000000" w:themeColor="text1"/>
                <w:sz w:val="24"/>
                <w:szCs w:val="24"/>
                <w14:textFill>
                  <w14:solidFill>
                    <w14:schemeClr w14:val="tx1"/>
                  </w14:solidFill>
                </w14:textFill>
              </w:rPr>
              <w:t>意义</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_Toc8949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8</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pPr>
          <w:hyperlink w:anchor="_Toc31929" w:history="1">
            <w:r>
              <w:rPr>
                <w:rFonts w:ascii="Times New Roman" w:hAnsi="Times New Roman" w:cs="Times New Roman" w:hint="eastAsia"/>
                <w:color w:val="000000" w:themeColor="text1"/>
                <w:sz w:val="24"/>
                <w:szCs w:val="24"/>
                <w14:textFill>
                  <w14:solidFill>
                    <w14:schemeClr w14:val="tx1"/>
                  </w14:solidFill>
                </w14:textFill>
              </w:rPr>
              <w:t>4</w:t>
            </w:r>
            <w:r>
              <w:rPr>
                <w:rFonts w:ascii="宋体" w:hAnsi="宋体" w:cs="宋体" w:hint="eastAsia"/>
                <w:color w:val="000000" w:themeColor="text1"/>
                <w:sz w:val="24"/>
                <w:szCs w:val="24"/>
                <w14:textFill>
                  <w14:solidFill>
                    <w14:schemeClr w14:val="tx1"/>
                  </w14:solidFill>
                </w14:textFill>
              </w:rPr>
              <w:t>.固定</w:t>
            </w:r>
            <w:r>
              <w:rPr>
                <w:rFonts w:hint="eastAsia"/>
                <w:color w:val="000000" w:themeColor="text1"/>
                <w:sz w:val="24"/>
                <w:szCs w:val="24"/>
                <w14:textFill>
                  <w14:solidFill>
                    <w14:schemeClr w14:val="tx1"/>
                  </w14:solidFill>
                </w14:textFill>
              </w:rPr>
              <w:t>资产管理评价指标</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_Toc31929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9</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1"/>
            <w:tabs>
              <w:tab w:val="clear" w:pos="8919"/>
              <w:tab w:val="right" w:leader="dot" w:pos="8929"/>
            </w:tabs>
            <w:rPr>
              <w:color w:val="000000" w:themeColor="text1"/>
              <w:sz w:val="24"/>
              <w:szCs w:val="24"/>
              <w14:textFill>
                <w14:solidFill>
                  <w14:schemeClr w14:val="tx1"/>
                </w14:solidFill>
              </w14:textFill>
            </w:rPr>
          </w:pPr>
          <w:hyperlink w:anchor="_Toc14409" w:history="1">
            <w:r>
              <w:rPr>
                <w:rFonts w:ascii="黑体" w:eastAsia="黑体" w:hAnsi="黑体" w:cs="黑体" w:hint="eastAsia"/>
                <w:color w:val="000000" w:themeColor="text1"/>
                <w:sz w:val="24"/>
                <w:szCs w:val="24"/>
                <w14:textFill>
                  <w14:solidFill>
                    <w14:schemeClr w14:val="tx1"/>
                  </w14:solidFill>
                </w14:textFill>
              </w:rPr>
              <w:t>三 银川新华百货商业集团股份有限公司固定资产管理现状分析</w:t>
            </w:r>
            <w:r>
              <w:rPr>
                <w:rFonts w:cs="Times New Roman"/>
                <w:color w:val="000000" w:themeColor="text1"/>
                <w:sz w:val="24"/>
                <w:szCs w:val="24"/>
                <w14:textFill>
                  <w14:solidFill>
                    <w14:schemeClr w14:val="tx1"/>
                  </w14:solidFill>
                </w14:textFill>
              </w:rPr>
              <w:tab/>
            </w:r>
            <w:r>
              <w:rPr>
                <w:rFonts w:cs="Times New Roman"/>
                <w:color w:val="000000" w:themeColor="text1"/>
                <w:sz w:val="24"/>
                <w:szCs w:val="24"/>
                <w14:textFill>
                  <w14:solidFill>
                    <w14:schemeClr w14:val="tx1"/>
                  </w14:solidFill>
                </w14:textFill>
              </w:rPr>
              <w:fldChar w:fldCharType="begin"/>
            </w:r>
            <w:r>
              <w:rPr>
                <w:rFonts w:cs="Times New Roman"/>
                <w:color w:val="000000" w:themeColor="text1"/>
                <w:sz w:val="24"/>
                <w:szCs w:val="24"/>
                <w14:textFill>
                  <w14:solidFill>
                    <w14:schemeClr w14:val="tx1"/>
                  </w14:solidFill>
                </w14:textFill>
              </w:rPr>
              <w:instrText xml:space="preserve"> PAGEREF _Toc14409 </w:instrText>
            </w:r>
            <w:r>
              <w:rPr>
                <w:rFonts w:cs="Times New Roman"/>
                <w:color w:val="000000" w:themeColor="text1"/>
                <w:sz w:val="24"/>
                <w:szCs w:val="24"/>
                <w14:textFill>
                  <w14:solidFill>
                    <w14:schemeClr w14:val="tx1"/>
                  </w14:solidFill>
                </w14:textFill>
              </w:rPr>
              <w:fldChar w:fldCharType="separate"/>
            </w:r>
            <w:r>
              <w:rPr>
                <w:rFonts w:cs="Times New Roman"/>
                <w:color w:val="000000" w:themeColor="text1"/>
                <w:sz w:val="24"/>
                <w:szCs w:val="24"/>
                <w14:textFill>
                  <w14:solidFill>
                    <w14:schemeClr w14:val="tx1"/>
                  </w14:solidFill>
                </w14:textFill>
              </w:rPr>
              <w:t>10</w:t>
            </w:r>
            <w:r>
              <w:rPr>
                <w:rFonts w:cs="Times New Roman"/>
                <w:color w:val="000000" w:themeColor="text1"/>
                <w:sz w:val="24"/>
                <w:szCs w:val="24"/>
                <w14:textFill>
                  <w14:solidFill>
                    <w14:schemeClr w14:val="tx1"/>
                  </w14:solidFill>
                </w14:textFill>
              </w:rPr>
              <w:fldChar w:fldCharType="end"/>
            </w:r>
          </w:hyperlink>
        </w:p>
        <w:p>
          <w:pPr>
            <w:pStyle w:val="TOC2"/>
            <w:tabs>
              <w:tab w:val="right" w:leader="dot" w:pos="8929"/>
            </w:tabs>
            <w:rPr>
              <w:color w:val="000000" w:themeColor="text1"/>
              <w:sz w:val="24"/>
              <w:szCs w:val="24"/>
              <w14:textFill>
                <w14:solidFill>
                  <w14:schemeClr w14:val="tx1"/>
                </w14:solidFill>
              </w14:textFill>
            </w:rPr>
          </w:pPr>
          <w:hyperlink w:anchor="_Toc21622" w:history="1">
            <w:r>
              <w:rPr>
                <w:rFonts w:ascii="宋体" w:eastAsia="宋体" w:hAnsi="宋体" w:cs="宋体" w:hint="eastAsia"/>
                <w:color w:val="000000" w:themeColor="text1"/>
                <w:sz w:val="24"/>
                <w:szCs w:val="24"/>
                <w14:textFill>
                  <w14:solidFill>
                    <w14:schemeClr w14:val="tx1"/>
                  </w14:solidFill>
                </w14:textFill>
              </w:rPr>
              <w:t>（一）银川新华百货商业集团股份有限公司发展现状</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_Toc21622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10</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pPr>
          <w:hyperlink w:anchor="_Toc22278" w:history="1">
            <w:r>
              <w:rPr>
                <w:rFonts w:ascii="Times New Roman" w:hAnsi="Times New Roman" w:cs="Times New Roman" w:hint="eastAsia"/>
                <w:color w:val="000000" w:themeColor="text1"/>
                <w:sz w:val="24"/>
                <w:szCs w:val="24"/>
                <w14:textFill>
                  <w14:solidFill>
                    <w14:schemeClr w14:val="tx1"/>
                  </w14:solidFill>
                </w14:textFill>
              </w:rPr>
              <w:t>1</w:t>
            </w:r>
            <w:r>
              <w:rPr>
                <w:rFonts w:ascii="宋体" w:hAnsi="宋体" w:cs="宋体" w:hint="eastAsia"/>
                <w:color w:val="000000" w:themeColor="text1"/>
                <w:sz w:val="24"/>
                <w:szCs w:val="24"/>
                <w14:textFill>
                  <w14:solidFill>
                    <w14:schemeClr w14:val="tx1"/>
                  </w14:solidFill>
                </w14:textFill>
              </w:rPr>
              <w:t>.银川</w:t>
            </w:r>
            <w:r>
              <w:rPr>
                <w:rFonts w:hint="eastAsia"/>
                <w:color w:val="000000" w:themeColor="text1"/>
                <w:sz w:val="24"/>
                <w:szCs w:val="24"/>
                <w14:textFill>
                  <w14:solidFill>
                    <w14:schemeClr w14:val="tx1"/>
                  </w14:solidFill>
                </w14:textFill>
              </w:rPr>
              <w:t>新华百货商业集团股份有限公司简介</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_Toc22278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10</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sectPr>
              <w:headerReference w:type="default" r:id="rId10"/>
              <w:footerReference w:type="default" r:id="rId11"/>
              <w:type w:val="nextPage"/>
              <w:pgSz w:w="11906" w:h="16838"/>
              <w:pgMar w:top="1417" w:right="1418" w:bottom="1417" w:left="1559" w:header="851" w:footer="992" w:gutter="0"/>
              <w:pgNumType w:start="3"/>
              <w:cols w:num="1" w:space="0"/>
              <w:titlePg w:val="0"/>
              <w:docGrid w:type="lines" w:linePitch="333" w:charSpace="0"/>
            </w:sectPr>
          </w:pPr>
          <w:hyperlink w:anchor="_Toc16125" w:history="1">
            <w:r>
              <w:rPr>
                <w:rFonts w:ascii="Times New Roman" w:hAnsi="Times New Roman" w:cs="Times New Roman" w:hint="eastAsia"/>
                <w:color w:val="000000" w:themeColor="text1"/>
                <w:sz w:val="24"/>
                <w:szCs w:val="24"/>
                <w14:textFill>
                  <w14:solidFill>
                    <w14:schemeClr w14:val="tx1"/>
                  </w14:solidFill>
                </w14:textFill>
              </w:rPr>
              <w:t>2</w:t>
            </w:r>
            <w:r>
              <w:rPr>
                <w:rFonts w:ascii="宋体" w:hAnsi="宋体" w:cs="宋体" w:hint="eastAsia"/>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银川新华百货商业集团股份有限公司</w:t>
            </w:r>
            <w:r>
              <w:rPr>
                <w:rFonts w:ascii="宋体" w:hAnsi="宋体" w:cs="宋体" w:hint="eastAsia"/>
                <w:color w:val="000000" w:themeColor="text1"/>
                <w:sz w:val="24"/>
                <w:szCs w:val="24"/>
                <w14:textFill>
                  <w14:solidFill>
                    <w14:schemeClr w14:val="tx1"/>
                  </w14:solidFill>
                </w14:textFill>
              </w:rPr>
              <w:t>发展历程</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_Toc16125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10</w:t>
            </w:r>
            <w:r>
              <w:rPr>
                <w:rFonts w:ascii="Times New Roman" w:hAnsi="Times New Roman" w:cs="Times New Roman"/>
                <w:color w:val="000000" w:themeColor="text1"/>
                <w:sz w:val="24"/>
                <w:szCs w:val="24"/>
                <w14:textFill>
                  <w14:solidFill>
                    <w14:schemeClr w14:val="tx1"/>
                  </w14:solidFill>
                </w14:textFill>
              </w:rPr>
              <w:fldChar w:fldCharType="end"/>
            </w:r>
          </w:hyperlink>
        </w:p>
      </w:sdtContent>
    </w:sdt>
    <w:sdt>
      <w:sdtPr>
        <w:rPr>
          <w:rFonts w:ascii="宋体" w:hAnsi="宋体"/>
          <w:color w:val="000000" w:themeColor="text1"/>
          <w:sz w:val="21"/>
          <w14:textFill>
            <w14:solidFill>
              <w14:schemeClr w14:val="tx1"/>
            </w14:solidFill>
          </w14:textFill>
        </w:rPr>
        <w:id w:val="1846157076"/>
        <w:docPartObj>
          <w:docPartGallery w:val="Table of Contents"/>
          <w:docPartUnique/>
        </w:docPartObj>
      </w:sdtPr>
      <w:sdtEndPr>
        <w:rPr>
          <w:rFonts w:ascii="宋体" w:hAnsi="宋体"/>
          <w:color w:val="000000" w:themeColor="text1"/>
          <w:sz w:val="21"/>
          <w14:textFill>
            <w14:solidFill>
              <w14:schemeClr w14:val="tx1"/>
            </w14:solidFill>
          </w14:textFill>
        </w:rPr>
      </w:sdtEndPr>
      <w:sdtContent>
        <w:p>
          <w:pPr>
            <w:pStyle w:val="TOC3"/>
            <w:tabs>
              <w:tab w:val="right" w:leader="dot" w:pos="8929"/>
            </w:tabs>
            <w:rPr>
              <w:color w:val="000000" w:themeColor="text1"/>
              <w:sz w:val="24"/>
              <w:szCs w:val="24"/>
              <w14:textFill>
                <w14:solidFill>
                  <w14:schemeClr w14:val="tx1"/>
                </w14:solidFill>
              </w14:textFill>
            </w:rPr>
          </w:pPr>
          <w:hyperlink w:anchor="_Toc6484" w:history="1">
            <w:r>
              <w:rPr>
                <w:rFonts w:ascii="Times New Roman" w:hAnsi="Times New Roman" w:cs="Times New Roman" w:hint="eastAsia"/>
                <w:color w:val="000000" w:themeColor="text1"/>
                <w:sz w:val="24"/>
                <w:szCs w:val="24"/>
                <w14:textFill>
                  <w14:solidFill>
                    <w14:schemeClr w14:val="tx1"/>
                  </w14:solidFill>
                </w14:textFill>
              </w:rPr>
              <w:t>3</w:t>
            </w:r>
            <w:r>
              <w:rPr>
                <w:rFonts w:ascii="宋体" w:hAnsi="宋体" w:cs="宋体" w:hint="eastAsia"/>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银川新华百货商业集团股份有限公司</w:t>
            </w:r>
            <w:r>
              <w:rPr>
                <w:rFonts w:ascii="宋体" w:hAnsi="宋体" w:cs="宋体" w:hint="eastAsia"/>
                <w:color w:val="000000" w:themeColor="text1"/>
                <w:sz w:val="24"/>
                <w:szCs w:val="24"/>
                <w14:textFill>
                  <w14:solidFill>
                    <w14:schemeClr w14:val="tx1"/>
                  </w14:solidFill>
                </w14:textFill>
              </w:rPr>
              <w:t>财务状况</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_Toc6484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11</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2"/>
            <w:tabs>
              <w:tab w:val="right" w:leader="dot" w:pos="8929"/>
            </w:tabs>
            <w:rPr>
              <w:color w:val="000000" w:themeColor="text1"/>
              <w:sz w:val="24"/>
              <w:szCs w:val="24"/>
              <w14:textFill>
                <w14:solidFill>
                  <w14:schemeClr w14:val="tx1"/>
                </w14:solidFill>
              </w14:textFill>
            </w:rPr>
          </w:pPr>
          <w:hyperlink w:anchor="_Toc28683" w:history="1">
            <w:r>
              <w:rPr>
                <w:rFonts w:ascii="宋体" w:eastAsia="宋体" w:hAnsi="宋体" w:cs="宋体" w:hint="eastAsia"/>
                <w:color w:val="000000" w:themeColor="text1"/>
                <w:sz w:val="24"/>
                <w:szCs w:val="24"/>
                <w14:textFill>
                  <w14:solidFill>
                    <w14:schemeClr w14:val="tx1"/>
                  </w14:solidFill>
                </w14:textFill>
              </w:rPr>
              <w:t>（二）银川新华百货商业集团股份有限公司固定资产管理现状</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_Toc28683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12</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pPr>
          <w:hyperlink w:anchor="_Toc9572" w:history="1">
            <w:r>
              <w:rPr>
                <w:rFonts w:ascii="Times New Roman" w:hAnsi="Times New Roman" w:cs="Times New Roman" w:hint="eastAsia"/>
                <w:color w:val="000000" w:themeColor="text1"/>
                <w:sz w:val="24"/>
                <w:szCs w:val="24"/>
                <w14:textFill>
                  <w14:solidFill>
                    <w14:schemeClr w14:val="tx1"/>
                  </w14:solidFill>
                </w14:textFill>
              </w:rPr>
              <w:t>1</w:t>
            </w:r>
            <w:r>
              <w:rPr>
                <w:rFonts w:ascii="宋体" w:hAnsi="宋体" w:hint="eastAsia"/>
                <w:color w:val="000000" w:themeColor="text1"/>
                <w:sz w:val="24"/>
                <w:szCs w:val="24"/>
                <w14:textFill>
                  <w14:solidFill>
                    <w14:schemeClr w14:val="tx1"/>
                  </w14:solidFill>
                </w14:textFill>
              </w:rPr>
              <w:t>.</w:t>
            </w:r>
            <w:r>
              <w:rPr>
                <w:rFonts w:ascii="宋体" w:hAnsi="宋体" w:cs="宋体" w:hint="eastAsia"/>
                <w:color w:val="000000" w:themeColor="text1"/>
                <w:sz w:val="24"/>
                <w:szCs w:val="24"/>
                <w14:textFill>
                  <w14:solidFill>
                    <w14:schemeClr w14:val="tx1"/>
                  </w14:solidFill>
                </w14:textFill>
              </w:rPr>
              <w:t>银川新华百货商业集团股份有限公司固定资产构成</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_Toc9572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12</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3"/>
            <w:tabs>
              <w:tab w:val="right" w:leader="dot" w:pos="8929"/>
            </w:tabs>
            <w:rPr>
              <w:color w:val="000000" w:themeColor="text1"/>
              <w:sz w:val="24"/>
              <w:szCs w:val="24"/>
              <w14:textFill>
                <w14:solidFill>
                  <w14:schemeClr w14:val="tx1"/>
                </w14:solidFill>
              </w14:textFill>
            </w:rPr>
          </w:pPr>
          <w:hyperlink w:anchor="_Toc22732" w:history="1">
            <w:r>
              <w:rPr>
                <w:rFonts w:ascii="Times New Roman" w:hAnsi="Times New Roman" w:cs="Times New Roman" w:hint="eastAsia"/>
                <w:color w:val="000000" w:themeColor="text1"/>
                <w:sz w:val="24"/>
                <w:szCs w:val="24"/>
                <w14:textFill>
                  <w14:solidFill>
                    <w14:schemeClr w14:val="tx1"/>
                  </w14:solidFill>
                </w14:textFill>
              </w:rPr>
              <w:t>2</w:t>
            </w:r>
            <w:r>
              <w:rPr>
                <w:rFonts w:ascii="宋体" w:hAnsi="宋体" w:cs="宋体" w:hint="eastAsia"/>
                <w:color w:val="000000" w:themeColor="text1"/>
                <w:sz w:val="24"/>
                <w:szCs w:val="24"/>
                <w14:textFill>
                  <w14:solidFill>
                    <w14:schemeClr w14:val="tx1"/>
                  </w14:solidFill>
                </w14:textFill>
              </w:rPr>
              <w:t>.银川新华百货商业集团股份有限公司固定资产管理评价指标</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_Toc22732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12</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1"/>
            <w:tabs>
              <w:tab w:val="clear" w:pos="8919"/>
              <w:tab w:val="right" w:leader="dot" w:pos="8929"/>
            </w:tabs>
            <w:rPr>
              <w:color w:val="000000" w:themeColor="text1"/>
              <w:sz w:val="24"/>
              <w:szCs w:val="24"/>
              <w14:textFill>
                <w14:solidFill>
                  <w14:schemeClr w14:val="tx1"/>
                </w14:solidFill>
              </w14:textFill>
            </w:rPr>
          </w:pPr>
          <w:hyperlink w:anchor="_Toc1133" w:history="1">
            <w:r>
              <w:rPr>
                <w:rFonts w:ascii="黑体" w:eastAsia="黑体" w:hAnsi="黑体" w:cs="黑体" w:hint="eastAsia"/>
                <w:color w:val="000000" w:themeColor="text1"/>
                <w:sz w:val="24"/>
                <w:szCs w:val="24"/>
                <w14:textFill>
                  <w14:solidFill>
                    <w14:schemeClr w14:val="tx1"/>
                  </w14:solidFill>
                </w14:textFill>
              </w:rPr>
              <w:t>四 银川新华百货商业集团股份有限公司固定资产管理存在的问题</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PAGEREF _Toc1133 </w:instrText>
            </w:r>
            <w:r>
              <w:rPr>
                <w:color w:val="000000" w:themeColor="text1"/>
                <w:sz w:val="24"/>
                <w:szCs w:val="24"/>
                <w14:textFill>
                  <w14:solidFill>
                    <w14:schemeClr w14:val="tx1"/>
                  </w14:solidFill>
                </w14:textFill>
              </w:rPr>
              <w:fldChar w:fldCharType="separate"/>
            </w:r>
            <w:r>
              <w:rPr>
                <w:color w:val="000000" w:themeColor="text1"/>
                <w:sz w:val="24"/>
                <w:szCs w:val="24"/>
                <w14:textFill>
                  <w14:solidFill>
                    <w14:schemeClr w14:val="tx1"/>
                  </w14:solidFill>
                </w14:textFill>
              </w:rPr>
              <w:t>16</w:t>
            </w:r>
            <w:r>
              <w:rPr>
                <w:color w:val="000000" w:themeColor="text1"/>
                <w:sz w:val="24"/>
                <w:szCs w:val="24"/>
                <w14:textFill>
                  <w14:solidFill>
                    <w14:schemeClr w14:val="tx1"/>
                  </w14:solidFill>
                </w14:textFill>
              </w:rPr>
              <w:fldChar w:fldCharType="end"/>
            </w:r>
          </w:hyperlink>
        </w:p>
        <w:p>
          <w:pPr>
            <w:pStyle w:val="TOC2"/>
            <w:tabs>
              <w:tab w:val="right" w:leader="dot" w:pos="8929"/>
            </w:tabs>
            <w:rPr>
              <w:color w:val="000000" w:themeColor="text1"/>
              <w:sz w:val="24"/>
              <w:szCs w:val="24"/>
              <w14:textFill>
                <w14:solidFill>
                  <w14:schemeClr w14:val="tx1"/>
                </w14:solidFill>
              </w14:textFill>
            </w:rPr>
          </w:pPr>
          <w:hyperlink w:anchor="_Toc12143" w:history="1">
            <w:r>
              <w:rPr>
                <w:rFonts w:hint="eastAsia"/>
                <w:color w:val="000000" w:themeColor="text1"/>
                <w:sz w:val="24"/>
                <w:szCs w:val="24"/>
                <w14:textFill>
                  <w14:solidFill>
                    <w14:schemeClr w14:val="tx1"/>
                  </w14:solidFill>
                </w14:textFill>
              </w:rPr>
              <w:t>（一）缺乏健全的固定资产管理制度</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_Toc12143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16</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2"/>
            <w:tabs>
              <w:tab w:val="right" w:leader="dot" w:pos="8929"/>
            </w:tabs>
            <w:rPr>
              <w:color w:val="000000" w:themeColor="text1"/>
              <w:sz w:val="24"/>
              <w:szCs w:val="24"/>
              <w14:textFill>
                <w14:solidFill>
                  <w14:schemeClr w14:val="tx1"/>
                </w14:solidFill>
              </w14:textFill>
            </w:rPr>
          </w:pPr>
          <w:hyperlink w:anchor="_Toc26219" w:history="1">
            <w:r>
              <w:rPr>
                <w:rFonts w:ascii="宋体" w:eastAsia="宋体" w:hAnsi="宋体" w:cs="宋体" w:hint="eastAsia"/>
                <w:color w:val="000000" w:themeColor="text1"/>
                <w:sz w:val="24"/>
                <w:szCs w:val="24"/>
                <w14:textFill>
                  <w14:solidFill>
                    <w14:schemeClr w14:val="tx1"/>
                  </w14:solidFill>
                </w14:textFill>
              </w:rPr>
              <w:t>（二）固定资产管理理念淡薄</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_Toc26219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16</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2"/>
            <w:tabs>
              <w:tab w:val="right" w:leader="dot" w:pos="8929"/>
            </w:tabs>
            <w:rPr>
              <w:color w:val="000000" w:themeColor="text1"/>
              <w:sz w:val="24"/>
              <w:szCs w:val="24"/>
              <w14:textFill>
                <w14:solidFill>
                  <w14:schemeClr w14:val="tx1"/>
                </w14:solidFill>
              </w14:textFill>
            </w:rPr>
          </w:pPr>
          <w:hyperlink w:anchor="_Toc5215" w:history="1">
            <w:r>
              <w:rPr>
                <w:rFonts w:ascii="宋体" w:eastAsia="宋体" w:hAnsi="宋体" w:cs="宋体" w:hint="eastAsia"/>
                <w:color w:val="000000" w:themeColor="text1"/>
                <w:sz w:val="24"/>
                <w:szCs w:val="24"/>
                <w14:textFill>
                  <w14:solidFill>
                    <w14:schemeClr w14:val="tx1"/>
                  </w14:solidFill>
                </w14:textFill>
              </w:rPr>
              <w:t>（三）固定资产出现闲置和流失现象</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_Toc5215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16</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2"/>
            <w:tabs>
              <w:tab w:val="right" w:leader="dot" w:pos="8929"/>
            </w:tabs>
            <w:rPr>
              <w:color w:val="000000" w:themeColor="text1"/>
              <w:sz w:val="24"/>
              <w:szCs w:val="24"/>
              <w14:textFill>
                <w14:solidFill>
                  <w14:schemeClr w14:val="tx1"/>
                </w14:solidFill>
              </w14:textFill>
            </w:rPr>
          </w:pPr>
          <w:hyperlink w:anchor="_Toc24822" w:history="1">
            <w:r>
              <w:rPr>
                <w:rFonts w:ascii="宋体" w:eastAsia="宋体" w:hAnsi="宋体" w:cs="宋体" w:hint="eastAsia"/>
                <w:color w:val="000000" w:themeColor="text1"/>
                <w:sz w:val="24"/>
                <w:szCs w:val="24"/>
                <w14:textFill>
                  <w14:solidFill>
                    <w14:schemeClr w14:val="tx1"/>
                  </w14:solidFill>
                </w14:textFill>
              </w:rPr>
              <w:t>（四）固定资产账簿设置不健全</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_Toc24822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16</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2"/>
            <w:tabs>
              <w:tab w:val="right" w:leader="dot" w:pos="8929"/>
            </w:tabs>
            <w:rPr>
              <w:color w:val="000000" w:themeColor="text1"/>
              <w:sz w:val="24"/>
              <w:szCs w:val="24"/>
              <w14:textFill>
                <w14:solidFill>
                  <w14:schemeClr w14:val="tx1"/>
                </w14:solidFill>
              </w14:textFill>
            </w:rPr>
          </w:pPr>
          <w:hyperlink w:anchor="_Toc19021" w:history="1">
            <w:r>
              <w:rPr>
                <w:rFonts w:hint="eastAsia"/>
                <w:color w:val="000000" w:themeColor="text1"/>
                <w:sz w:val="24"/>
                <w:szCs w:val="24"/>
                <w14:textFill>
                  <w14:solidFill>
                    <w14:schemeClr w14:val="tx1"/>
                  </w14:solidFill>
                </w14:textFill>
              </w:rPr>
              <w:t>（五）</w:t>
            </w:r>
            <w:r>
              <w:rPr>
                <w:rFonts w:ascii="宋体" w:eastAsia="宋体" w:hAnsi="宋体" w:cs="宋体" w:hint="eastAsia"/>
                <w:color w:val="000000" w:themeColor="text1"/>
                <w:sz w:val="24"/>
                <w:szCs w:val="24"/>
                <w14:textFill>
                  <w14:solidFill>
                    <w14:schemeClr w14:val="tx1"/>
                  </w14:solidFill>
                </w14:textFill>
              </w:rPr>
              <w:t>内部监督机制不健全</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_Toc19021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17</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1"/>
            <w:tabs>
              <w:tab w:val="clear" w:pos="8919"/>
              <w:tab w:val="right" w:leader="dot" w:pos="8929"/>
            </w:tabs>
            <w:rPr>
              <w:color w:val="000000" w:themeColor="text1"/>
              <w:sz w:val="24"/>
              <w:szCs w:val="24"/>
              <w14:textFill>
                <w14:solidFill>
                  <w14:schemeClr w14:val="tx1"/>
                </w14:solidFill>
              </w14:textFill>
            </w:rPr>
          </w:pPr>
          <w:hyperlink w:anchor="_Toc27047" w:history="1">
            <w:r>
              <w:rPr>
                <w:rFonts w:ascii="黑体" w:eastAsia="黑体" w:hAnsi="黑体" w:cs="黑体" w:hint="eastAsia"/>
                <w:color w:val="000000" w:themeColor="text1"/>
                <w:sz w:val="24"/>
                <w:szCs w:val="24"/>
                <w14:textFill>
                  <w14:solidFill>
                    <w14:schemeClr w14:val="tx1"/>
                  </w14:solidFill>
                </w14:textFill>
              </w:rPr>
              <w:t>五 优化银川新华百货商业集团股份有限公司固定资产管理对策</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PAGEREF _Toc27047 </w:instrText>
            </w:r>
            <w:r>
              <w:rPr>
                <w:color w:val="000000" w:themeColor="text1"/>
                <w:sz w:val="24"/>
                <w:szCs w:val="24"/>
                <w14:textFill>
                  <w14:solidFill>
                    <w14:schemeClr w14:val="tx1"/>
                  </w14:solidFill>
                </w14:textFill>
              </w:rPr>
              <w:fldChar w:fldCharType="separate"/>
            </w:r>
            <w:r>
              <w:rPr>
                <w:color w:val="000000" w:themeColor="text1"/>
                <w:sz w:val="24"/>
                <w:szCs w:val="24"/>
                <w14:textFill>
                  <w14:solidFill>
                    <w14:schemeClr w14:val="tx1"/>
                  </w14:solidFill>
                </w14:textFill>
              </w:rPr>
              <w:t>18</w:t>
            </w:r>
            <w:r>
              <w:rPr>
                <w:color w:val="000000" w:themeColor="text1"/>
                <w:sz w:val="24"/>
                <w:szCs w:val="24"/>
                <w14:textFill>
                  <w14:solidFill>
                    <w14:schemeClr w14:val="tx1"/>
                  </w14:solidFill>
                </w14:textFill>
              </w:rPr>
              <w:fldChar w:fldCharType="end"/>
            </w:r>
          </w:hyperlink>
        </w:p>
        <w:p>
          <w:pPr>
            <w:pStyle w:val="TOC2"/>
            <w:tabs>
              <w:tab w:val="right" w:leader="dot" w:pos="8929"/>
            </w:tabs>
            <w:rPr>
              <w:color w:val="000000" w:themeColor="text1"/>
              <w:sz w:val="24"/>
              <w:szCs w:val="24"/>
              <w14:textFill>
                <w14:solidFill>
                  <w14:schemeClr w14:val="tx1"/>
                </w14:solidFill>
              </w14:textFill>
            </w:rPr>
          </w:pPr>
          <w:hyperlink w:anchor="_Toc24423" w:history="1">
            <w:r>
              <w:rPr>
                <w:rFonts w:ascii="宋体" w:eastAsia="宋体" w:hAnsi="宋体" w:cs="宋体" w:hint="eastAsia"/>
                <w:color w:val="000000" w:themeColor="text1"/>
                <w:sz w:val="24"/>
                <w:szCs w:val="24"/>
                <w14:textFill>
                  <w14:solidFill>
                    <w14:schemeClr w14:val="tx1"/>
                  </w14:solidFill>
                </w14:textFill>
              </w:rPr>
              <w:t>（一）制定和完善固定资产管理制度</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_Toc24423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18</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2"/>
            <w:tabs>
              <w:tab w:val="right" w:leader="dot" w:pos="8929"/>
            </w:tabs>
            <w:ind w:left="0" w:firstLine="220" w:firstLineChars="100"/>
            <w:rPr>
              <w:color w:val="000000" w:themeColor="text1"/>
              <w:sz w:val="24"/>
              <w:szCs w:val="24"/>
              <w14:textFill>
                <w14:solidFill>
                  <w14:schemeClr w14:val="tx1"/>
                </w14:solidFill>
              </w14:textFill>
            </w:rPr>
          </w:pPr>
          <w:hyperlink w:anchor="_Toc4335" w:history="1">
            <w:r>
              <w:rPr>
                <w:rFonts w:ascii="宋体" w:eastAsia="宋体" w:hAnsi="宋体" w:cs="宋体" w:hint="eastAsia"/>
                <w:color w:val="000000" w:themeColor="text1"/>
                <w:sz w:val="24"/>
                <w:szCs w:val="24"/>
                <w14:textFill>
                  <w14:solidFill>
                    <w14:schemeClr w14:val="tx1"/>
                  </w14:solidFill>
                </w14:textFill>
              </w:rPr>
              <w:t>（二）转变企业经营管理者的思想观念</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_Toc4335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18</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2"/>
            <w:tabs>
              <w:tab w:val="right" w:leader="dot" w:pos="8929"/>
            </w:tabs>
            <w:rPr>
              <w:color w:val="000000" w:themeColor="text1"/>
              <w:sz w:val="24"/>
              <w:szCs w:val="24"/>
              <w14:textFill>
                <w14:solidFill>
                  <w14:schemeClr w14:val="tx1"/>
                </w14:solidFill>
              </w14:textFill>
            </w:rPr>
          </w:pPr>
          <w:hyperlink w:anchor="_Toc22898" w:history="1">
            <w:r>
              <w:rPr>
                <w:rFonts w:ascii="宋体" w:eastAsia="宋体" w:hAnsi="宋体" w:cs="宋体" w:hint="eastAsia"/>
                <w:color w:val="000000" w:themeColor="text1"/>
                <w:sz w:val="24"/>
                <w:szCs w:val="24"/>
                <w14:textFill>
                  <w14:solidFill>
                    <w14:schemeClr w14:val="tx1"/>
                  </w14:solidFill>
                </w14:textFill>
              </w:rPr>
              <w:t>（三）提高固定资产的利用效率</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_Toc22898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18</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2"/>
            <w:tabs>
              <w:tab w:val="right" w:leader="dot" w:pos="8929"/>
            </w:tabs>
            <w:rPr>
              <w:color w:val="000000" w:themeColor="text1"/>
              <w:sz w:val="24"/>
              <w:szCs w:val="24"/>
              <w14:textFill>
                <w14:solidFill>
                  <w14:schemeClr w14:val="tx1"/>
                </w14:solidFill>
              </w14:textFill>
            </w:rPr>
          </w:pPr>
          <w:hyperlink w:anchor="_Toc26692" w:history="1">
            <w:r>
              <w:rPr>
                <w:rFonts w:ascii="宋体" w:eastAsia="宋体" w:hAnsi="宋体" w:cs="宋体" w:hint="eastAsia"/>
                <w:color w:val="000000" w:themeColor="text1"/>
                <w:sz w:val="24"/>
                <w:szCs w:val="24"/>
                <w14:textFill>
                  <w14:solidFill>
                    <w14:schemeClr w14:val="tx1"/>
                  </w14:solidFill>
                </w14:textFill>
              </w:rPr>
              <w:t>（四）建立健全的企业固定资产账簿管理</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_Toc26692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18</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2"/>
            <w:tabs>
              <w:tab w:val="right" w:leader="dot" w:pos="8929"/>
            </w:tabs>
            <w:rPr>
              <w:color w:val="000000" w:themeColor="text1"/>
              <w:sz w:val="24"/>
              <w:szCs w:val="24"/>
              <w14:textFill>
                <w14:solidFill>
                  <w14:schemeClr w14:val="tx1"/>
                </w14:solidFill>
              </w14:textFill>
            </w:rPr>
          </w:pPr>
          <w:hyperlink w:anchor="_Toc17323" w:history="1">
            <w:r>
              <w:rPr>
                <w:rFonts w:ascii="宋体" w:eastAsia="宋体" w:hAnsi="宋体" w:cs="宋体" w:hint="eastAsia"/>
                <w:color w:val="000000" w:themeColor="text1"/>
                <w:sz w:val="24"/>
                <w:szCs w:val="24"/>
                <w14:textFill>
                  <w14:solidFill>
                    <w14:schemeClr w14:val="tx1"/>
                  </w14:solidFill>
                </w14:textFill>
              </w:rPr>
              <w:t>（五）建立内部</w:t>
            </w:r>
            <w:r>
              <w:rPr>
                <w:rFonts w:ascii="Times New Roman" w:hAnsi="Times New Roman" w:cs="Times New Roman" w:hint="eastAsia"/>
                <w:color w:val="000000" w:themeColor="text1"/>
                <w:sz w:val="24"/>
                <w:szCs w:val="24"/>
                <w14:textFill>
                  <w14:solidFill>
                    <w14:schemeClr w14:val="tx1"/>
                  </w14:solidFill>
                </w14:textFill>
              </w:rPr>
              <w:t>监督</w:t>
            </w:r>
            <w:r>
              <w:rPr>
                <w:rFonts w:ascii="宋体" w:eastAsia="宋体" w:hAnsi="宋体" w:cs="宋体" w:hint="eastAsia"/>
                <w:color w:val="000000" w:themeColor="text1"/>
                <w:sz w:val="24"/>
                <w:szCs w:val="24"/>
                <w14:textFill>
                  <w14:solidFill>
                    <w14:schemeClr w14:val="tx1"/>
                  </w14:solidFill>
                </w14:textFill>
              </w:rPr>
              <w:t>机制</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PAGEREF _Toc17323 </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19</w:t>
            </w:r>
            <w:r>
              <w:rPr>
                <w:rFonts w:ascii="Times New Roman" w:hAnsi="Times New Roman" w:cs="Times New Roman"/>
                <w:color w:val="000000" w:themeColor="text1"/>
                <w:sz w:val="24"/>
                <w:szCs w:val="24"/>
                <w14:textFill>
                  <w14:solidFill>
                    <w14:schemeClr w14:val="tx1"/>
                  </w14:solidFill>
                </w14:textFill>
              </w:rPr>
              <w:fldChar w:fldCharType="end"/>
            </w:r>
          </w:hyperlink>
        </w:p>
        <w:p>
          <w:pPr>
            <w:pStyle w:val="TOC1"/>
            <w:tabs>
              <w:tab w:val="clear" w:pos="8919"/>
              <w:tab w:val="right" w:leader="dot" w:pos="8929"/>
            </w:tabs>
            <w:rPr>
              <w:color w:val="000000" w:themeColor="text1"/>
              <w:sz w:val="24"/>
              <w:szCs w:val="24"/>
              <w14:textFill>
                <w14:solidFill>
                  <w14:schemeClr w14:val="tx1"/>
                </w14:solidFill>
              </w14:textFill>
            </w:rPr>
          </w:pPr>
          <w:hyperlink w:anchor="_Toc5903" w:history="1">
            <w:r>
              <w:rPr>
                <w:rFonts w:ascii="黑体" w:eastAsia="黑体" w:hAnsi="黑体" w:cs="黑体" w:hint="eastAsia"/>
                <w:color w:val="000000" w:themeColor="text1"/>
                <w:sz w:val="24"/>
                <w:szCs w:val="24"/>
                <w14:textFill>
                  <w14:solidFill>
                    <w14:schemeClr w14:val="tx1"/>
                  </w14:solidFill>
                </w14:textFill>
              </w:rPr>
              <w:t>六 结论</w:t>
            </w:r>
            <w:r>
              <w:rPr>
                <w:color w:val="000000" w:themeColor="text1"/>
                <w:sz w:val="24"/>
                <w:szCs w:val="24"/>
                <w14:textFill>
                  <w14:solidFill>
                    <w14:schemeClr w14:val="tx1"/>
                  </w14:solidFill>
                </w14:textFill>
              </w:rPr>
              <w:tab/>
            </w:r>
            <w:r>
              <w:rPr>
                <w:rFonts w:cs="Times New Roman"/>
                <w:color w:val="000000" w:themeColor="text1"/>
                <w:sz w:val="24"/>
                <w:szCs w:val="24"/>
                <w14:textFill>
                  <w14:solidFill>
                    <w14:schemeClr w14:val="tx1"/>
                  </w14:solidFill>
                </w14:textFill>
              </w:rPr>
              <w:fldChar w:fldCharType="begin"/>
            </w:r>
            <w:r>
              <w:rPr>
                <w:rFonts w:cs="Times New Roman"/>
                <w:color w:val="000000" w:themeColor="text1"/>
                <w:sz w:val="24"/>
                <w:szCs w:val="24"/>
                <w14:textFill>
                  <w14:solidFill>
                    <w14:schemeClr w14:val="tx1"/>
                  </w14:solidFill>
                </w14:textFill>
              </w:rPr>
              <w:instrText xml:space="preserve"> PAGEREF _Toc5903 </w:instrText>
            </w:r>
            <w:r>
              <w:rPr>
                <w:rFonts w:cs="Times New Roman"/>
                <w:color w:val="000000" w:themeColor="text1"/>
                <w:sz w:val="24"/>
                <w:szCs w:val="24"/>
                <w14:textFill>
                  <w14:solidFill>
                    <w14:schemeClr w14:val="tx1"/>
                  </w14:solidFill>
                </w14:textFill>
              </w:rPr>
              <w:fldChar w:fldCharType="separate"/>
            </w:r>
            <w:r>
              <w:rPr>
                <w:rFonts w:cs="Times New Roman"/>
                <w:color w:val="000000" w:themeColor="text1"/>
                <w:sz w:val="24"/>
                <w:szCs w:val="24"/>
                <w14:textFill>
                  <w14:solidFill>
                    <w14:schemeClr w14:val="tx1"/>
                  </w14:solidFill>
                </w14:textFill>
              </w:rPr>
              <w:t>20</w:t>
            </w:r>
            <w:r>
              <w:rPr>
                <w:rFonts w:cs="Times New Roman"/>
                <w:color w:val="000000" w:themeColor="text1"/>
                <w:sz w:val="24"/>
                <w:szCs w:val="24"/>
                <w14:textFill>
                  <w14:solidFill>
                    <w14:schemeClr w14:val="tx1"/>
                  </w14:solidFill>
                </w14:textFill>
              </w:rPr>
              <w:fldChar w:fldCharType="end"/>
            </w:r>
          </w:hyperlink>
        </w:p>
        <w:p>
          <w:pPr>
            <w:pStyle w:val="TOC1"/>
            <w:tabs>
              <w:tab w:val="clear" w:pos="8919"/>
              <w:tab w:val="right" w:leader="dot" w:pos="8929"/>
            </w:tabs>
            <w:rPr>
              <w:color w:val="000000" w:themeColor="text1"/>
              <w:sz w:val="24"/>
              <w:szCs w:val="24"/>
              <w14:textFill>
                <w14:solidFill>
                  <w14:schemeClr w14:val="tx1"/>
                </w14:solidFill>
              </w14:textFill>
            </w:rPr>
          </w:pPr>
          <w:hyperlink w:anchor="_Toc13452" w:history="1">
            <w:r>
              <w:rPr>
                <w:rFonts w:ascii="黑体" w:eastAsia="黑体" w:hAnsi="黑体" w:cs="黑体" w:hint="eastAsia"/>
                <w:color w:val="000000" w:themeColor="text1"/>
                <w:sz w:val="24"/>
                <w:szCs w:val="24"/>
                <w14:textFill>
                  <w14:solidFill>
                    <w14:schemeClr w14:val="tx1"/>
                  </w14:solidFill>
                </w14:textFill>
              </w:rPr>
              <w:t>参考文献</w:t>
            </w:r>
            <w:r>
              <w:rPr>
                <w:color w:val="000000" w:themeColor="text1"/>
                <w:sz w:val="24"/>
                <w:szCs w:val="24"/>
                <w14:textFill>
                  <w14:solidFill>
                    <w14:schemeClr w14:val="tx1"/>
                  </w14:solidFill>
                </w14:textFill>
              </w:rPr>
              <w:tab/>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PAGEREF _Toc13452 </w:instrText>
            </w:r>
            <w:r>
              <w:rPr>
                <w:color w:val="000000" w:themeColor="text1"/>
                <w:sz w:val="24"/>
                <w:szCs w:val="24"/>
                <w14:textFill>
                  <w14:solidFill>
                    <w14:schemeClr w14:val="tx1"/>
                  </w14:solidFill>
                </w14:textFill>
              </w:rPr>
              <w:fldChar w:fldCharType="separate"/>
            </w:r>
            <w:r>
              <w:rPr>
                <w:color w:val="000000" w:themeColor="text1"/>
                <w:sz w:val="24"/>
                <w:szCs w:val="24"/>
                <w14:textFill>
                  <w14:solidFill>
                    <w14:schemeClr w14:val="tx1"/>
                  </w14:solidFill>
                </w14:textFill>
              </w:rPr>
              <w:t>21</w:t>
            </w:r>
            <w:r>
              <w:rPr>
                <w:color w:val="000000" w:themeColor="text1"/>
                <w:sz w:val="24"/>
                <w:szCs w:val="24"/>
                <w14:textFill>
                  <w14:solidFill>
                    <w14:schemeClr w14:val="tx1"/>
                  </w14:solidFill>
                </w14:textFill>
              </w:rPr>
              <w:fldChar w:fldCharType="end"/>
            </w:r>
          </w:hyperlink>
        </w:p>
        <w:p>
          <w:pPr>
            <w:pStyle w:val="TOC1"/>
            <w:tabs>
              <w:tab w:val="clear" w:pos="8919"/>
              <w:tab w:val="right" w:leader="dot" w:pos="8929"/>
            </w:tabs>
            <w:rPr>
              <w:color w:val="000000" w:themeColor="text1"/>
              <w14:textFill>
                <w14:solidFill>
                  <w14:schemeClr w14:val="tx1"/>
                </w14:solidFill>
              </w14:textFill>
            </w:rPr>
          </w:pPr>
          <w:bookmarkStart w:id="0" w:name="_GoBack"/>
          <w:bookmarkEnd w:id="0"/>
        </w:p>
        <w:p>
          <w:pPr>
            <w:rPr>
              <w:color w:val="000000" w:themeColor="text1"/>
              <w14:textFill>
                <w14:solidFill>
                  <w14:schemeClr w14:val="tx1"/>
                </w14:solidFill>
              </w14:textFill>
            </w:rPr>
          </w:pPr>
          <w:r>
            <w:rPr>
              <w:color w:val="000000" w:themeColor="text1"/>
              <w14:textFill>
                <w14:solidFill>
                  <w14:schemeClr w14:val="tx1"/>
                </w14:solidFill>
              </w14:textFill>
            </w:rPr>
            <w:fldChar w:fldCharType="end"/>
          </w:r>
        </w:p>
      </w:sdtContent>
    </w:sdt>
    <w:p>
      <w:pPr>
        <w:rPr>
          <w:rFonts w:ascii="Times New Roman" w:eastAsia="黑体" w:hAnsi="Times New Roman" w:cs="Times New Roman"/>
          <w:color w:val="000000" w:themeColor="text1"/>
          <w:sz w:val="32"/>
          <w:szCs w:val="32"/>
          <w14:textFill>
            <w14:solidFill>
              <w14:schemeClr w14:val="tx1"/>
            </w14:solidFill>
          </w14:textFill>
        </w:rPr>
        <w:sectPr>
          <w:headerReference w:type="default" r:id="rId12"/>
          <w:footerReference w:type="default" r:id="rId13"/>
          <w:type w:val="nextPage"/>
          <w:pgSz w:w="11906" w:h="16838"/>
          <w:pgMar w:top="1417" w:right="1418" w:bottom="1417" w:left="1559" w:header="851" w:footer="992" w:gutter="0"/>
          <w:pgNumType w:start="4"/>
          <w:cols w:num="1" w:space="0"/>
          <w:titlePg w:val="0"/>
          <w:docGrid w:type="lines" w:linePitch="333" w:charSpace="0"/>
        </w:sectPr>
      </w:pPr>
      <w:bookmarkStart w:id="1" w:name="_Toc2761_WPSOffice_Level1"/>
      <w:bookmarkStart w:id="2" w:name="_Toc4074_WPSOffice_Level1"/>
    </w:p>
    <w:p>
      <w:pPr>
        <w:widowControl/>
        <w:tabs>
          <w:tab w:val="center" w:pos="4464"/>
          <w:tab w:val="right" w:pos="8929"/>
        </w:tabs>
        <w:jc w:val="center"/>
        <w:rPr>
          <w:rFonts w:ascii="Times New Roman" w:eastAsia="黑体" w:hAnsi="Times New Roman" w:cs="Times New Roman"/>
          <w:color w:val="000000" w:themeColor="text1"/>
          <w:sz w:val="32"/>
          <w:szCs w:val="32"/>
          <w14:textFill>
            <w14:solidFill>
              <w14:schemeClr w14:val="tx1"/>
            </w14:solidFill>
          </w14:textFill>
        </w:rPr>
      </w:pPr>
      <w:bookmarkStart w:id="3" w:name="_Toc30423_WPSOffice_Level1"/>
      <w:r>
        <w:rPr>
          <w:rFonts w:ascii="Times New Roman" w:eastAsia="黑体" w:hAnsi="Times New Roman" w:cs="Times New Roman"/>
          <w:color w:val="000000" w:themeColor="text1"/>
          <w:sz w:val="32"/>
          <w:szCs w:val="32"/>
          <w14:textFill>
            <w14:solidFill>
              <w14:schemeClr w14:val="tx1"/>
            </w14:solidFill>
          </w14:textFill>
        </w:rPr>
        <w:t>插图与附表清单</w:t>
      </w:r>
      <w:bookmarkEnd w:id="1"/>
      <w:bookmarkEnd w:id="2"/>
      <w:bookmarkEnd w:id="3"/>
    </w:p>
    <w:p>
      <w:pPr>
        <w:widowControl/>
        <w:tabs>
          <w:tab w:val="center" w:pos="4464"/>
          <w:tab w:val="right" w:pos="8929"/>
        </w:tabs>
        <w:jc w:val="center"/>
        <w:rPr>
          <w:rFonts w:ascii="Times New Roman" w:eastAsia="黑体" w:hAnsi="Times New Roman" w:cs="Times New Roman"/>
          <w:color w:val="000000" w:themeColor="text1"/>
          <w:sz w:val="32"/>
          <w:szCs w:val="32"/>
          <w14:textFill>
            <w14:solidFill>
              <w14:schemeClr w14:val="tx1"/>
            </w14:solidFill>
          </w14:textFill>
        </w:rPr>
      </w:pPr>
    </w:p>
    <w:p>
      <w:pPr>
        <w:jc w:val="distribute"/>
        <w:rPr>
          <w:rFonts w:ascii="Times New Roman" w:hAnsi="Times New Roman" w:cs="Times New Roman"/>
          <w:color w:val="000000" w:themeColor="text1"/>
          <w:szCs w:val="24"/>
          <w14:textFill>
            <w14:solidFill>
              <w14:schemeClr w14:val="tx1"/>
            </w14:solidFill>
          </w14:textFill>
        </w:rPr>
      </w:pPr>
      <w:r>
        <w:rPr>
          <w:rFonts w:ascii="宋体" w:hAnsi="宋体" w:cs="宋体" w:hint="eastAsia"/>
          <w:color w:val="000000" w:themeColor="text1"/>
          <w:szCs w:val="24"/>
          <w14:textFill>
            <w14:solidFill>
              <w14:schemeClr w14:val="tx1"/>
            </w14:solidFill>
          </w14:textFill>
        </w:rPr>
        <w:t>图</w:t>
      </w:r>
      <w:r>
        <w:rPr>
          <w:rFonts w:ascii="Times New Roman" w:hAnsi="Times New Roman" w:cs="Times New Roman"/>
          <w:color w:val="000000" w:themeColor="text1"/>
          <w:szCs w:val="24"/>
          <w14:textFill>
            <w14:solidFill>
              <w14:schemeClr w14:val="tx1"/>
            </w14:solidFill>
          </w14:textFill>
        </w:rPr>
        <w:t>1-1</w:t>
      </w:r>
      <w:r>
        <w:rPr>
          <w:rFonts w:ascii="宋体" w:hAnsi="宋体" w:cs="宋体" w:hint="eastAsia"/>
          <w:color w:val="000000" w:themeColor="text1"/>
          <w:szCs w:val="24"/>
          <w14:textFill>
            <w14:solidFill>
              <w14:schemeClr w14:val="tx1"/>
            </w14:solidFill>
          </w14:textFill>
        </w:rPr>
        <w:t>论文框架图</w:t>
      </w:r>
      <w:r>
        <w:rPr>
          <w:rFonts w:ascii="Times New Roman" w:hAnsi="Times New Roman" w:cs="Times New Roman"/>
          <w:color w:val="000000" w:themeColor="text1"/>
          <w:szCs w:val="24"/>
          <w14:textFill>
            <w14:solidFill>
              <w14:schemeClr w14:val="tx1"/>
            </w14:solidFill>
          </w14:textFill>
        </w:rPr>
        <w:t>………………………………………………………………………</w:t>
      </w:r>
      <w:r>
        <w:rPr>
          <w:rFonts w:ascii="Times New Roman" w:hAnsi="Times New Roman" w:cs="Times New Roman" w:hint="eastAsia"/>
          <w:color w:val="000000" w:themeColor="text1"/>
          <w:szCs w:val="24"/>
          <w14:textFill>
            <w14:solidFill>
              <w14:schemeClr w14:val="tx1"/>
            </w14:solidFill>
          </w14:textFill>
        </w:rPr>
        <w:t>.</w:t>
      </w:r>
      <w:r>
        <w:rPr>
          <w:rFonts w:ascii="Times New Roman" w:hAnsi="Times New Roman" w:cs="Times New Roman"/>
          <w:color w:val="000000" w:themeColor="text1"/>
          <w:szCs w:val="24"/>
          <w14:textFill>
            <w14:solidFill>
              <w14:schemeClr w14:val="tx1"/>
            </w14:solidFill>
          </w14:textFill>
        </w:rPr>
        <w:t>..</w:t>
      </w:r>
      <w:r>
        <w:rPr>
          <w:rFonts w:ascii="Times New Roman" w:hAnsi="Times New Roman" w:cs="Times New Roman" w:hint="eastAsia"/>
          <w:color w:val="000000" w:themeColor="text1"/>
          <w:szCs w:val="24"/>
          <w14:textFill>
            <w14:solidFill>
              <w14:schemeClr w14:val="tx1"/>
            </w14:solidFill>
          </w14:textFill>
        </w:rPr>
        <w:t>...</w:t>
      </w:r>
      <w:r>
        <w:rPr>
          <w:rFonts w:ascii="Times New Roman" w:hAnsi="Times New Roman" w:cs="Times New Roman"/>
          <w:color w:val="000000" w:themeColor="text1"/>
          <w:szCs w:val="24"/>
          <w14:textFill>
            <w14:solidFill>
              <w14:schemeClr w14:val="tx1"/>
            </w14:solidFill>
          </w14:textFill>
        </w:rPr>
        <w:t>4</w:t>
      </w:r>
    </w:p>
    <w:p>
      <w:pPr>
        <w:jc w:val="distribute"/>
        <w:rPr>
          <w:rFonts w:ascii="Times New Roman" w:hAnsi="Times New Roman" w:cs="Times New Roman"/>
          <w:color w:val="000000" w:themeColor="text1"/>
          <w:szCs w:val="24"/>
          <w14:textFill>
            <w14:solidFill>
              <w14:schemeClr w14:val="tx1"/>
            </w14:solidFill>
          </w14:textFill>
        </w:rPr>
      </w:pPr>
      <w:r>
        <w:rPr>
          <w:rFonts w:ascii="宋体" w:hAnsi="宋体" w:cs="宋体" w:hint="eastAsia"/>
          <w:color w:val="000000" w:themeColor="text1"/>
          <w:szCs w:val="24"/>
          <w14:textFill>
            <w14:solidFill>
              <w14:schemeClr w14:val="tx1"/>
            </w14:solidFill>
          </w14:textFill>
        </w:rPr>
        <w:t>图</w:t>
      </w:r>
      <w:r>
        <w:rPr>
          <w:rFonts w:ascii="Times New Roman" w:hAnsi="Times New Roman" w:cs="Times New Roman"/>
          <w:color w:val="000000" w:themeColor="text1"/>
          <w:szCs w:val="24"/>
          <w14:textFill>
            <w14:solidFill>
              <w14:schemeClr w14:val="tx1"/>
            </w14:solidFill>
          </w14:textFill>
        </w:rPr>
        <w:t>2</w:t>
      </w:r>
      <w:r>
        <w:rPr>
          <w:rFonts w:ascii="Times New Roman" w:hAnsi="Times New Roman" w:cs="Times New Roman"/>
          <w:bCs/>
          <w:color w:val="000000" w:themeColor="text1"/>
          <w:kern w:val="0"/>
          <w:szCs w:val="24"/>
          <w14:textFill>
            <w14:solidFill>
              <w14:schemeClr w14:val="tx1"/>
            </w14:solidFill>
          </w14:textFill>
        </w:rPr>
        <w:t>-</w:t>
      </w:r>
      <w:r>
        <w:rPr>
          <w:rFonts w:ascii="Times New Roman" w:hAnsi="Times New Roman" w:cs="Times New Roman" w:hint="eastAsia"/>
          <w:bCs/>
          <w:color w:val="000000" w:themeColor="text1"/>
          <w:kern w:val="0"/>
          <w:szCs w:val="24"/>
          <w14:textFill>
            <w14:solidFill>
              <w14:schemeClr w14:val="tx1"/>
            </w14:solidFill>
          </w14:textFill>
        </w:rPr>
        <w:t>1</w:t>
      </w:r>
      <w:r>
        <w:rPr>
          <w:rFonts w:ascii="宋体" w:hAnsi="宋体" w:cs="宋体" w:hint="eastAsia"/>
          <w:color w:val="000000" w:themeColor="text1"/>
          <w:szCs w:val="24"/>
          <w14:textFill>
            <w14:solidFill>
              <w14:schemeClr w14:val="tx1"/>
            </w14:solidFill>
          </w14:textFill>
        </w:rPr>
        <w:t>评价指标框架</w:t>
      </w:r>
      <w:r>
        <w:rPr>
          <w:rFonts w:ascii="Times New Roman" w:hAnsi="Times New Roman" w:cs="Times New Roman"/>
          <w:color w:val="000000" w:themeColor="text1"/>
          <w:szCs w:val="24"/>
          <w14:textFill>
            <w14:solidFill>
              <w14:schemeClr w14:val="tx1"/>
            </w14:solidFill>
          </w14:textFill>
        </w:rPr>
        <w:t>………………………...…………………………...………………</w:t>
      </w:r>
      <w:r>
        <w:rPr>
          <w:rFonts w:ascii="Times New Roman" w:hAnsi="Times New Roman" w:cs="Times New Roman" w:hint="eastAsia"/>
          <w:color w:val="000000" w:themeColor="text1"/>
          <w:szCs w:val="24"/>
          <w14:textFill>
            <w14:solidFill>
              <w14:schemeClr w14:val="tx1"/>
            </w14:solidFill>
          </w14:textFill>
        </w:rPr>
        <w:t>..9</w:t>
      </w:r>
    </w:p>
    <w:p>
      <w:pPr>
        <w:jc w:val="distribute"/>
        <w:rPr>
          <w:rFonts w:ascii="Times New Roman" w:hAnsi="Times New Roman" w:cs="Times New Roman"/>
          <w:bCs/>
          <w:color w:val="000000" w:themeColor="text1"/>
          <w:kern w:val="0"/>
          <w:szCs w:val="24"/>
          <w14:textFill>
            <w14:solidFill>
              <w14:schemeClr w14:val="tx1"/>
            </w14:solidFill>
          </w14:textFill>
        </w:rPr>
      </w:pPr>
      <w:r>
        <w:rPr>
          <w:rFonts w:ascii="宋体" w:hAnsi="宋体" w:cs="宋体" w:hint="eastAsia"/>
          <w:bCs/>
          <w:color w:val="000000" w:themeColor="text1"/>
          <w:kern w:val="0"/>
          <w:szCs w:val="24"/>
          <w14:textFill>
            <w14:solidFill>
              <w14:schemeClr w14:val="tx1"/>
            </w14:solidFill>
          </w14:textFill>
        </w:rPr>
        <w:t>表</w:t>
      </w:r>
      <w:r>
        <w:rPr>
          <w:rFonts w:ascii="Times New Roman" w:hAnsi="Times New Roman" w:cs="Times New Roman" w:hint="eastAsia"/>
          <w:bCs/>
          <w:color w:val="000000" w:themeColor="text1"/>
          <w:kern w:val="0"/>
          <w:szCs w:val="24"/>
          <w14:textFill>
            <w14:solidFill>
              <w14:schemeClr w14:val="tx1"/>
            </w14:solidFill>
          </w14:textFill>
        </w:rPr>
        <w:t>3-1</w:t>
      </w:r>
      <w:r>
        <w:rPr>
          <w:rFonts w:ascii="宋体" w:hAnsi="宋体" w:cs="宋体" w:hint="eastAsia"/>
          <w:bCs/>
          <w:color w:val="000000" w:themeColor="text1"/>
          <w:kern w:val="0"/>
          <w:szCs w:val="24"/>
          <w14:textFill>
            <w14:solidFill>
              <w14:schemeClr w14:val="tx1"/>
            </w14:solidFill>
          </w14:textFill>
        </w:rPr>
        <w:t>新华百货发展历程</w:t>
      </w:r>
      <w:r>
        <w:rPr>
          <w:rFonts w:ascii="Times New Roman" w:hAnsi="Times New Roman" w:cs="Times New Roman"/>
          <w:color w:val="000000" w:themeColor="text1"/>
          <w:szCs w:val="24"/>
          <w14:textFill>
            <w14:solidFill>
              <w14:schemeClr w14:val="tx1"/>
            </w14:solidFill>
          </w14:textFill>
        </w:rPr>
        <w:t>…………………………………………………………………1</w:t>
      </w:r>
      <w:r>
        <w:rPr>
          <w:rFonts w:ascii="Times New Roman" w:hAnsi="Times New Roman" w:cs="Times New Roman" w:hint="eastAsia"/>
          <w:color w:val="000000" w:themeColor="text1"/>
          <w:szCs w:val="24"/>
          <w14:textFill>
            <w14:solidFill>
              <w14:schemeClr w14:val="tx1"/>
            </w14:solidFill>
          </w14:textFill>
        </w:rPr>
        <w:t>0</w:t>
      </w:r>
    </w:p>
    <w:p>
      <w:pPr>
        <w:jc w:val="distribute"/>
        <w:rPr>
          <w:rFonts w:ascii="宋体" w:hAnsi="宋体" w:cs="宋体"/>
          <w:bCs/>
          <w:color w:val="000000" w:themeColor="text1"/>
          <w:kern w:val="0"/>
          <w:szCs w:val="24"/>
          <w14:textFill>
            <w14:solidFill>
              <w14:schemeClr w14:val="tx1"/>
            </w14:solidFill>
          </w14:textFill>
        </w:rPr>
      </w:pPr>
      <w:r>
        <w:rPr>
          <w:rFonts w:ascii="宋体" w:hAnsi="宋体" w:cs="宋体" w:hint="eastAsia"/>
          <w:bCs/>
          <w:color w:val="000000" w:themeColor="text1"/>
          <w:kern w:val="0"/>
          <w:szCs w:val="24"/>
          <w14:textFill>
            <w14:solidFill>
              <w14:schemeClr w14:val="tx1"/>
            </w14:solidFill>
          </w14:textFill>
        </w:rPr>
        <w:t>表</w:t>
      </w:r>
      <w:r>
        <w:rPr>
          <w:rFonts w:ascii="Times New Roman" w:hAnsi="Times New Roman" w:cs="Times New Roman" w:hint="eastAsia"/>
          <w:bCs/>
          <w:color w:val="000000" w:themeColor="text1"/>
          <w:kern w:val="0"/>
          <w:szCs w:val="24"/>
          <w14:textFill>
            <w14:solidFill>
              <w14:schemeClr w14:val="tx1"/>
            </w14:solidFill>
          </w14:textFill>
        </w:rPr>
        <w:t>3-2</w:t>
      </w:r>
      <w:r>
        <w:rPr>
          <w:rFonts w:ascii="宋体" w:hAnsi="宋体" w:cs="宋体" w:hint="eastAsia"/>
          <w:bCs/>
          <w:color w:val="000000" w:themeColor="text1"/>
          <w:kern w:val="0"/>
          <w:szCs w:val="24"/>
          <w14:textFill>
            <w14:solidFill>
              <w14:schemeClr w14:val="tx1"/>
            </w14:solidFill>
          </w14:textFill>
        </w:rPr>
        <w:t>新华百货资产负债表</w:t>
      </w:r>
      <w:r>
        <w:rPr>
          <w:rFonts w:ascii="Times New Roman" w:hAnsi="Times New Roman" w:cs="Times New Roman"/>
          <w:color w:val="000000" w:themeColor="text1"/>
          <w:szCs w:val="24"/>
          <w14:textFill>
            <w14:solidFill>
              <w14:schemeClr w14:val="tx1"/>
            </w14:solidFill>
          </w14:textFill>
        </w:rPr>
        <w:t>……………………………………………………………</w:t>
      </w:r>
      <w:r>
        <w:rPr>
          <w:rFonts w:ascii="Times New Roman" w:hAnsi="Times New Roman" w:cs="Times New Roman" w:hint="eastAsia"/>
          <w:color w:val="000000" w:themeColor="text1"/>
          <w:szCs w:val="24"/>
          <w14:textFill>
            <w14:solidFill>
              <w14:schemeClr w14:val="tx1"/>
            </w14:solidFill>
          </w14:textFill>
        </w:rPr>
        <w:t>....11</w:t>
      </w:r>
    </w:p>
    <w:p>
      <w:pPr>
        <w:rPr>
          <w:rFonts w:ascii="宋体" w:hAnsi="宋体" w:cs="宋体"/>
          <w:bCs/>
          <w:color w:val="000000" w:themeColor="text1"/>
          <w:kern w:val="0"/>
          <w:szCs w:val="24"/>
          <w14:textFill>
            <w14:solidFill>
              <w14:schemeClr w14:val="tx1"/>
            </w14:solidFill>
          </w14:textFill>
        </w:rPr>
      </w:pPr>
      <w:r>
        <w:rPr>
          <w:rFonts w:ascii="宋体" w:hAnsi="宋体" w:cs="宋体" w:hint="eastAsia"/>
          <w:bCs/>
          <w:color w:val="000000" w:themeColor="text1"/>
          <w:kern w:val="0"/>
          <w:szCs w:val="24"/>
          <w14:textFill>
            <w14:solidFill>
              <w14:schemeClr w14:val="tx1"/>
            </w14:solidFill>
          </w14:textFill>
        </w:rPr>
        <w:t>表</w:t>
      </w:r>
      <w:r>
        <w:rPr>
          <w:rFonts w:ascii="Times New Roman" w:hAnsi="Times New Roman" w:cs="Times New Roman" w:hint="eastAsia"/>
          <w:bCs/>
          <w:color w:val="000000" w:themeColor="text1"/>
          <w:kern w:val="0"/>
          <w:szCs w:val="24"/>
          <w14:textFill>
            <w14:solidFill>
              <w14:schemeClr w14:val="tx1"/>
            </w14:solidFill>
          </w14:textFill>
        </w:rPr>
        <w:t>3-3 2014-2018</w:t>
      </w:r>
      <w:r>
        <w:rPr>
          <w:rFonts w:ascii="宋体" w:hAnsi="宋体" w:cs="宋体" w:hint="eastAsia"/>
          <w:bCs/>
          <w:color w:val="000000" w:themeColor="text1"/>
          <w:kern w:val="0"/>
          <w:szCs w:val="24"/>
          <w14:textFill>
            <w14:solidFill>
              <w14:schemeClr w14:val="tx1"/>
            </w14:solidFill>
          </w14:textFill>
        </w:rPr>
        <w:t>年新华百货固定资产</w:t>
      </w:r>
      <w:r>
        <w:rPr>
          <w:rFonts w:ascii="宋体" w:hAnsi="宋体" w:cs="宋体" w:hint="eastAsia"/>
          <w:color w:val="000000" w:themeColor="text1"/>
          <w:szCs w:val="24"/>
          <w14:textFill>
            <w14:solidFill>
              <w14:schemeClr w14:val="tx1"/>
            </w14:solidFill>
          </w14:textFill>
        </w:rPr>
        <w:t>账面价值</w:t>
      </w:r>
      <w:r>
        <w:rPr>
          <w:rFonts w:ascii="宋体" w:hAnsi="宋体" w:cs="宋体" w:hint="eastAsia"/>
          <w:bCs/>
          <w:color w:val="000000" w:themeColor="text1"/>
          <w:kern w:val="0"/>
          <w:szCs w:val="24"/>
          <w14:textFill>
            <w14:solidFill>
              <w14:schemeClr w14:val="tx1"/>
            </w14:solidFill>
          </w14:textFill>
        </w:rPr>
        <w:t>组成明细</w:t>
      </w:r>
      <w:r>
        <w:rPr>
          <w:rFonts w:ascii="Times New Roman" w:hAnsi="Times New Roman" w:cs="Times New Roman"/>
          <w:color w:val="000000" w:themeColor="text1"/>
          <w:szCs w:val="24"/>
          <w14:textFill>
            <w14:solidFill>
              <w14:schemeClr w14:val="tx1"/>
            </w14:solidFill>
          </w14:textFill>
        </w:rPr>
        <w:t>……………………………</w:t>
      </w:r>
      <w:r>
        <w:rPr>
          <w:rFonts w:ascii="Times New Roman" w:hAnsi="Times New Roman" w:cs="Times New Roman" w:hint="eastAsia"/>
          <w:color w:val="000000" w:themeColor="text1"/>
          <w:szCs w:val="24"/>
          <w14:textFill>
            <w14:solidFill>
              <w14:schemeClr w14:val="tx1"/>
            </w14:solidFill>
          </w14:textFill>
        </w:rPr>
        <w:t>...12</w:t>
      </w:r>
    </w:p>
    <w:p>
      <w:pPr>
        <w:widowControl/>
        <w:jc w:val="distribute"/>
        <w:rPr>
          <w:rFonts w:ascii="宋体" w:hAnsi="宋体" w:cs="宋体"/>
          <w:bCs/>
          <w:color w:val="000000" w:themeColor="text1"/>
          <w:kern w:val="0"/>
          <w:szCs w:val="24"/>
          <w14:textFill>
            <w14:solidFill>
              <w14:schemeClr w14:val="tx1"/>
            </w14:solidFill>
          </w14:textFill>
        </w:rPr>
      </w:pPr>
      <w:r>
        <w:rPr>
          <w:rFonts w:ascii="宋体" w:hAnsi="宋体" w:cs="宋体" w:hint="eastAsia"/>
          <w:bCs/>
          <w:color w:val="000000" w:themeColor="text1"/>
          <w:kern w:val="0"/>
          <w:szCs w:val="24"/>
          <w14:textFill>
            <w14:solidFill>
              <w14:schemeClr w14:val="tx1"/>
            </w14:solidFill>
          </w14:textFill>
        </w:rPr>
        <w:t>表</w:t>
      </w:r>
      <w:r>
        <w:rPr>
          <w:rFonts w:ascii="Times New Roman" w:hAnsi="Times New Roman" w:cs="Times New Roman" w:hint="eastAsia"/>
          <w:bCs/>
          <w:color w:val="000000" w:themeColor="text1"/>
          <w:kern w:val="0"/>
          <w:szCs w:val="24"/>
          <w14:textFill>
            <w14:solidFill>
              <w14:schemeClr w14:val="tx1"/>
            </w14:solidFill>
          </w14:textFill>
        </w:rPr>
        <w:t>3-4</w:t>
      </w:r>
      <w:r>
        <w:rPr>
          <w:rFonts w:ascii="宋体" w:hAnsi="宋体" w:cs="宋体" w:hint="eastAsia"/>
          <w:bCs/>
          <w:color w:val="000000" w:themeColor="text1"/>
          <w:kern w:val="0"/>
          <w:szCs w:val="24"/>
          <w14:textFill>
            <w14:solidFill>
              <w14:schemeClr w14:val="tx1"/>
            </w14:solidFill>
          </w14:textFill>
        </w:rPr>
        <w:t>各类</w:t>
      </w:r>
      <w:r>
        <w:rPr>
          <w:rFonts w:ascii="宋体" w:hAnsi="宋体" w:cs="宋体" w:hint="eastAsia"/>
          <w:color w:val="000000" w:themeColor="text1"/>
          <w:szCs w:val="24"/>
          <w14:textFill>
            <w14:solidFill>
              <w14:schemeClr w14:val="tx1"/>
            </w14:solidFill>
          </w14:textFill>
        </w:rPr>
        <w:t>固定资产账面价值占固定资产账面价值总额的比重</w:t>
      </w:r>
      <w:r>
        <w:rPr>
          <w:rFonts w:ascii="Times New Roman" w:hAnsi="Times New Roman" w:cs="Times New Roman"/>
          <w:color w:val="000000" w:themeColor="text1"/>
          <w:szCs w:val="24"/>
          <w14:textFill>
            <w14:solidFill>
              <w14:schemeClr w14:val="tx1"/>
            </w14:solidFill>
          </w14:textFill>
        </w:rPr>
        <w:t>…………………</w:t>
      </w:r>
      <w:r>
        <w:rPr>
          <w:rFonts w:ascii="Times New Roman" w:hAnsi="Times New Roman" w:cs="Times New Roman" w:hint="eastAsia"/>
          <w:color w:val="000000" w:themeColor="text1"/>
          <w:szCs w:val="24"/>
          <w14:textFill>
            <w14:solidFill>
              <w14:schemeClr w14:val="tx1"/>
            </w14:solidFill>
          </w14:textFill>
        </w:rPr>
        <w:t>.</w:t>
      </w:r>
      <w:r>
        <w:rPr>
          <w:rFonts w:ascii="Times New Roman" w:hAnsi="Times New Roman" w:cs="Times New Roman"/>
          <w:color w:val="000000" w:themeColor="text1"/>
          <w:szCs w:val="24"/>
          <w14:textFill>
            <w14:solidFill>
              <w14:schemeClr w14:val="tx1"/>
            </w14:solidFill>
          </w14:textFill>
        </w:rPr>
        <w:t>…</w:t>
      </w:r>
      <w:r>
        <w:rPr>
          <w:rFonts w:ascii="Times New Roman" w:hAnsi="Times New Roman" w:cs="Times New Roman" w:hint="eastAsia"/>
          <w:color w:val="000000" w:themeColor="text1"/>
          <w:szCs w:val="24"/>
          <w14:textFill>
            <w14:solidFill>
              <w14:schemeClr w14:val="tx1"/>
            </w14:solidFill>
          </w14:textFill>
        </w:rPr>
        <w:t>12</w:t>
      </w:r>
    </w:p>
    <w:p>
      <w:pPr>
        <w:jc w:val="distribute"/>
        <w:rPr>
          <w:rFonts w:ascii="宋体" w:hAnsi="宋体" w:cs="宋体"/>
          <w:color w:val="000000" w:themeColor="text1"/>
          <w:szCs w:val="24"/>
          <w14:textFill>
            <w14:solidFill>
              <w14:schemeClr w14:val="tx1"/>
            </w14:solidFill>
          </w14:textFill>
        </w:rPr>
      </w:pPr>
      <w:r>
        <w:rPr>
          <w:rFonts w:ascii="宋体" w:hAnsi="宋体" w:cs="宋体" w:hint="eastAsia"/>
          <w:color w:val="000000" w:themeColor="text1"/>
          <w:szCs w:val="24"/>
          <w14:textFill>
            <w14:solidFill>
              <w14:schemeClr w14:val="tx1"/>
            </w14:solidFill>
          </w14:textFill>
        </w:rPr>
        <w:t>表</w:t>
      </w:r>
      <w:r>
        <w:rPr>
          <w:rFonts w:ascii="Times New Roman" w:hAnsi="Times New Roman" w:cs="Times New Roman" w:hint="eastAsia"/>
          <w:bCs/>
          <w:color w:val="000000" w:themeColor="text1"/>
          <w:kern w:val="0"/>
          <w:szCs w:val="24"/>
          <w14:textFill>
            <w14:solidFill>
              <w14:schemeClr w14:val="tx1"/>
            </w14:solidFill>
          </w14:textFill>
        </w:rPr>
        <w:t>3-5 2014-2018</w:t>
      </w:r>
      <w:r>
        <w:rPr>
          <w:rFonts w:ascii="宋体" w:hAnsi="宋体" w:cs="宋体" w:hint="eastAsia"/>
          <w:color w:val="000000" w:themeColor="text1"/>
          <w:szCs w:val="24"/>
          <w14:textFill>
            <w14:solidFill>
              <w14:schemeClr w14:val="tx1"/>
            </w14:solidFill>
          </w14:textFill>
        </w:rPr>
        <w:t>年新华百货固定资产净利率指标</w:t>
      </w:r>
      <w:r>
        <w:rPr>
          <w:rFonts w:ascii="Times New Roman" w:hAnsi="Times New Roman" w:cs="Times New Roman"/>
          <w:color w:val="000000" w:themeColor="text1"/>
          <w:szCs w:val="24"/>
          <w14:textFill>
            <w14:solidFill>
              <w14:schemeClr w14:val="tx1"/>
            </w14:solidFill>
          </w14:textFill>
        </w:rPr>
        <w:t>…………………………………</w:t>
      </w:r>
      <w:r>
        <w:rPr>
          <w:rFonts w:ascii="Times New Roman" w:hAnsi="Times New Roman" w:cs="Times New Roman" w:hint="eastAsia"/>
          <w:color w:val="000000" w:themeColor="text1"/>
          <w:szCs w:val="24"/>
          <w14:textFill>
            <w14:solidFill>
              <w14:schemeClr w14:val="tx1"/>
            </w14:solidFill>
          </w14:textFill>
        </w:rPr>
        <w:t>.</w:t>
      </w:r>
      <w:r>
        <w:rPr>
          <w:rFonts w:ascii="Times New Roman" w:hAnsi="Times New Roman" w:cs="Times New Roman"/>
          <w:color w:val="000000" w:themeColor="text1"/>
          <w:szCs w:val="24"/>
          <w14:textFill>
            <w14:solidFill>
              <w14:schemeClr w14:val="tx1"/>
            </w14:solidFill>
          </w14:textFill>
        </w:rPr>
        <w:t>…</w:t>
      </w:r>
      <w:r>
        <w:rPr>
          <w:rFonts w:ascii="Times New Roman" w:hAnsi="Times New Roman" w:cs="Times New Roman" w:hint="eastAsia"/>
          <w:color w:val="000000" w:themeColor="text1"/>
          <w:szCs w:val="24"/>
          <w14:textFill>
            <w14:solidFill>
              <w14:schemeClr w14:val="tx1"/>
            </w14:solidFill>
          </w14:textFill>
        </w:rPr>
        <w:t>13</w:t>
      </w:r>
    </w:p>
    <w:p>
      <w:pPr>
        <w:jc w:val="distribute"/>
        <w:rPr>
          <w:rFonts w:ascii="Times New Roman" w:hAnsi="Times New Roman" w:cs="Times New Roman"/>
          <w:color w:val="000000" w:themeColor="text1"/>
          <w:szCs w:val="24"/>
          <w14:textFill>
            <w14:solidFill>
              <w14:schemeClr w14:val="tx1"/>
            </w14:solidFill>
          </w14:textFill>
        </w:rPr>
      </w:pPr>
      <w:r>
        <w:rPr>
          <w:rFonts w:ascii="宋体" w:hAnsi="宋体" w:cs="宋体" w:hint="eastAsia"/>
          <w:color w:val="000000" w:themeColor="text1"/>
          <w:szCs w:val="24"/>
          <w14:textFill>
            <w14:solidFill>
              <w14:schemeClr w14:val="tx1"/>
            </w14:solidFill>
          </w14:textFill>
        </w:rPr>
        <w:t>图</w:t>
      </w:r>
      <w:r>
        <w:rPr>
          <w:rFonts w:ascii="Times New Roman" w:hAnsi="Times New Roman" w:cs="Times New Roman" w:hint="eastAsia"/>
          <w:bCs/>
          <w:color w:val="000000" w:themeColor="text1"/>
          <w:kern w:val="0"/>
          <w:szCs w:val="24"/>
          <w14:textFill>
            <w14:solidFill>
              <w14:schemeClr w14:val="tx1"/>
            </w14:solidFill>
          </w14:textFill>
        </w:rPr>
        <w:t>3-1 2014-2018</w:t>
      </w:r>
      <w:r>
        <w:rPr>
          <w:rFonts w:ascii="宋体" w:hAnsi="宋体" w:cs="宋体" w:hint="eastAsia"/>
          <w:color w:val="000000" w:themeColor="text1"/>
          <w:szCs w:val="24"/>
          <w14:textFill>
            <w14:solidFill>
              <w14:schemeClr w14:val="tx1"/>
            </w14:solidFill>
          </w14:textFill>
        </w:rPr>
        <w:t>年固定资产净利率对比图</w:t>
      </w:r>
      <w:r>
        <w:rPr>
          <w:rFonts w:ascii="Times New Roman" w:hAnsi="Times New Roman" w:cs="Times New Roman"/>
          <w:color w:val="000000" w:themeColor="text1"/>
          <w:szCs w:val="24"/>
          <w14:textFill>
            <w14:solidFill>
              <w14:schemeClr w14:val="tx1"/>
            </w14:solidFill>
          </w14:textFill>
        </w:rPr>
        <w:t>………………………………………</w:t>
      </w:r>
      <w:r>
        <w:rPr>
          <w:rFonts w:ascii="Times New Roman" w:hAnsi="Times New Roman" w:cs="Times New Roman" w:hint="eastAsia"/>
          <w:color w:val="000000" w:themeColor="text1"/>
          <w:szCs w:val="24"/>
          <w14:textFill>
            <w14:solidFill>
              <w14:schemeClr w14:val="tx1"/>
            </w14:solidFill>
          </w14:textFill>
        </w:rPr>
        <w:t>...........13</w:t>
      </w:r>
    </w:p>
    <w:p>
      <w:pPr>
        <w:tabs>
          <w:tab w:val="left" w:pos="1240"/>
          <w:tab w:val="center" w:pos="4214"/>
        </w:tabs>
        <w:jc w:val="distribute"/>
        <w:rPr>
          <w:rFonts w:ascii="宋体" w:hAnsi="宋体" w:cs="宋体"/>
          <w:color w:val="000000" w:themeColor="text1"/>
          <w:szCs w:val="24"/>
          <w14:textFill>
            <w14:solidFill>
              <w14:schemeClr w14:val="tx1"/>
            </w14:solidFill>
          </w14:textFill>
        </w:rPr>
      </w:pPr>
      <w:r>
        <w:rPr>
          <w:rFonts w:ascii="宋体" w:hAnsi="宋体" w:cs="宋体" w:hint="eastAsia"/>
          <w:color w:val="000000" w:themeColor="text1"/>
          <w:szCs w:val="24"/>
          <w14:textFill>
            <w14:solidFill>
              <w14:schemeClr w14:val="tx1"/>
            </w14:solidFill>
          </w14:textFill>
        </w:rPr>
        <w:t>表</w:t>
      </w:r>
      <w:r>
        <w:rPr>
          <w:rFonts w:ascii="Times New Roman" w:hAnsi="Times New Roman" w:cs="Times New Roman"/>
          <w:bCs/>
          <w:color w:val="000000" w:themeColor="text1"/>
          <w:kern w:val="0"/>
          <w:szCs w:val="24"/>
          <w14:textFill>
            <w14:solidFill>
              <w14:schemeClr w14:val="tx1"/>
            </w14:solidFill>
          </w14:textFill>
        </w:rPr>
        <w:t>3-</w:t>
      </w:r>
      <w:r>
        <w:rPr>
          <w:rFonts w:ascii="Times New Roman" w:hAnsi="Times New Roman" w:cs="Times New Roman" w:hint="eastAsia"/>
          <w:bCs/>
          <w:color w:val="000000" w:themeColor="text1"/>
          <w:kern w:val="0"/>
          <w:szCs w:val="24"/>
          <w14:textFill>
            <w14:solidFill>
              <w14:schemeClr w14:val="tx1"/>
            </w14:solidFill>
          </w14:textFill>
        </w:rPr>
        <w:t>6</w:t>
      </w:r>
      <w:r>
        <w:rPr>
          <w:rFonts w:ascii="Times New Roman" w:hAnsi="Times New Roman" w:cs="Times New Roman"/>
          <w:bCs/>
          <w:color w:val="000000" w:themeColor="text1"/>
          <w:kern w:val="0"/>
          <w:szCs w:val="24"/>
          <w14:textFill>
            <w14:solidFill>
              <w14:schemeClr w14:val="tx1"/>
            </w14:solidFill>
          </w14:textFill>
        </w:rPr>
        <w:t xml:space="preserve"> 2014-2018</w:t>
      </w:r>
      <w:r>
        <w:rPr>
          <w:rFonts w:ascii="宋体" w:hAnsi="宋体" w:cs="宋体" w:hint="eastAsia"/>
          <w:color w:val="000000" w:themeColor="text1"/>
          <w:szCs w:val="24"/>
          <w14:textFill>
            <w14:solidFill>
              <w14:schemeClr w14:val="tx1"/>
            </w14:solidFill>
          </w14:textFill>
        </w:rPr>
        <w:t>年新华百货固定资产比率指标</w:t>
      </w:r>
      <w:r>
        <w:rPr>
          <w:rFonts w:ascii="Times New Roman" w:hAnsi="Times New Roman" w:cs="Times New Roman"/>
          <w:color w:val="000000" w:themeColor="text1"/>
          <w:szCs w:val="24"/>
          <w14:textFill>
            <w14:solidFill>
              <w14:schemeClr w14:val="tx1"/>
            </w14:solidFill>
          </w14:textFill>
        </w:rPr>
        <w:t>………………………………………</w:t>
      </w:r>
      <w:r>
        <w:rPr>
          <w:rFonts w:ascii="Times New Roman" w:hAnsi="Times New Roman" w:cs="Times New Roman" w:hint="eastAsia"/>
          <w:color w:val="000000" w:themeColor="text1"/>
          <w:szCs w:val="24"/>
          <w14:textFill>
            <w14:solidFill>
              <w14:schemeClr w14:val="tx1"/>
            </w14:solidFill>
          </w14:textFill>
        </w:rPr>
        <w:t>...13</w:t>
      </w:r>
    </w:p>
    <w:p>
      <w:pPr>
        <w:jc w:val="distribute"/>
        <w:rPr>
          <w:rFonts w:ascii="宋体" w:hAnsi="宋体" w:cs="宋体"/>
          <w:color w:val="000000" w:themeColor="text1"/>
          <w:szCs w:val="24"/>
          <w14:textFill>
            <w14:solidFill>
              <w14:schemeClr w14:val="tx1"/>
            </w14:solidFill>
          </w14:textFill>
        </w:rPr>
      </w:pPr>
      <w:r>
        <w:rPr>
          <w:rFonts w:ascii="宋体" w:hAnsi="宋体" w:cs="宋体" w:hint="eastAsia"/>
          <w:color w:val="000000" w:themeColor="text1"/>
          <w:szCs w:val="24"/>
          <w14:textFill>
            <w14:solidFill>
              <w14:schemeClr w14:val="tx1"/>
            </w14:solidFill>
          </w14:textFill>
        </w:rPr>
        <w:t>图</w:t>
      </w:r>
      <w:r>
        <w:rPr>
          <w:rFonts w:ascii="Times New Roman" w:hAnsi="Times New Roman" w:cs="Times New Roman" w:hint="eastAsia"/>
          <w:color w:val="000000" w:themeColor="text1"/>
          <w:szCs w:val="24"/>
          <w14:textFill>
            <w14:solidFill>
              <w14:schemeClr w14:val="tx1"/>
            </w14:solidFill>
          </w14:textFill>
        </w:rPr>
        <w:t>3-2 2014-2018</w:t>
      </w:r>
      <w:r>
        <w:rPr>
          <w:rFonts w:ascii="宋体" w:hAnsi="宋体" w:cs="宋体" w:hint="eastAsia"/>
          <w:color w:val="000000" w:themeColor="text1"/>
          <w:szCs w:val="24"/>
          <w14:textFill>
            <w14:solidFill>
              <w14:schemeClr w14:val="tx1"/>
            </w14:solidFill>
          </w14:textFill>
        </w:rPr>
        <w:t>年固定资产比率对比图</w:t>
      </w:r>
      <w:r>
        <w:rPr>
          <w:rFonts w:ascii="Times New Roman" w:hAnsi="Times New Roman" w:cs="Times New Roman"/>
          <w:color w:val="000000" w:themeColor="text1"/>
          <w:szCs w:val="24"/>
          <w14:textFill>
            <w14:solidFill>
              <w14:schemeClr w14:val="tx1"/>
            </w14:solidFill>
          </w14:textFill>
        </w:rPr>
        <w:t>………………………………………</w:t>
      </w:r>
      <w:r>
        <w:rPr>
          <w:rFonts w:ascii="Times New Roman" w:hAnsi="Times New Roman" w:cs="Times New Roman" w:hint="eastAsia"/>
          <w:color w:val="000000" w:themeColor="text1"/>
          <w:szCs w:val="24"/>
          <w14:textFill>
            <w14:solidFill>
              <w14:schemeClr w14:val="tx1"/>
            </w14:solidFill>
          </w14:textFill>
        </w:rPr>
        <w:t>........</w:t>
      </w:r>
      <w:r>
        <w:rPr>
          <w:rFonts w:ascii="Times New Roman" w:hAnsi="Times New Roman" w:cs="Times New Roman"/>
          <w:color w:val="000000" w:themeColor="text1"/>
          <w:szCs w:val="24"/>
          <w14:textFill>
            <w14:solidFill>
              <w14:schemeClr w14:val="tx1"/>
            </w14:solidFill>
          </w14:textFill>
        </w:rPr>
        <w:t>.....</w:t>
      </w:r>
      <w:r>
        <w:rPr>
          <w:rFonts w:ascii="Times New Roman" w:hAnsi="Times New Roman" w:cs="Times New Roman" w:hint="eastAsia"/>
          <w:color w:val="000000" w:themeColor="text1"/>
          <w:szCs w:val="24"/>
          <w14:textFill>
            <w14:solidFill>
              <w14:schemeClr w14:val="tx1"/>
            </w14:solidFill>
          </w14:textFill>
        </w:rPr>
        <w:t>..</w:t>
      </w:r>
      <w:r>
        <w:rPr>
          <w:rFonts w:ascii="Times New Roman" w:hAnsi="Times New Roman" w:cs="Times New Roman"/>
          <w:color w:val="000000" w:themeColor="text1"/>
          <w:szCs w:val="24"/>
          <w14:textFill>
            <w14:solidFill>
              <w14:schemeClr w14:val="tx1"/>
            </w14:solidFill>
          </w14:textFill>
        </w:rPr>
        <w:t>1</w:t>
      </w:r>
      <w:r>
        <w:rPr>
          <w:rFonts w:ascii="Times New Roman" w:hAnsi="Times New Roman" w:cs="Times New Roman" w:hint="eastAsia"/>
          <w:color w:val="000000" w:themeColor="text1"/>
          <w:szCs w:val="24"/>
          <w14:textFill>
            <w14:solidFill>
              <w14:schemeClr w14:val="tx1"/>
            </w14:solidFill>
          </w14:textFill>
        </w:rPr>
        <w:t>4</w:t>
      </w:r>
    </w:p>
    <w:p>
      <w:pPr>
        <w:jc w:val="distribute"/>
        <w:rPr>
          <w:rFonts w:ascii="宋体" w:hAnsi="宋体" w:cs="宋体"/>
          <w:color w:val="000000" w:themeColor="text1"/>
          <w:szCs w:val="24"/>
          <w14:textFill>
            <w14:solidFill>
              <w14:schemeClr w14:val="tx1"/>
            </w14:solidFill>
          </w14:textFill>
        </w:rPr>
      </w:pPr>
      <w:r>
        <w:rPr>
          <w:rFonts w:ascii="宋体" w:hAnsi="宋体" w:cs="宋体" w:hint="eastAsia"/>
          <w:color w:val="000000" w:themeColor="text1"/>
          <w:szCs w:val="24"/>
          <w14:textFill>
            <w14:solidFill>
              <w14:schemeClr w14:val="tx1"/>
            </w14:solidFill>
          </w14:textFill>
        </w:rPr>
        <w:t>表</w:t>
      </w:r>
      <w:r>
        <w:rPr>
          <w:rFonts w:ascii="Times New Roman" w:hAnsi="Times New Roman" w:cs="Times New Roman" w:hint="eastAsia"/>
          <w:color w:val="000000" w:themeColor="text1"/>
          <w:szCs w:val="24"/>
          <w14:textFill>
            <w14:solidFill>
              <w14:schemeClr w14:val="tx1"/>
            </w14:solidFill>
          </w14:textFill>
        </w:rPr>
        <w:t>3-7 2014-2018</w:t>
      </w:r>
      <w:r>
        <w:rPr>
          <w:rFonts w:ascii="宋体" w:hAnsi="宋体" w:cs="宋体" w:hint="eastAsia"/>
          <w:color w:val="000000" w:themeColor="text1"/>
          <w:szCs w:val="24"/>
          <w14:textFill>
            <w14:solidFill>
              <w14:schemeClr w14:val="tx1"/>
            </w14:solidFill>
          </w14:textFill>
        </w:rPr>
        <w:t>年新华百货固定资产周转率指标</w:t>
      </w:r>
      <w:r>
        <w:rPr>
          <w:rFonts w:ascii="Times New Roman" w:hAnsi="Times New Roman" w:cs="Times New Roman"/>
          <w:color w:val="000000" w:themeColor="text1"/>
          <w:szCs w:val="24"/>
          <w14:textFill>
            <w14:solidFill>
              <w14:schemeClr w14:val="tx1"/>
            </w14:solidFill>
          </w14:textFill>
        </w:rPr>
        <w:t>…………………………………</w:t>
      </w:r>
      <w:r>
        <w:rPr>
          <w:rFonts w:ascii="Times New Roman" w:hAnsi="Times New Roman" w:cs="Times New Roman" w:hint="eastAsia"/>
          <w:color w:val="000000" w:themeColor="text1"/>
          <w:szCs w:val="24"/>
          <w14:textFill>
            <w14:solidFill>
              <w14:schemeClr w14:val="tx1"/>
            </w14:solidFill>
          </w14:textFill>
        </w:rPr>
        <w:t>........14</w:t>
      </w:r>
    </w:p>
    <w:p>
      <w:pPr>
        <w:jc w:val="distribute"/>
        <w:rPr>
          <w:rFonts w:ascii="Times New Roman" w:hAnsi="Times New Roman" w:cs="Times New Roman"/>
          <w:color w:val="000000" w:themeColor="text1"/>
          <w:szCs w:val="24"/>
          <w14:textFill>
            <w14:solidFill>
              <w14:schemeClr w14:val="tx1"/>
            </w14:solidFill>
          </w14:textFill>
        </w:rPr>
        <w:sectPr>
          <w:headerReference w:type="default" r:id="rId14"/>
          <w:footerReference w:type="default" r:id="rId15"/>
          <w:type w:val="nextPage"/>
          <w:pgSz w:w="11906" w:h="16838"/>
          <w:pgMar w:top="1417" w:right="1418" w:bottom="1417" w:left="1559" w:header="851" w:footer="992" w:gutter="0"/>
          <w:pgNumType w:start="5"/>
          <w:cols w:num="1" w:space="0"/>
          <w:titlePg w:val="0"/>
          <w:docGrid w:type="lines" w:linePitch="333" w:charSpace="0"/>
        </w:sectPr>
      </w:pPr>
      <w:r>
        <w:rPr>
          <w:rFonts w:ascii="宋体" w:hAnsi="宋体" w:cs="宋体" w:hint="eastAsia"/>
          <w:color w:val="000000" w:themeColor="text1"/>
          <w:szCs w:val="24"/>
          <w14:textFill>
            <w14:solidFill>
              <w14:schemeClr w14:val="tx1"/>
            </w14:solidFill>
          </w14:textFill>
        </w:rPr>
        <w:t>图</w:t>
      </w:r>
      <w:r>
        <w:rPr>
          <w:rFonts w:ascii="Times New Roman" w:hAnsi="Times New Roman" w:cs="Times New Roman"/>
          <w:color w:val="000000" w:themeColor="text1"/>
          <w:szCs w:val="24"/>
          <w14:textFill>
            <w14:solidFill>
              <w14:schemeClr w14:val="tx1"/>
            </w14:solidFill>
          </w14:textFill>
        </w:rPr>
        <w:t>3-3 2014-2018</w:t>
      </w:r>
      <w:r>
        <w:rPr>
          <w:rFonts w:ascii="宋体" w:hAnsi="宋体" w:cs="宋体" w:hint="eastAsia"/>
          <w:color w:val="000000" w:themeColor="text1"/>
          <w:szCs w:val="24"/>
          <w14:textFill>
            <w14:solidFill>
              <w14:schemeClr w14:val="tx1"/>
            </w14:solidFill>
          </w14:textFill>
        </w:rPr>
        <w:t>年固定资产周转率对比图</w:t>
      </w:r>
      <w:bookmarkStart w:id="4" w:name="_Toc32524"/>
      <w:r>
        <w:rPr>
          <w:rFonts w:ascii="Times New Roman" w:hAnsi="Times New Roman" w:cs="Times New Roman"/>
          <w:color w:val="000000" w:themeColor="text1"/>
          <w:szCs w:val="24"/>
          <w14:textFill>
            <w14:solidFill>
              <w14:schemeClr w14:val="tx1"/>
            </w14:solidFill>
          </w14:textFill>
        </w:rPr>
        <w:t>………………………</w:t>
      </w:r>
      <w:r>
        <w:rPr>
          <w:rFonts w:ascii="Times New Roman" w:hAnsi="Times New Roman" w:cs="Times New Roman" w:hint="eastAsia"/>
          <w:color w:val="000000" w:themeColor="text1"/>
          <w:szCs w:val="24"/>
          <w14:textFill>
            <w14:solidFill>
              <w14:schemeClr w14:val="tx1"/>
            </w14:solidFill>
          </w14:textFill>
        </w:rPr>
        <w:t>...................................15</w:t>
      </w:r>
    </w:p>
    <w:p>
      <w:pPr>
        <w:pStyle w:val="Heading1"/>
        <w:rPr>
          <w:rFonts w:eastAsia="宋体"/>
          <w:color w:val="000000" w:themeColor="text1"/>
          <w14:textFill>
            <w14:solidFill>
              <w14:schemeClr w14:val="tx1"/>
            </w14:solidFill>
          </w14:textFill>
        </w:rPr>
      </w:pPr>
      <w:bookmarkStart w:id="5" w:name="_Toc15140"/>
      <w:r>
        <w:rPr>
          <w:rFonts w:ascii="Times New Roman" w:hAnsi="Times New Roman" w:cs="Times New Roman"/>
          <w:color w:val="000000" w:themeColor="text1"/>
          <w14:textFill>
            <w14:solidFill>
              <w14:schemeClr w14:val="tx1"/>
            </w14:solidFill>
          </w14:textFill>
        </w:rPr>
        <w:t>一</w:t>
      </w:r>
      <w:r>
        <w:rPr>
          <w:rFonts w:ascii="Times New Roman" w:hAnsi="Times New Roman" w:cs="Times New Roman" w:hint="eastAsia"/>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绪论</w:t>
      </w:r>
      <w:bookmarkEnd w:id="4"/>
      <w:bookmarkEnd w:id="5"/>
    </w:p>
    <w:p>
      <w:pPr>
        <w:pStyle w:val="Heading2"/>
        <w:rPr>
          <w:rFonts w:ascii="宋体" w:eastAsia="宋体" w:hAnsi="宋体" w:cs="宋体"/>
          <w:color w:val="000000" w:themeColor="text1"/>
          <w14:textFill>
            <w14:solidFill>
              <w14:schemeClr w14:val="tx1"/>
            </w14:solidFill>
          </w14:textFill>
        </w:rPr>
      </w:pPr>
      <w:bookmarkStart w:id="6" w:name="_Toc19078"/>
      <w:r>
        <w:rPr>
          <w:rFonts w:ascii="宋体" w:eastAsia="宋体" w:hAnsi="宋体" w:cs="宋体" w:hint="eastAsia"/>
          <w:color w:val="000000" w:themeColor="text1"/>
          <w14:textFill>
            <w14:solidFill>
              <w14:schemeClr w14:val="tx1"/>
            </w14:solidFill>
          </w14:textFill>
        </w:rPr>
        <w:t>（一）研究背景及目的</w:t>
      </w:r>
      <w:bookmarkEnd w:id="6"/>
    </w:p>
    <w:p>
      <w:pPr>
        <w:pStyle w:val="Heading3"/>
        <w:spacing w:before="166" w:after="166"/>
        <w:rPr>
          <w:color w:val="000000" w:themeColor="text1"/>
          <w14:textFill>
            <w14:solidFill>
              <w14:schemeClr w14:val="tx1"/>
            </w14:solidFill>
          </w14:textFill>
        </w:rPr>
      </w:pPr>
      <w:bookmarkStart w:id="7" w:name="_Toc8285"/>
      <w:r>
        <w:rPr>
          <w:color w:val="000000" w:themeColor="text1"/>
          <w14:textFill>
            <w14:solidFill>
              <w14:schemeClr w14:val="tx1"/>
            </w14:solidFill>
          </w14:textFill>
        </w:rPr>
        <w:t>1</w:t>
      </w:r>
      <w:r>
        <w:rPr>
          <w:rFonts w:ascii="宋体" w:hAnsi="宋体" w:hint="eastAsia"/>
          <w:color w:val="000000" w:themeColor="text1"/>
          <w14:textFill>
            <w14:solidFill>
              <w14:schemeClr w14:val="tx1"/>
            </w14:solidFill>
          </w14:textFill>
        </w:rPr>
        <w:t>.研究背景</w:t>
      </w:r>
      <w:bookmarkEnd w:id="7"/>
    </w:p>
    <w:p>
      <w:pPr>
        <w:widowControl/>
        <w:spacing w:line="460" w:lineRule="exact"/>
        <w:ind w:firstLine="480" w:firstLineChars="200"/>
        <w:rPr>
          <w:rFonts w:ascii="宋体" w:hAnsi="宋体" w:cs="宋体" w:hint="default"/>
          <w:color w:val="000000" w:themeColor="text1"/>
          <w:kern w:val="0"/>
          <w:szCs w:val="21"/>
          <w14:textFill>
            <w14:solidFill>
              <w14:schemeClr w14:val="tx1"/>
            </w14:solidFill>
          </w14:textFill>
        </w:rPr>
      </w:pPr>
      <w:r>
        <w:rPr>
          <w:rFonts w:ascii="宋体" w:hAnsi="宋体" w:cs="宋体" w:hint="eastAsia"/>
          <w:color w:val="000000" w:themeColor="text1"/>
          <w:kern w:val="0"/>
          <w:szCs w:val="21"/>
          <w:lang w:val="en-US" w:eastAsia="zh-CN"/>
          <w14:textFill>
            <w14:solidFill>
              <w14:schemeClr w14:val="tx1"/>
            </w14:solidFill>
          </w14:textFill>
        </w:rPr>
        <w:t>进入新世纪以来，国内零售业高速发展，</w:t>
      </w:r>
      <w:r>
        <w:rPr>
          <w:rFonts w:ascii="宋体" w:hAnsi="宋体" w:cs="宋体" w:hint="eastAsia"/>
          <w:color w:val="000000" w:themeColor="text1"/>
          <w:kern w:val="0"/>
          <w:szCs w:val="21"/>
          <w14:textFill>
            <w14:solidFill>
              <w14:schemeClr w14:val="tx1"/>
            </w14:solidFill>
          </w14:textFill>
        </w:rPr>
        <w:t>此外对零售业而言，固定资产是企业资产非常重要的组成部分，是企业生产活动赖以进行的基础，固定资产管理是零售业企业管理重要的内容，固定资产管理效率和效益直接关系到整个企业的竞争力。然而，我国包括零售业在内的企业固定资产管理水平不高，现代化的资产管理技术和手段并未广泛应用，</w:t>
      </w:r>
      <w:r>
        <w:rPr>
          <w:rFonts w:ascii="宋体" w:hAnsi="宋体" w:cs="宋体" w:hint="eastAsia"/>
          <w:color w:val="000000" w:themeColor="text1"/>
          <w:kern w:val="0"/>
          <w:szCs w:val="21"/>
          <w:lang w:val="en-US" w:eastAsia="zh-CN"/>
          <w14:textFill>
            <w14:solidFill>
              <w14:schemeClr w14:val="tx1"/>
            </w14:solidFill>
          </w14:textFill>
        </w:rPr>
        <w:t>不少的</w:t>
      </w:r>
      <w:r>
        <w:rPr>
          <w:rFonts w:ascii="宋体" w:hAnsi="宋体" w:cs="宋体" w:hint="eastAsia"/>
          <w:color w:val="000000" w:themeColor="text1"/>
          <w:kern w:val="0"/>
          <w:szCs w:val="21"/>
          <w14:textFill>
            <w14:solidFill>
              <w14:schemeClr w14:val="tx1"/>
            </w14:solidFill>
          </w14:textFill>
        </w:rPr>
        <w:t>企业</w:t>
      </w:r>
      <w:r>
        <w:rPr>
          <w:rFonts w:ascii="宋体" w:hAnsi="宋体" w:cs="宋体" w:hint="eastAsia"/>
          <w:color w:val="000000" w:themeColor="text1"/>
          <w:kern w:val="0"/>
          <w:szCs w:val="21"/>
          <w:lang w:val="en-US" w:eastAsia="zh-CN"/>
          <w14:textFill>
            <w14:solidFill>
              <w14:schemeClr w14:val="tx1"/>
            </w14:solidFill>
          </w14:textFill>
        </w:rPr>
        <w:t>依然还是用传统资产管理方式来开展相关的管理工作，一方面，这造成了各种资源的浪费，另一方面，不利于企业整体管理水平的进一步提高。所以，我们十分有必要对企业的固定资产管理开展相关的深入研究，找出其中存在的相关突出问题，并提出针对性强的对策来进行有效解决。</w:t>
      </w:r>
    </w:p>
    <w:p>
      <w:pPr>
        <w:widowControl/>
        <w:spacing w:line="460" w:lineRule="exact"/>
        <w:ind w:firstLine="480" w:firstLineChars="200"/>
        <w:rPr>
          <w:rFonts w:ascii="宋体" w:hAnsi="宋体" w:cs="宋体" w:hint="default"/>
          <w:color w:val="000000" w:themeColor="text1"/>
          <w:kern w:val="0"/>
          <w:szCs w:val="21"/>
          <w14:textFill>
            <w14:solidFill>
              <w14:schemeClr w14:val="tx1"/>
            </w14:solidFill>
          </w14:textFill>
        </w:rPr>
      </w:pPr>
      <w:r>
        <w:rPr>
          <w:rFonts w:ascii="宋体" w:hAnsi="宋体" w:cs="宋体" w:hint="eastAsia"/>
          <w:color w:val="000000" w:themeColor="text1"/>
          <w:kern w:val="0"/>
          <w:szCs w:val="21"/>
          <w14:textFill>
            <w14:solidFill>
              <w14:schemeClr w14:val="tx1"/>
            </w14:solidFill>
          </w14:textFill>
        </w:rPr>
        <w:t>银川新华百货商业集团股份有限公司是宁夏零售的龙头企业，</w:t>
      </w:r>
      <w:r>
        <w:rPr>
          <w:rFonts w:ascii="宋体" w:hAnsi="宋体" w:cs="宋体" w:hint="eastAsia"/>
          <w:color w:val="000000" w:themeColor="text1"/>
          <w:kern w:val="0"/>
          <w:szCs w:val="21"/>
          <w:lang w:val="en-US" w:eastAsia="zh-CN"/>
          <w14:textFill>
            <w14:solidFill>
              <w14:schemeClr w14:val="tx1"/>
            </w14:solidFill>
          </w14:textFill>
        </w:rPr>
        <w:t>历经多年</w:t>
      </w:r>
      <w:r>
        <w:rPr>
          <w:rFonts w:ascii="宋体" w:hAnsi="宋体" w:cs="宋体" w:hint="eastAsia"/>
          <w:color w:val="000000" w:themeColor="text1"/>
          <w:kern w:val="0"/>
          <w:szCs w:val="21"/>
          <w14:textFill>
            <w14:solidFill>
              <w14:schemeClr w14:val="tx1"/>
            </w14:solidFill>
          </w14:textFill>
        </w:rPr>
        <w:t>发展，</w:t>
      </w:r>
      <w:r>
        <w:rPr>
          <w:rFonts w:ascii="宋体" w:hAnsi="宋体" w:cs="宋体" w:hint="eastAsia"/>
          <w:color w:val="000000" w:themeColor="text1"/>
          <w:kern w:val="0"/>
          <w:szCs w:val="21"/>
          <w:lang w:val="en-US" w:eastAsia="zh-CN"/>
          <w14:textFill>
            <w14:solidFill>
              <w14:schemeClr w14:val="tx1"/>
            </w14:solidFill>
          </w14:textFill>
        </w:rPr>
        <w:t>当前已进入到了国内</w:t>
      </w:r>
      <w:r>
        <w:rPr>
          <w:rFonts w:ascii="宋体" w:hAnsi="宋体" w:cs="宋体" w:hint="eastAsia"/>
          <w:color w:val="000000" w:themeColor="text1"/>
          <w:kern w:val="0"/>
          <w:szCs w:val="21"/>
          <w14:textFill>
            <w14:solidFill>
              <w14:schemeClr w14:val="tx1"/>
            </w14:solidFill>
          </w14:textFill>
        </w:rPr>
        <w:t>零售</w:t>
      </w:r>
      <w:r>
        <w:rPr>
          <w:rFonts w:ascii="宋体" w:hAnsi="宋体" w:cs="宋体" w:hint="eastAsia"/>
          <w:color w:val="000000" w:themeColor="text1"/>
          <w:kern w:val="0"/>
          <w:szCs w:val="21"/>
          <w:lang w:val="en-US" w:eastAsia="zh-CN"/>
          <w14:textFill>
            <w14:solidFill>
              <w14:schemeClr w14:val="tx1"/>
            </w14:solidFill>
          </w14:textFill>
        </w:rPr>
        <w:t>业</w:t>
      </w:r>
      <w:r>
        <w:rPr>
          <w:rFonts w:ascii="宋体" w:hAnsi="宋体" w:cs="宋体" w:hint="eastAsia"/>
          <w:color w:val="000000" w:themeColor="text1"/>
          <w:kern w:val="0"/>
          <w:szCs w:val="21"/>
          <w14:textFill>
            <w14:solidFill>
              <w14:schemeClr w14:val="tx1"/>
            </w14:solidFill>
          </w14:textFill>
        </w:rPr>
        <w:t>百强。</w:t>
      </w:r>
      <w:r>
        <w:rPr>
          <w:rFonts w:ascii="宋体" w:hAnsi="宋体" w:cs="宋体" w:hint="eastAsia"/>
          <w:color w:val="000000" w:themeColor="text1"/>
          <w:kern w:val="0"/>
          <w:szCs w:val="21"/>
          <w:lang w:val="en-US" w:eastAsia="zh-CN"/>
          <w14:textFill>
            <w14:solidFill>
              <w14:schemeClr w14:val="tx1"/>
            </w14:solidFill>
          </w14:textFill>
        </w:rPr>
        <w:t>由于零售业的相关特性，固定资产的占比非常大，其</w:t>
      </w:r>
      <w:r>
        <w:rPr>
          <w:rFonts w:ascii="宋体" w:hAnsi="宋体" w:cs="宋体" w:hint="eastAsia"/>
          <w:color w:val="000000" w:themeColor="text1"/>
          <w:kern w:val="0"/>
          <w:szCs w:val="21"/>
          <w14:textFill>
            <w14:solidFill>
              <w14:schemeClr w14:val="tx1"/>
            </w14:solidFill>
          </w14:textFill>
        </w:rPr>
        <w:t>是企业核心竞争力的组成部分，拥有先进的机器设备、运输工具的零售企业，就等于拥有较强的生产能力。本文以银川新华百货商业集团股份有限公司（正文中简称新华百货</w:t>
      </w:r>
      <w:r>
        <w:rPr>
          <w:rFonts w:ascii="宋体" w:hAnsi="宋体" w:cs="宋体" w:hint="eastAsia"/>
          <w:color w:val="000000" w:themeColor="text1"/>
          <w:kern w:val="0"/>
          <w:szCs w:val="21"/>
          <w:lang w:val="en-US" w:eastAsia="zh-CN"/>
          <w14:textFill>
            <w14:solidFill>
              <w14:schemeClr w14:val="tx1"/>
            </w14:solidFill>
          </w14:textFill>
        </w:rPr>
        <w:t>或公司</w:t>
      </w:r>
      <w:r>
        <w:rPr>
          <w:rFonts w:ascii="宋体" w:hAnsi="宋体" w:cs="宋体" w:hint="eastAsia"/>
          <w:color w:val="000000" w:themeColor="text1"/>
          <w:kern w:val="0"/>
          <w:szCs w:val="21"/>
          <w14:textFill>
            <w14:solidFill>
              <w14:schemeClr w14:val="tx1"/>
            </w14:solidFill>
          </w14:textFill>
        </w:rPr>
        <w:t>）为研究样本，</w:t>
      </w:r>
      <w:r>
        <w:rPr>
          <w:rFonts w:ascii="宋体" w:hAnsi="宋体" w:cs="宋体" w:hint="eastAsia"/>
          <w:color w:val="000000" w:themeColor="text1"/>
          <w:kern w:val="0"/>
          <w:szCs w:val="21"/>
          <w:lang w:val="en-US" w:eastAsia="zh-CN"/>
          <w14:textFill>
            <w14:solidFill>
              <w14:schemeClr w14:val="tx1"/>
            </w14:solidFill>
          </w14:textFill>
        </w:rPr>
        <w:t>首先介绍了与本文研究相关的多个概念，分析了当前公司固定资产管理的现状，找出了其中存在的相关突出问题，并提出了针对性强的解决对策。</w:t>
      </w:r>
    </w:p>
    <w:p>
      <w:pPr>
        <w:pStyle w:val="Heading3"/>
        <w:spacing w:before="166" w:after="166"/>
        <w:rPr>
          <w:rFonts w:ascii="宋体" w:hAnsi="宋体"/>
          <w:color w:val="000000" w:themeColor="text1"/>
          <w14:textFill>
            <w14:solidFill>
              <w14:schemeClr w14:val="tx1"/>
            </w14:solidFill>
          </w14:textFill>
        </w:rPr>
      </w:pPr>
      <w:bookmarkStart w:id="8" w:name="_Toc10773"/>
      <w:r>
        <w:rPr>
          <w:color w:val="000000" w:themeColor="text1"/>
          <w14:textFill>
            <w14:solidFill>
              <w14:schemeClr w14:val="tx1"/>
            </w14:solidFill>
          </w14:textFill>
        </w:rPr>
        <w:t>2</w:t>
      </w:r>
      <w:r>
        <w:rPr>
          <w:rFonts w:ascii="宋体" w:hAnsi="宋体" w:hint="eastAsia"/>
          <w:color w:val="000000" w:themeColor="text1"/>
          <w14:textFill>
            <w14:solidFill>
              <w14:schemeClr w14:val="tx1"/>
            </w14:solidFill>
          </w14:textFill>
        </w:rPr>
        <w:t>.研究目的</w:t>
      </w:r>
      <w:bookmarkEnd w:id="8"/>
    </w:p>
    <w:p>
      <w:pPr>
        <w:widowControl/>
        <w:spacing w:line="460" w:lineRule="exact"/>
        <w:ind w:firstLine="480" w:firstLineChars="200"/>
        <w:rPr>
          <w:rFonts w:ascii="宋体" w:hAnsi="宋体" w:cs="宋体"/>
          <w:color w:val="000000" w:themeColor="text1"/>
          <w14:textFill>
            <w14:solidFill>
              <w14:schemeClr w14:val="tx1"/>
            </w14:solidFill>
          </w14:textFill>
        </w:rPr>
      </w:pPr>
      <w:r>
        <w:rPr>
          <w:rFonts w:ascii="宋体" w:hAnsi="宋体" w:cs="宋体" w:hint="eastAsia"/>
          <w:color w:val="000000" w:themeColor="text1"/>
          <w:lang w:val="en-US" w:eastAsia="zh-CN"/>
          <w14:textFill>
            <w14:solidFill>
              <w14:schemeClr w14:val="tx1"/>
            </w14:solidFill>
          </w14:textFill>
        </w:rPr>
        <w:t>由于新华百货是宁夏零售业当中的一家非常典型的公司，选取新华百货为研究对象</w:t>
      </w:r>
      <w:r>
        <w:rPr>
          <w:rFonts w:ascii="宋体" w:hAnsi="宋体" w:cs="宋体" w:hint="eastAsia"/>
          <w:color w:val="000000" w:themeColor="text1"/>
          <w14:textFill>
            <w14:solidFill>
              <w14:schemeClr w14:val="tx1"/>
            </w14:solidFill>
          </w14:textFill>
        </w:rPr>
        <w:t>，其研究目的是通过借鉴国内外对固定资产管理发展情况的研究，</w:t>
      </w:r>
      <w:r>
        <w:rPr>
          <w:rFonts w:ascii="宋体" w:hAnsi="宋体" w:cs="宋体" w:hint="eastAsia"/>
          <w:color w:val="000000" w:themeColor="text1"/>
          <w:lang w:val="en-US" w:eastAsia="zh-CN"/>
          <w14:textFill>
            <w14:solidFill>
              <w14:schemeClr w14:val="tx1"/>
            </w14:solidFill>
          </w14:textFill>
        </w:rPr>
        <w:t>基于新华百货的实际情况，认真分析了当前公司固定资产管理的真实现状和当中存在的相关突出问题，</w:t>
      </w:r>
      <w:r>
        <w:rPr>
          <w:rFonts w:ascii="宋体" w:hAnsi="宋体" w:cs="宋体" w:hint="eastAsia"/>
          <w:color w:val="000000" w:themeColor="text1"/>
          <w14:textFill>
            <w14:solidFill>
              <w14:schemeClr w14:val="tx1"/>
            </w14:solidFill>
          </w14:textFill>
        </w:rPr>
        <w:t>从而对银川新华百货商业集团股份有限公司固定资产管理存在的问题提出相对应的对策和建议。</w:t>
      </w:r>
    </w:p>
    <w:p>
      <w:pPr>
        <w:pStyle w:val="Heading2"/>
        <w:rPr>
          <w:rFonts w:ascii="宋体" w:eastAsia="宋体" w:hAnsi="宋体" w:cs="宋体"/>
          <w:color w:val="000000" w:themeColor="text1"/>
          <w14:textFill>
            <w14:solidFill>
              <w14:schemeClr w14:val="tx1"/>
            </w14:solidFill>
          </w14:textFill>
        </w:rPr>
      </w:pPr>
      <w:bookmarkStart w:id="9" w:name="_Toc19005"/>
      <w:bookmarkStart w:id="10" w:name="_Toc26024"/>
      <w:r>
        <w:rPr>
          <w:rFonts w:ascii="宋体" w:eastAsia="宋体" w:hAnsi="宋体" w:cs="宋体" w:hint="eastAsia"/>
          <w:color w:val="000000" w:themeColor="text1"/>
          <w14:textFill>
            <w14:solidFill>
              <w14:schemeClr w14:val="tx1"/>
            </w14:solidFill>
          </w14:textFill>
        </w:rPr>
        <w:t>（二）研究意义</w:t>
      </w:r>
      <w:bookmarkEnd w:id="9"/>
      <w:r>
        <w:rPr>
          <w:rFonts w:ascii="宋体" w:eastAsia="宋体" w:hAnsi="宋体" w:cs="宋体" w:hint="eastAsia"/>
          <w:color w:val="000000" w:themeColor="text1"/>
          <w14:textFill>
            <w14:solidFill>
              <w14:schemeClr w14:val="tx1"/>
            </w14:solidFill>
          </w14:textFill>
        </w:rPr>
        <w:t>及内容</w:t>
      </w:r>
      <w:bookmarkEnd w:id="10"/>
    </w:p>
    <w:p>
      <w:pPr>
        <w:pStyle w:val="Heading3"/>
        <w:spacing w:before="166" w:after="166"/>
        <w:rPr>
          <w:rFonts w:ascii="宋体" w:hAnsi="宋体"/>
          <w:color w:val="000000" w:themeColor="text1"/>
          <w14:textFill>
            <w14:solidFill>
              <w14:schemeClr w14:val="tx1"/>
            </w14:solidFill>
          </w14:textFill>
        </w:rPr>
      </w:pPr>
      <w:bookmarkStart w:id="11" w:name="_Toc31081"/>
      <w:r>
        <w:rPr>
          <w:color w:val="000000" w:themeColor="text1"/>
          <w14:textFill>
            <w14:solidFill>
              <w14:schemeClr w14:val="tx1"/>
            </w14:solidFill>
          </w14:textFill>
        </w:rPr>
        <w:t>1</w:t>
      </w:r>
      <w:r>
        <w:rPr>
          <w:rFonts w:ascii="宋体" w:hAnsi="宋体" w:hint="eastAsia"/>
          <w:color w:val="000000" w:themeColor="text1"/>
          <w14:textFill>
            <w14:solidFill>
              <w14:schemeClr w14:val="tx1"/>
            </w14:solidFill>
          </w14:textFill>
        </w:rPr>
        <w:t>.研究意义</w:t>
      </w:r>
      <w:bookmarkEnd w:id="11"/>
    </w:p>
    <w:p>
      <w:pPr>
        <w:widowControl/>
        <w:spacing w:line="460" w:lineRule="exact"/>
        <w:ind w:firstLine="480" w:firstLineChars="200"/>
        <w:rPr>
          <w:rFonts w:ascii="宋体" w:hAnsi="宋体" w:cs="宋体" w:hint="default"/>
          <w:color w:val="000000" w:themeColor="text1"/>
          <w14:textFill>
            <w14:solidFill>
              <w14:schemeClr w14:val="tx1"/>
            </w14:solidFill>
          </w14:textFill>
        </w:rPr>
        <w:sectPr>
          <w:headerReference w:type="default" r:id="rId16"/>
          <w:footerReference w:type="default" r:id="rId17"/>
          <w:type w:val="continuous"/>
          <w:pgSz w:w="11906" w:h="16838"/>
          <w:pgMar w:top="1417" w:right="1418" w:bottom="1417" w:left="1559" w:header="851" w:footer="992" w:gutter="0"/>
          <w:pgNumType w:start="1"/>
          <w:cols w:num="1" w:space="0"/>
          <w:docGrid w:type="lines" w:linePitch="333" w:charSpace="0"/>
        </w:sectPr>
      </w:pPr>
      <w:r>
        <w:rPr>
          <w:rFonts w:ascii="宋体" w:hAnsi="宋体" w:cs="宋体" w:hint="eastAsia"/>
          <w:color w:val="000000" w:themeColor="text1"/>
          <w:lang w:val="en-US" w:eastAsia="zh-CN"/>
          <w14:textFill>
            <w14:solidFill>
              <w14:schemeClr w14:val="tx1"/>
            </w14:solidFill>
          </w14:textFill>
        </w:rPr>
        <w:t>本文的研究主要有下面这两大意义：</w:t>
      </w:r>
    </w:p>
    <w:p>
      <w:pPr>
        <w:widowControl/>
        <w:spacing w:line="460" w:lineRule="exact"/>
        <w:ind w:firstLine="480" w:firstLineChars="200"/>
        <w:rPr>
          <w:rFonts w:ascii="宋体" w:hAnsi="宋体" w:cs="宋体"/>
          <w:color w:val="000000" w:themeColor="text1"/>
          <w14:textFill>
            <w14:solidFill>
              <w14:schemeClr w14:val="tx1"/>
            </w14:solidFill>
          </w14:textFill>
        </w:rPr>
      </w:pPr>
      <w:r>
        <w:rPr>
          <w:rFonts w:ascii="宋体" w:hAnsi="宋体" w:cs="宋体" w:hint="eastAsia"/>
          <w:color w:val="000000" w:themeColor="text1"/>
          <w14:textFill>
            <w14:solidFill>
              <w14:schemeClr w14:val="tx1"/>
            </w14:solidFill>
          </w14:textFill>
        </w:rPr>
        <w:t>理论意义：</w:t>
      </w:r>
      <w:r>
        <w:rPr>
          <w:rFonts w:ascii="宋体" w:hAnsi="宋体" w:cs="宋体" w:hint="eastAsia"/>
          <w:color w:val="000000" w:themeColor="text1"/>
          <w:lang w:val="en-US" w:eastAsia="zh-CN"/>
          <w14:textFill>
            <w14:solidFill>
              <w14:schemeClr w14:val="tx1"/>
            </w14:solidFill>
          </w14:textFill>
        </w:rPr>
        <w:t>对固定资产管理评价指标进行了进一步的拓展（例如，将固定资产周转率用来综合考量固定资产运营效率）</w:t>
      </w:r>
      <w:r>
        <w:rPr>
          <w:rFonts w:ascii="宋体" w:hAnsi="宋体" w:cs="宋体" w:hint="eastAsia"/>
          <w:color w:val="000000" w:themeColor="text1"/>
          <w14:textFill>
            <w14:solidFill>
              <w14:schemeClr w14:val="tx1"/>
            </w14:solidFill>
          </w14:textFill>
        </w:rPr>
        <w:t>在银川新华百货商业集团股份有限公司固定资产管理问题研究中的运用，这不仅对银川新华百货商业集团股份有限公司研究固定资产管理具有理论意义，也对银川其他零售商场企业研究固定资产管理具有一定的理论借鉴意义。</w:t>
      </w:r>
    </w:p>
    <w:p>
      <w:pPr>
        <w:widowControl/>
        <w:spacing w:line="460" w:lineRule="exact"/>
        <w:ind w:firstLine="480" w:firstLineChars="200"/>
        <w:rPr>
          <w:rFonts w:ascii="宋体" w:hAnsi="宋体" w:cs="宋体" w:hint="default"/>
          <w:color w:val="000000" w:themeColor="text1"/>
          <w14:textFill>
            <w14:solidFill>
              <w14:schemeClr w14:val="tx1"/>
            </w14:solidFill>
          </w14:textFill>
        </w:rPr>
      </w:pPr>
      <w:r>
        <w:rPr>
          <w:rFonts w:ascii="宋体" w:hAnsi="宋体" w:cs="宋体" w:hint="eastAsia"/>
          <w:color w:val="000000" w:themeColor="text1"/>
          <w14:textFill>
            <w14:solidFill>
              <w14:schemeClr w14:val="tx1"/>
            </w14:solidFill>
          </w14:textFill>
        </w:rPr>
        <w:t>现实意义：银川新华百货商业集团股份有限公司是银川市规模较大、经营品种较多、环境设备较优的零售商贸企业，是宁夏省大型零售商场之一。对银川新华百货商业集团股份有限公司进行研究可以对其他同类企业的固定资产管理起到一定的借鉴意义。因此，本人选取了宁夏零售行业的翘楚银川新华百货商业集团股份有限公司为案例公司。本论文运用固定资产管理的</w:t>
      </w:r>
      <w:r>
        <w:rPr>
          <w:rFonts w:ascii="宋体" w:hAnsi="宋体" w:cs="宋体" w:hint="eastAsia"/>
          <w:color w:val="000000" w:themeColor="text1"/>
          <w:lang w:val="en-US" w:eastAsia="zh-CN"/>
          <w14:textFill>
            <w14:solidFill>
              <w14:schemeClr w14:val="tx1"/>
            </w14:solidFill>
          </w14:textFill>
        </w:rPr>
        <w:t>相关</w:t>
      </w:r>
      <w:r>
        <w:rPr>
          <w:rFonts w:ascii="宋体" w:hAnsi="宋体" w:cs="宋体" w:hint="eastAsia"/>
          <w:color w:val="000000" w:themeColor="text1"/>
          <w14:textFill>
            <w14:solidFill>
              <w14:schemeClr w14:val="tx1"/>
            </w14:solidFill>
          </w14:textFill>
        </w:rPr>
        <w:t>理论</w:t>
      </w:r>
      <w:r>
        <w:rPr>
          <w:rFonts w:ascii="宋体" w:hAnsi="宋体" w:cs="宋体" w:hint="eastAsia"/>
          <w:color w:val="000000" w:themeColor="text1"/>
          <w:lang w:eastAsia="zh-CN"/>
          <w14:textFill>
            <w14:solidFill>
              <w14:schemeClr w14:val="tx1"/>
            </w14:solidFill>
          </w14:textFill>
        </w:rPr>
        <w:t>，</w:t>
      </w:r>
      <w:r>
        <w:rPr>
          <w:rFonts w:ascii="宋体" w:hAnsi="宋体" w:cs="宋体" w:hint="eastAsia"/>
          <w:color w:val="000000" w:themeColor="text1"/>
          <w:lang w:val="en-US" w:eastAsia="zh-CN"/>
          <w14:textFill>
            <w14:solidFill>
              <w14:schemeClr w14:val="tx1"/>
            </w14:solidFill>
          </w14:textFill>
        </w:rPr>
        <w:t>同时结合公司当前的实际情况，比较细致的分析了公司固定资产管理当中存在的相关突出问题，</w:t>
      </w:r>
      <w:r>
        <w:rPr>
          <w:rFonts w:ascii="宋体" w:hAnsi="宋体" w:cs="宋体" w:hint="eastAsia"/>
          <w:color w:val="000000" w:themeColor="text1"/>
          <w14:textFill>
            <w14:solidFill>
              <w14:schemeClr w14:val="tx1"/>
            </w14:solidFill>
          </w14:textFill>
        </w:rPr>
        <w:t>并提出行之有效的解决方案，</w:t>
      </w:r>
      <w:r>
        <w:rPr>
          <w:rFonts w:ascii="宋体" w:hAnsi="宋体" w:cs="宋体" w:hint="eastAsia"/>
          <w:color w:val="000000" w:themeColor="text1"/>
          <w:lang w:val="en-US" w:eastAsia="zh-CN"/>
          <w14:textFill>
            <w14:solidFill>
              <w14:schemeClr w14:val="tx1"/>
            </w14:solidFill>
          </w14:textFill>
        </w:rPr>
        <w:t>这有效的减少了各种资源的浪费，使得公司的固定资产管理工作更加的科学和规范，可以为公司各利益相关者提供重要的参考价值。</w:t>
      </w:r>
    </w:p>
    <w:p>
      <w:pPr>
        <w:pStyle w:val="Heading3"/>
        <w:spacing w:before="166" w:after="166"/>
        <w:rPr>
          <w:rFonts w:ascii="宋体" w:hAnsi="宋体"/>
          <w:color w:val="000000" w:themeColor="text1"/>
          <w14:textFill>
            <w14:solidFill>
              <w14:schemeClr w14:val="tx1"/>
            </w14:solidFill>
          </w14:textFill>
        </w:rPr>
      </w:pPr>
      <w:bookmarkStart w:id="12" w:name="_Toc14504"/>
      <w:r>
        <w:rPr>
          <w:rFonts w:hint="eastAsia"/>
          <w:color w:val="000000" w:themeColor="text1"/>
          <w14:textFill>
            <w14:solidFill>
              <w14:schemeClr w14:val="tx1"/>
            </w14:solidFill>
          </w14:textFill>
        </w:rPr>
        <w:t>2</w:t>
      </w:r>
      <w:r>
        <w:rPr>
          <w:rFonts w:ascii="宋体" w:hAnsi="宋体" w:hint="eastAsia"/>
          <w:color w:val="000000" w:themeColor="text1"/>
          <w14:textFill>
            <w14:solidFill>
              <w14:schemeClr w14:val="tx1"/>
            </w14:solidFill>
          </w14:textFill>
        </w:rPr>
        <w:t>.研究内容</w:t>
      </w:r>
      <w:bookmarkEnd w:id="12"/>
    </w:p>
    <w:p>
      <w:pPr>
        <w:widowControl/>
        <w:spacing w:line="460" w:lineRule="exact"/>
        <w:ind w:firstLine="480" w:firstLineChars="200"/>
        <w:rPr>
          <w:rFonts w:ascii="宋体" w:hAnsi="宋体" w:cs="宋体" w:hint="default"/>
          <w:color w:val="000000" w:themeColor="text1"/>
          <w:kern w:val="0"/>
          <w:szCs w:val="21"/>
          <w14:textFill>
            <w14:solidFill>
              <w14:schemeClr w14:val="tx1"/>
            </w14:solidFill>
          </w14:textFill>
        </w:rPr>
      </w:pPr>
      <w:r>
        <w:rPr>
          <w:rFonts w:ascii="宋体" w:hAnsi="宋体" w:cs="宋体" w:hint="eastAsia"/>
          <w:color w:val="000000" w:themeColor="text1"/>
          <w:kern w:val="0"/>
          <w:szCs w:val="21"/>
          <w:lang w:val="en-US" w:eastAsia="zh-CN"/>
          <w14:textFill>
            <w14:solidFill>
              <w14:schemeClr w14:val="tx1"/>
            </w14:solidFill>
          </w14:textFill>
        </w:rPr>
        <w:t>本文针对新华百货当前在固定资产管理方面的相关特性和现状，基于国内外的相关研究成果，对公司的固定资产管理开展了定量与定性分析，从而提出了针对性强的对策，以此来提升公司固定资产管理水平，推动公司的高质量发展。</w:t>
      </w:r>
    </w:p>
    <w:p>
      <w:pPr>
        <w:widowControl/>
        <w:spacing w:line="460" w:lineRule="exact"/>
        <w:ind w:firstLine="480" w:firstLineChars="200"/>
        <w:rPr>
          <w:rFonts w:ascii="宋体" w:hAnsi="宋体" w:cs="宋体"/>
          <w:color w:val="000000" w:themeColor="text1"/>
          <w:kern w:val="0"/>
          <w:szCs w:val="21"/>
          <w14:textFill>
            <w14:solidFill>
              <w14:schemeClr w14:val="tx1"/>
            </w14:solidFill>
          </w14:textFill>
        </w:rPr>
      </w:pPr>
      <w:r>
        <w:rPr>
          <w:rFonts w:hint="eastAsia"/>
          <w:color w:val="000000" w:themeColor="text1"/>
          <w14:textFill>
            <w14:solidFill>
              <w14:schemeClr w14:val="tx1"/>
            </w14:solidFill>
          </w14:textFill>
        </w:rPr>
        <w:t>本文</w:t>
      </w:r>
      <w:r>
        <w:rPr>
          <w:rFonts w:ascii="宋体" w:hAnsi="宋体" w:cs="宋体" w:hint="eastAsia"/>
          <w:color w:val="000000" w:themeColor="text1"/>
          <w:kern w:val="0"/>
          <w:szCs w:val="21"/>
          <w:lang w:val="en-US" w:eastAsia="zh-CN"/>
          <w14:textFill>
            <w14:solidFill>
              <w14:schemeClr w14:val="tx1"/>
            </w14:solidFill>
          </w14:textFill>
        </w:rPr>
        <w:t>主要由6大部分组成：</w:t>
      </w:r>
    </w:p>
    <w:p>
      <w:pPr>
        <w:widowControl/>
        <w:spacing w:line="460" w:lineRule="exact"/>
        <w:ind w:firstLine="480" w:firstLineChars="200"/>
        <w:rPr>
          <w:rFonts w:ascii="宋体" w:hAnsi="宋体" w:cs="宋体" w:hint="default"/>
          <w:color w:val="000000" w:themeColor="text1"/>
          <w:kern w:val="0"/>
          <w:szCs w:val="21"/>
          <w14:textFill>
            <w14:solidFill>
              <w14:schemeClr w14:val="tx1"/>
            </w14:solidFill>
          </w14:textFill>
        </w:rPr>
      </w:pPr>
      <w:r>
        <w:rPr>
          <w:rFonts w:ascii="宋体" w:hAnsi="宋体" w:cs="宋体" w:hint="eastAsia"/>
          <w:color w:val="000000" w:themeColor="text1"/>
          <w:kern w:val="0"/>
          <w:szCs w:val="21"/>
          <w14:textFill>
            <w14:solidFill>
              <w14:schemeClr w14:val="tx1"/>
            </w14:solidFill>
          </w14:textFill>
        </w:rPr>
        <w:t>第一部分：</w:t>
      </w:r>
      <w:r>
        <w:rPr>
          <w:rFonts w:ascii="宋体" w:hAnsi="宋体" w:cs="宋体"/>
          <w:color w:val="000000" w:themeColor="text1"/>
          <w:kern w:val="0"/>
          <w:szCs w:val="21"/>
          <w14:textFill>
            <w14:solidFill>
              <w14:schemeClr w14:val="tx1"/>
            </w14:solidFill>
          </w14:textFill>
        </w:rPr>
        <w:t>绪论部分。</w:t>
      </w:r>
      <w:r>
        <w:rPr>
          <w:rFonts w:ascii="宋体" w:hAnsi="宋体" w:cs="宋体" w:hint="eastAsia"/>
          <w:color w:val="000000" w:themeColor="text1"/>
          <w:kern w:val="0"/>
          <w:szCs w:val="21"/>
          <w:lang w:val="en-US" w:eastAsia="zh-CN"/>
          <w14:textFill>
            <w14:solidFill>
              <w14:schemeClr w14:val="tx1"/>
            </w14:solidFill>
          </w14:textFill>
        </w:rPr>
        <w:t>这部分既介绍了研究的背景与目的，也介绍了研究的内容、意义、方法、创新以及不足。</w:t>
      </w:r>
    </w:p>
    <w:p>
      <w:pPr>
        <w:widowControl/>
        <w:spacing w:line="460" w:lineRule="exact"/>
        <w:ind w:firstLine="480" w:firstLineChars="200"/>
        <w:rPr>
          <w:rFonts w:ascii="宋体" w:hAnsi="宋体" w:cs="宋体"/>
          <w:color w:val="000000" w:themeColor="text1"/>
          <w:kern w:val="0"/>
          <w:szCs w:val="21"/>
          <w14:textFill>
            <w14:solidFill>
              <w14:schemeClr w14:val="tx1"/>
            </w14:solidFill>
          </w14:textFill>
        </w:rPr>
      </w:pPr>
      <w:r>
        <w:rPr>
          <w:rFonts w:ascii="宋体" w:hAnsi="宋体" w:cs="宋体" w:hint="eastAsia"/>
          <w:color w:val="000000" w:themeColor="text1"/>
          <w:kern w:val="0"/>
          <w:szCs w:val="21"/>
          <w14:textFill>
            <w14:solidFill>
              <w14:schemeClr w14:val="tx1"/>
            </w14:solidFill>
          </w14:textFill>
        </w:rPr>
        <w:t>第二</w:t>
      </w:r>
      <w:r>
        <w:rPr>
          <w:rFonts w:ascii="宋体" w:hAnsi="宋体" w:cs="宋体"/>
          <w:color w:val="000000" w:themeColor="text1"/>
          <w:kern w:val="0"/>
          <w:szCs w:val="21"/>
          <w14:textFill>
            <w14:solidFill>
              <w14:schemeClr w14:val="tx1"/>
            </w14:solidFill>
          </w14:textFill>
        </w:rPr>
        <w:t>部分</w:t>
      </w:r>
      <w:r>
        <w:rPr>
          <w:rFonts w:ascii="宋体" w:hAnsi="宋体" w:cs="宋体" w:hint="eastAsia"/>
          <w:color w:val="000000" w:themeColor="text1"/>
          <w:kern w:val="0"/>
          <w:szCs w:val="21"/>
          <w14:textFill>
            <w14:solidFill>
              <w14:schemeClr w14:val="tx1"/>
            </w14:solidFill>
          </w14:textFill>
        </w:rPr>
        <w:t>：</w:t>
      </w:r>
      <w:r>
        <w:rPr>
          <w:rFonts w:ascii="宋体" w:hAnsi="宋体" w:cs="宋体"/>
          <w:color w:val="000000" w:themeColor="text1"/>
          <w:kern w:val="0"/>
          <w:szCs w:val="21"/>
          <w14:textFill>
            <w14:solidFill>
              <w14:schemeClr w14:val="tx1"/>
            </w14:solidFill>
          </w14:textFill>
        </w:rPr>
        <w:t>对国内外研究现状进行介绍</w:t>
      </w:r>
      <w:r>
        <w:rPr>
          <w:rFonts w:ascii="宋体" w:hAnsi="宋体" w:cs="宋体" w:hint="eastAsia"/>
          <w:color w:val="000000" w:themeColor="text1"/>
          <w:kern w:val="0"/>
          <w:szCs w:val="21"/>
          <w14:textFill>
            <w14:solidFill>
              <w14:schemeClr w14:val="tx1"/>
            </w14:solidFill>
          </w14:textFill>
        </w:rPr>
        <w:t>并对银川新华百货商业集团股份有限公司</w:t>
      </w:r>
      <w:r>
        <w:rPr>
          <w:rFonts w:ascii="宋体" w:hAnsi="宋体" w:cs="宋体"/>
          <w:color w:val="000000" w:themeColor="text1"/>
          <w:kern w:val="0"/>
          <w:szCs w:val="21"/>
          <w14:textFill>
            <w14:solidFill>
              <w14:schemeClr w14:val="tx1"/>
            </w14:solidFill>
          </w14:textFill>
        </w:rPr>
        <w:t>固定资产管理</w:t>
      </w:r>
      <w:r>
        <w:rPr>
          <w:rFonts w:ascii="宋体" w:hAnsi="宋体" w:cs="宋体" w:hint="eastAsia"/>
          <w:color w:val="000000" w:themeColor="text1"/>
          <w:kern w:val="0"/>
          <w:szCs w:val="21"/>
          <w14:textFill>
            <w14:solidFill>
              <w14:schemeClr w14:val="tx1"/>
            </w14:solidFill>
          </w14:textFill>
        </w:rPr>
        <w:t>相关概念进行简要说明。</w:t>
      </w:r>
    </w:p>
    <w:p>
      <w:pPr>
        <w:widowControl/>
        <w:spacing w:line="460" w:lineRule="exact"/>
        <w:ind w:firstLine="480" w:firstLineChars="200"/>
        <w:rPr>
          <w:rFonts w:ascii="宋体" w:hAnsi="宋体" w:cs="宋体"/>
          <w:color w:val="000000" w:themeColor="text1"/>
          <w:kern w:val="0"/>
          <w:szCs w:val="21"/>
          <w14:textFill>
            <w14:solidFill>
              <w14:schemeClr w14:val="tx1"/>
            </w14:solidFill>
          </w14:textFill>
        </w:rPr>
      </w:pPr>
      <w:r>
        <w:rPr>
          <w:rFonts w:ascii="宋体" w:hAnsi="宋体" w:cs="宋体" w:hint="eastAsia"/>
          <w:color w:val="000000" w:themeColor="text1"/>
          <w:kern w:val="0"/>
          <w:szCs w:val="21"/>
          <w14:textFill>
            <w14:solidFill>
              <w14:schemeClr w14:val="tx1"/>
            </w14:solidFill>
          </w14:textFill>
        </w:rPr>
        <w:t>第三部分：</w:t>
      </w:r>
      <w:r>
        <w:rPr>
          <w:rFonts w:ascii="宋体" w:hAnsi="宋体" w:cs="宋体" w:hint="eastAsia"/>
          <w:color w:val="000000" w:themeColor="text1"/>
          <w:kern w:val="0"/>
          <w:szCs w:val="21"/>
          <w:lang w:val="en-US" w:eastAsia="zh-CN"/>
          <w14:textFill>
            <w14:solidFill>
              <w14:schemeClr w14:val="tx1"/>
            </w14:solidFill>
          </w14:textFill>
        </w:rPr>
        <w:t>比较详细的介绍了新华百货当前的发展现状和固定资产管理现状，</w:t>
      </w:r>
      <w:r>
        <w:rPr>
          <w:rFonts w:ascii="宋体" w:hAnsi="宋体" w:cs="宋体" w:hint="eastAsia"/>
          <w:color w:val="000000" w:themeColor="text1"/>
          <w:kern w:val="0"/>
          <w:szCs w:val="21"/>
          <w14:textFill>
            <w14:solidFill>
              <w14:schemeClr w14:val="tx1"/>
            </w14:solidFill>
          </w14:textFill>
        </w:rPr>
        <w:t>并对本文财务数据来源进行说明。</w:t>
      </w:r>
    </w:p>
    <w:p>
      <w:pPr>
        <w:widowControl/>
        <w:spacing w:line="460" w:lineRule="exact"/>
        <w:ind w:firstLine="480" w:firstLineChars="200"/>
        <w:rPr>
          <w:rFonts w:ascii="Times New Roman" w:hAnsi="Times New Roman" w:cs="Times New Roman"/>
          <w:color w:val="000000" w:themeColor="text1"/>
          <w14:textFill>
            <w14:solidFill>
              <w14:schemeClr w14:val="tx1"/>
            </w14:solidFill>
          </w14:textFill>
        </w:rPr>
        <w:sectPr>
          <w:headerReference w:type="default" r:id="rId18"/>
          <w:footerReference w:type="default" r:id="rId19"/>
          <w:type w:val="nextPage"/>
          <w:pgSz w:w="11906" w:h="16838"/>
          <w:pgMar w:top="1417" w:right="1418" w:bottom="1417" w:left="1559" w:header="851" w:footer="992" w:gutter="0"/>
          <w:pgNumType w:start="2"/>
          <w:cols w:num="1" w:space="0"/>
          <w:titlePg w:val="0"/>
          <w:docGrid w:type="lines" w:linePitch="333" w:charSpace="0"/>
        </w:sectPr>
      </w:pPr>
      <w:r>
        <w:rPr>
          <w:rFonts w:ascii="宋体" w:hAnsi="宋体" w:cs="宋体" w:hint="eastAsia"/>
          <w:color w:val="000000" w:themeColor="text1"/>
          <w:kern w:val="0"/>
          <w:szCs w:val="21"/>
          <w14:textFill>
            <w14:solidFill>
              <w14:schemeClr w14:val="tx1"/>
            </w14:solidFill>
          </w14:textFill>
        </w:rPr>
        <w:t>第四部分：阐述了银川新华百货商业集团股份有限公司固定资产管理中存在的主要问题，</w:t>
      </w:r>
      <w:r>
        <w:rPr>
          <w:rFonts w:ascii="宋体" w:hAnsi="宋体" w:cs="宋体" w:hint="eastAsia"/>
          <w:color w:val="000000" w:themeColor="text1"/>
          <w:kern w:val="0"/>
          <w:szCs w:val="21"/>
          <w:lang w:val="en-US" w:eastAsia="zh-CN"/>
          <w14:textFill>
            <w14:solidFill>
              <w14:schemeClr w14:val="tx1"/>
            </w14:solidFill>
          </w14:textFill>
        </w:rPr>
        <w:t>对其</w:t>
      </w:r>
      <w:r>
        <w:rPr>
          <w:rFonts w:ascii="宋体" w:hAnsi="宋体" w:cs="宋体" w:hint="eastAsia"/>
          <w:color w:val="000000" w:themeColor="text1"/>
          <w:kern w:val="0"/>
          <w:szCs w:val="21"/>
          <w14:textFill>
            <w14:solidFill>
              <w14:schemeClr w14:val="tx1"/>
            </w14:solidFill>
          </w14:textFill>
        </w:rPr>
        <w:t>其固定资产数据</w:t>
      </w:r>
      <w:r>
        <w:rPr>
          <w:rFonts w:ascii="宋体" w:hAnsi="宋体" w:cs="宋体" w:hint="eastAsia"/>
          <w:color w:val="000000" w:themeColor="text1"/>
          <w:kern w:val="0"/>
          <w:szCs w:val="21"/>
          <w:lang w:val="en-US" w:eastAsia="zh-CN"/>
          <w14:textFill>
            <w14:solidFill>
              <w14:schemeClr w14:val="tx1"/>
            </w14:solidFill>
          </w14:textFill>
        </w:rPr>
        <w:t>开展了定量与定性分析</w:t>
      </w:r>
      <w:r>
        <w:rPr>
          <w:rFonts w:ascii="宋体" w:hAnsi="宋体" w:cs="宋体" w:hint="eastAsia"/>
          <w:color w:val="000000" w:themeColor="text1"/>
          <w:kern w:val="0"/>
          <w:szCs w:val="21"/>
          <w14:textFill>
            <w14:solidFill>
              <w14:schemeClr w14:val="tx1"/>
            </w14:solidFill>
          </w14:textFill>
        </w:rPr>
        <w:t>，对其固定资产存在的问题进行了归纳总结。</w:t>
      </w:r>
      <w:r>
        <w:rPr>
          <w:rFonts w:ascii="Times New Roman" w:hAnsi="Times New Roman" w:cs="Times New Roman" w:hint="eastAsia"/>
          <w:color w:val="000000" w:themeColor="text1"/>
          <w14:textFill>
            <w14:solidFill>
              <w14:schemeClr w14:val="tx1"/>
            </w14:solidFill>
          </w14:textFill>
        </w:rPr>
        <w:t>发现银川新华百货商业集团股份有限公司固定资产管理存在</w:t>
      </w:r>
      <w:r>
        <w:rPr>
          <w:rFonts w:hint="eastAsia"/>
          <w:color w:val="000000" w:themeColor="text1"/>
          <w:szCs w:val="24"/>
          <w14:textFill>
            <w14:solidFill>
              <w14:schemeClr w14:val="tx1"/>
            </w14:solidFill>
          </w14:textFill>
        </w:rPr>
        <w:t>缺乏健全的固定资产管理制度</w:t>
      </w:r>
      <w:r>
        <w:rPr>
          <w:rFonts w:ascii="宋体" w:hAnsi="宋体" w:cs="宋体" w:hint="eastAsia"/>
          <w:color w:val="000000" w:themeColor="text1"/>
          <w:kern w:val="0"/>
          <w:szCs w:val="21"/>
          <w14:textFill>
            <w14:solidFill>
              <w14:schemeClr w14:val="tx1"/>
            </w14:solidFill>
          </w14:textFill>
        </w:rPr>
        <w:t>、固定资产管理理念淡薄、</w:t>
      </w:r>
      <w:r>
        <w:rPr>
          <w:rFonts w:ascii="宋体" w:hAnsi="宋体" w:cs="宋体" w:hint="eastAsia"/>
          <w:color w:val="000000" w:themeColor="text1"/>
          <w14:textFill>
            <w14:solidFill>
              <w14:schemeClr w14:val="tx1"/>
            </w14:solidFill>
          </w14:textFill>
        </w:rPr>
        <w:t>固定资产出现闲置和流失现象、</w:t>
      </w:r>
      <w:r>
        <w:rPr>
          <w:rFonts w:ascii="宋体" w:hAnsi="宋体" w:cs="宋体" w:hint="eastAsia"/>
          <w:color w:val="000000" w:themeColor="text1"/>
          <w:kern w:val="0"/>
          <w:szCs w:val="21"/>
          <w14:textFill>
            <w14:solidFill>
              <w14:schemeClr w14:val="tx1"/>
            </w14:solidFill>
          </w14:textFill>
        </w:rPr>
        <w:t>固定资产账簿设置不健全、</w:t>
      </w:r>
      <w:r>
        <w:rPr>
          <w:rFonts w:ascii="宋体" w:hAnsi="宋体" w:cs="宋体" w:hint="eastAsia"/>
          <w:color w:val="000000" w:themeColor="text1"/>
          <w:szCs w:val="24"/>
          <w14:textFill>
            <w14:solidFill>
              <w14:schemeClr w14:val="tx1"/>
            </w14:solidFill>
          </w14:textFill>
        </w:rPr>
        <w:t>内部监督机制不健全</w:t>
      </w:r>
      <w:r>
        <w:rPr>
          <w:rFonts w:ascii="宋体" w:hAnsi="宋体" w:cs="宋体" w:hint="eastAsia"/>
          <w:color w:val="000000" w:themeColor="text1"/>
          <w:kern w:val="0"/>
          <w:szCs w:val="21"/>
          <w14:textFill>
            <w14:solidFill>
              <w14:schemeClr w14:val="tx1"/>
            </w14:solidFill>
          </w14:textFill>
        </w:rPr>
        <w:t>等</w:t>
      </w:r>
      <w:r>
        <w:rPr>
          <w:rFonts w:ascii="Times New Roman" w:hAnsi="Times New Roman" w:cs="Times New Roman" w:hint="eastAsia"/>
          <w:color w:val="000000" w:themeColor="text1"/>
          <w14:textFill>
            <w14:solidFill>
              <w14:schemeClr w14:val="tx1"/>
            </w14:solidFill>
          </w14:textFill>
        </w:rPr>
        <w:t>问题。</w:t>
      </w:r>
    </w:p>
    <w:p>
      <w:pPr>
        <w:widowControl/>
        <w:spacing w:line="460" w:lineRule="exact"/>
        <w:ind w:firstLine="480" w:firstLineChars="200"/>
        <w:rPr>
          <w:rFonts w:ascii="宋体" w:hAnsi="宋体" w:cs="宋体"/>
          <w:color w:val="000000" w:themeColor="text1"/>
          <w:kern w:val="0"/>
          <w:szCs w:val="21"/>
          <w14:textFill>
            <w14:solidFill>
              <w14:schemeClr w14:val="tx1"/>
            </w14:solidFill>
          </w14:textFill>
        </w:rPr>
      </w:pPr>
      <w:r>
        <w:rPr>
          <w:rFonts w:ascii="宋体" w:hAnsi="宋体" w:cs="宋体" w:hint="eastAsia"/>
          <w:color w:val="000000" w:themeColor="text1"/>
          <w:kern w:val="0"/>
          <w:szCs w:val="21"/>
          <w14:textFill>
            <w14:solidFill>
              <w14:schemeClr w14:val="tx1"/>
            </w14:solidFill>
          </w14:textFill>
        </w:rPr>
        <w:t>第五部分：针对前文总结出的问题，最后，提出制定和完善固定资产管理制度、转变企业经营管理者的思想观念、提高固定资产的利用效率、建立健全企业固定资产账簿管理、建立内部监督机制等对策。</w:t>
      </w:r>
    </w:p>
    <w:p>
      <w:pPr>
        <w:widowControl/>
        <w:spacing w:line="460" w:lineRule="exact"/>
        <w:ind w:firstLine="480" w:firstLineChars="200"/>
        <w:rPr>
          <w:rFonts w:ascii="宋体" w:hAnsi="宋体" w:cs="宋体"/>
          <w:color w:val="000000" w:themeColor="text1"/>
          <w:kern w:val="0"/>
          <w:szCs w:val="21"/>
          <w14:textFill>
            <w14:solidFill>
              <w14:schemeClr w14:val="tx1"/>
            </w14:solidFill>
          </w14:textFill>
        </w:rPr>
      </w:pPr>
      <w:r>
        <w:rPr>
          <w:rFonts w:ascii="宋体" w:hAnsi="宋体" w:cs="宋体" w:hint="eastAsia"/>
          <w:color w:val="000000" w:themeColor="text1"/>
          <w:kern w:val="0"/>
          <w:szCs w:val="21"/>
          <w14:textFill>
            <w14:solidFill>
              <w14:schemeClr w14:val="tx1"/>
            </w14:solidFill>
          </w14:textFill>
        </w:rPr>
        <w:t>第六部分：结论。</w:t>
      </w:r>
      <w:bookmarkStart w:id="13" w:name="_Toc14002"/>
      <w:r>
        <w:rPr>
          <w:rFonts w:ascii="宋体" w:hAnsi="宋体" w:cs="宋体" w:hint="eastAsia"/>
          <w:color w:val="000000" w:themeColor="text1"/>
          <w:kern w:val="0"/>
          <w:szCs w:val="21"/>
          <w:lang w:val="en-US" w:eastAsia="zh-CN"/>
          <w14:textFill>
            <w14:solidFill>
              <w14:schemeClr w14:val="tx1"/>
            </w14:solidFill>
          </w14:textFill>
        </w:rPr>
        <w:t>这部分是整篇文章的一个总结。</w:t>
      </w:r>
    </w:p>
    <w:p>
      <w:pPr>
        <w:pStyle w:val="Heading2"/>
        <w:numPr>
          <w:ilvl w:val="0"/>
          <w:numId w:val="1"/>
        </w:numPr>
        <w:rPr>
          <w:rFonts w:ascii="宋体" w:eastAsia="宋体" w:hAnsi="宋体" w:cs="宋体"/>
          <w:color w:val="000000" w:themeColor="text1"/>
          <w14:textFill>
            <w14:solidFill>
              <w14:schemeClr w14:val="tx1"/>
            </w14:solidFill>
          </w14:textFill>
        </w:rPr>
      </w:pPr>
      <w:bookmarkStart w:id="14" w:name="_Toc24986"/>
      <w:r>
        <w:rPr>
          <w:rFonts w:ascii="宋体" w:eastAsia="宋体" w:hAnsi="宋体" w:cs="宋体" w:hint="eastAsia"/>
          <w:color w:val="000000" w:themeColor="text1"/>
          <w14:textFill>
            <w14:solidFill>
              <w14:schemeClr w14:val="tx1"/>
            </w14:solidFill>
          </w14:textFill>
        </w:rPr>
        <w:t>研究</w:t>
      </w:r>
      <w:bookmarkEnd w:id="13"/>
      <w:r>
        <w:rPr>
          <w:rFonts w:ascii="宋体" w:eastAsia="宋体" w:hAnsi="宋体" w:cs="宋体" w:hint="eastAsia"/>
          <w:color w:val="000000" w:themeColor="text1"/>
          <w14:textFill>
            <w14:solidFill>
              <w14:schemeClr w14:val="tx1"/>
            </w14:solidFill>
          </w14:textFill>
        </w:rPr>
        <w:t>方法及框架</w:t>
      </w:r>
      <w:bookmarkEnd w:id="14"/>
    </w:p>
    <w:p>
      <w:pPr>
        <w:pStyle w:val="Heading3"/>
        <w:spacing w:before="166" w:after="166"/>
        <w:rPr>
          <w:rFonts w:ascii="宋体" w:hAnsi="宋体" w:cs="宋体"/>
          <w:color w:val="000000" w:themeColor="text1"/>
          <w14:textFill>
            <w14:solidFill>
              <w14:schemeClr w14:val="tx1"/>
            </w14:solidFill>
          </w14:textFill>
        </w:rPr>
      </w:pPr>
      <w:bookmarkStart w:id="15" w:name="_Toc22093"/>
      <w:r>
        <w:rPr>
          <w:rFonts w:hint="eastAsia"/>
          <w:color w:val="000000" w:themeColor="text1"/>
          <w14:textFill>
            <w14:solidFill>
              <w14:schemeClr w14:val="tx1"/>
            </w14:solidFill>
          </w14:textFill>
        </w:rPr>
        <w:t>1</w:t>
      </w:r>
      <w:r>
        <w:rPr>
          <w:rFonts w:ascii="宋体" w:hAnsi="宋体" w:hint="eastAsia"/>
          <w:color w:val="000000" w:themeColor="text1"/>
          <w14:textFill>
            <w14:solidFill>
              <w14:schemeClr w14:val="tx1"/>
            </w14:solidFill>
          </w14:textFill>
        </w:rPr>
        <w:t>.</w:t>
      </w:r>
      <w:r>
        <w:rPr>
          <w:rFonts w:ascii="宋体" w:hAnsi="宋体" w:cs="宋体" w:hint="eastAsia"/>
          <w:color w:val="000000" w:themeColor="text1"/>
          <w14:textFill>
            <w14:solidFill>
              <w14:schemeClr w14:val="tx1"/>
            </w14:solidFill>
          </w14:textFill>
        </w:rPr>
        <w:t>研究方法</w:t>
      </w:r>
      <w:bookmarkEnd w:id="15"/>
    </w:p>
    <w:p>
      <w:pPr>
        <w:widowControl/>
        <w:spacing w:line="460" w:lineRule="exact"/>
        <w:ind w:firstLine="480" w:firstLineChars="200"/>
        <w:rPr>
          <w:rFonts w:ascii="宋体" w:hAnsi="宋体" w:cs="宋体"/>
          <w:color w:val="000000" w:themeColor="text1"/>
          <w:kern w:val="0"/>
          <w:szCs w:val="21"/>
          <w14:textFill>
            <w14:solidFill>
              <w14:schemeClr w14:val="tx1"/>
            </w14:solidFill>
          </w14:textFill>
        </w:rPr>
      </w:pPr>
      <w:r>
        <w:rPr>
          <w:rFonts w:ascii="宋体" w:hAnsi="宋体" w:cs="宋体" w:hint="eastAsia"/>
          <w:color w:val="000000" w:themeColor="text1"/>
          <w:kern w:val="0"/>
          <w:szCs w:val="21"/>
          <w:lang w:eastAsia="zh-CN"/>
          <w14:textFill>
            <w14:solidFill>
              <w14:schemeClr w14:val="tx1"/>
            </w14:solidFill>
          </w14:textFill>
        </w:rPr>
        <w:t>（</w:t>
      </w:r>
      <w:r>
        <w:rPr>
          <w:rFonts w:ascii="宋体" w:hAnsi="宋体" w:cs="宋体" w:hint="eastAsia"/>
          <w:color w:val="000000" w:themeColor="text1"/>
          <w:kern w:val="0"/>
          <w:szCs w:val="21"/>
          <w:lang w:val="en-US" w:eastAsia="zh-CN"/>
          <w14:textFill>
            <w14:solidFill>
              <w14:schemeClr w14:val="tx1"/>
            </w14:solidFill>
          </w14:textFill>
        </w:rPr>
        <w:t>1</w:t>
      </w:r>
      <w:r>
        <w:rPr>
          <w:rFonts w:ascii="宋体" w:hAnsi="宋体" w:cs="宋体" w:hint="eastAsia"/>
          <w:color w:val="000000" w:themeColor="text1"/>
          <w:kern w:val="0"/>
          <w:szCs w:val="21"/>
          <w:lang w:eastAsia="zh-CN"/>
          <w14:textFill>
            <w14:solidFill>
              <w14:schemeClr w14:val="tx1"/>
            </w14:solidFill>
          </w14:textFill>
        </w:rPr>
        <w:t>）</w:t>
      </w:r>
      <w:r>
        <w:rPr>
          <w:rFonts w:ascii="宋体" w:hAnsi="宋体" w:cs="宋体" w:hint="eastAsia"/>
          <w:color w:val="000000" w:themeColor="text1"/>
          <w:kern w:val="0"/>
          <w:szCs w:val="21"/>
          <w14:textFill>
            <w14:solidFill>
              <w14:schemeClr w14:val="tx1"/>
            </w14:solidFill>
          </w14:textFill>
        </w:rPr>
        <w:t>文献研究法</w:t>
      </w:r>
      <w:r>
        <w:rPr>
          <w:rFonts w:ascii="宋体" w:hAnsi="宋体" w:cs="宋体" w:hint="eastAsia"/>
          <w:color w:val="000000" w:themeColor="text1"/>
          <w:kern w:val="0"/>
          <w:szCs w:val="21"/>
          <w:lang w:eastAsia="zh-CN"/>
          <w14:textFill>
            <w14:solidFill>
              <w14:schemeClr w14:val="tx1"/>
            </w14:solidFill>
          </w14:textFill>
        </w:rPr>
        <w:t>。</w:t>
      </w:r>
      <w:r>
        <w:rPr>
          <w:rFonts w:ascii="宋体" w:hAnsi="宋体" w:cs="宋体" w:hint="eastAsia"/>
          <w:color w:val="000000" w:themeColor="text1"/>
          <w:kern w:val="0"/>
          <w:szCs w:val="21"/>
          <w:lang w:val="en-US" w:eastAsia="zh-CN"/>
          <w14:textFill>
            <w14:solidFill>
              <w14:schemeClr w14:val="tx1"/>
            </w14:solidFill>
          </w14:textFill>
        </w:rPr>
        <w:t>整理和分析与研究相关的各类文献资料，</w:t>
      </w:r>
      <w:r>
        <w:rPr>
          <w:rFonts w:ascii="宋体" w:hAnsi="宋体" w:cs="宋体" w:hint="eastAsia"/>
          <w:color w:val="000000" w:themeColor="text1"/>
          <w:kern w:val="0"/>
          <w:szCs w:val="21"/>
          <w14:textFill>
            <w14:solidFill>
              <w14:schemeClr w14:val="tx1"/>
            </w14:solidFill>
          </w14:textFill>
        </w:rPr>
        <w:t>从而为本论文研究奠定良好的理论基础。</w:t>
      </w:r>
    </w:p>
    <w:p>
      <w:pPr>
        <w:widowControl/>
        <w:spacing w:line="460" w:lineRule="exact"/>
        <w:ind w:firstLine="480" w:firstLineChars="200"/>
        <w:rPr>
          <w:rFonts w:ascii="宋体" w:hAnsi="宋体" w:cs="宋体"/>
          <w:color w:val="000000" w:themeColor="text1"/>
          <w:kern w:val="0"/>
          <w:szCs w:val="21"/>
          <w14:textFill>
            <w14:solidFill>
              <w14:schemeClr w14:val="tx1"/>
            </w14:solidFill>
          </w14:textFill>
        </w:rPr>
      </w:pPr>
      <w:r>
        <w:rPr>
          <w:rFonts w:ascii="宋体" w:hAnsi="宋体" w:cs="宋体" w:hint="eastAsia"/>
          <w:color w:val="000000" w:themeColor="text1"/>
          <w:kern w:val="0"/>
          <w:szCs w:val="21"/>
          <w:lang w:eastAsia="zh-CN"/>
          <w14:textFill>
            <w14:solidFill>
              <w14:schemeClr w14:val="tx1"/>
            </w14:solidFill>
          </w14:textFill>
        </w:rPr>
        <w:t>（</w:t>
      </w:r>
      <w:r>
        <w:rPr>
          <w:rFonts w:ascii="宋体" w:hAnsi="宋体" w:cs="宋体" w:hint="eastAsia"/>
          <w:color w:val="000000" w:themeColor="text1"/>
          <w:kern w:val="0"/>
          <w:szCs w:val="21"/>
          <w:lang w:val="en-US" w:eastAsia="zh-CN"/>
          <w14:textFill>
            <w14:solidFill>
              <w14:schemeClr w14:val="tx1"/>
            </w14:solidFill>
          </w14:textFill>
        </w:rPr>
        <w:t>2</w:t>
      </w:r>
      <w:r>
        <w:rPr>
          <w:rFonts w:ascii="宋体" w:hAnsi="宋体" w:cs="宋体" w:hint="eastAsia"/>
          <w:color w:val="000000" w:themeColor="text1"/>
          <w:kern w:val="0"/>
          <w:szCs w:val="21"/>
          <w:lang w:eastAsia="zh-CN"/>
          <w14:textFill>
            <w14:solidFill>
              <w14:schemeClr w14:val="tx1"/>
            </w14:solidFill>
          </w14:textFill>
        </w:rPr>
        <w:t>）</w:t>
      </w:r>
      <w:r>
        <w:rPr>
          <w:rFonts w:ascii="宋体" w:hAnsi="宋体" w:cs="宋体" w:hint="eastAsia"/>
          <w:color w:val="000000" w:themeColor="text1"/>
          <w:kern w:val="0"/>
          <w:szCs w:val="21"/>
          <w14:textFill>
            <w14:solidFill>
              <w14:schemeClr w14:val="tx1"/>
            </w14:solidFill>
          </w14:textFill>
        </w:rPr>
        <w:t>定量与定性分析相结合的方法</w:t>
      </w:r>
      <w:r>
        <w:rPr>
          <w:rFonts w:ascii="宋体" w:hAnsi="宋体" w:cs="宋体" w:hint="eastAsia"/>
          <w:color w:val="000000" w:themeColor="text1"/>
          <w:kern w:val="0"/>
          <w:szCs w:val="21"/>
          <w:lang w:eastAsia="zh-CN"/>
          <w14:textFill>
            <w14:solidFill>
              <w14:schemeClr w14:val="tx1"/>
            </w14:solidFill>
          </w14:textFill>
        </w:rPr>
        <w:t>。</w:t>
      </w:r>
      <w:r>
        <w:rPr>
          <w:rFonts w:ascii="宋体" w:hAnsi="宋体" w:cs="宋体" w:hint="eastAsia"/>
          <w:color w:val="000000" w:themeColor="text1"/>
          <w:kern w:val="0"/>
          <w:szCs w:val="21"/>
          <w:lang w:val="en-US" w:eastAsia="zh-CN"/>
          <w14:textFill>
            <w14:solidFill>
              <w14:schemeClr w14:val="tx1"/>
            </w14:solidFill>
          </w14:textFill>
        </w:rPr>
        <w:t>基于定性分析，用定量的数据分析，使得所得结论的科学性更强，更加合理有效。</w:t>
      </w:r>
    </w:p>
    <w:p>
      <w:pPr>
        <w:widowControl/>
        <w:spacing w:line="460" w:lineRule="exact"/>
        <w:ind w:firstLine="480" w:firstLineChars="200"/>
        <w:rPr>
          <w:rFonts w:ascii="宋体" w:hAnsi="宋体" w:cs="宋体"/>
          <w:color w:val="000000" w:themeColor="text1"/>
          <w:kern w:val="0"/>
          <w:szCs w:val="21"/>
          <w14:textFill>
            <w14:solidFill>
              <w14:schemeClr w14:val="tx1"/>
            </w14:solidFill>
          </w14:textFill>
        </w:rPr>
      </w:pPr>
      <w:r>
        <w:rPr>
          <w:rFonts w:ascii="宋体" w:hAnsi="宋体" w:cs="宋体" w:hint="eastAsia"/>
          <w:color w:val="000000" w:themeColor="text1"/>
          <w:kern w:val="0"/>
          <w:szCs w:val="21"/>
          <w:lang w:eastAsia="zh-CN"/>
          <w14:textFill>
            <w14:solidFill>
              <w14:schemeClr w14:val="tx1"/>
            </w14:solidFill>
          </w14:textFill>
        </w:rPr>
        <w:t>（</w:t>
      </w:r>
      <w:r>
        <w:rPr>
          <w:rFonts w:ascii="宋体" w:hAnsi="宋体" w:cs="宋体" w:hint="eastAsia"/>
          <w:color w:val="000000" w:themeColor="text1"/>
          <w:kern w:val="0"/>
          <w:szCs w:val="21"/>
          <w:lang w:val="en-US" w:eastAsia="zh-CN"/>
          <w14:textFill>
            <w14:solidFill>
              <w14:schemeClr w14:val="tx1"/>
            </w14:solidFill>
          </w14:textFill>
        </w:rPr>
        <w:t>3</w:t>
      </w:r>
      <w:r>
        <w:rPr>
          <w:rFonts w:ascii="宋体" w:hAnsi="宋体" w:cs="宋体" w:hint="eastAsia"/>
          <w:color w:val="000000" w:themeColor="text1"/>
          <w:kern w:val="0"/>
          <w:szCs w:val="21"/>
          <w:lang w:eastAsia="zh-CN"/>
          <w14:textFill>
            <w14:solidFill>
              <w14:schemeClr w14:val="tx1"/>
            </w14:solidFill>
          </w14:textFill>
        </w:rPr>
        <w:t>）</w:t>
      </w:r>
      <w:r>
        <w:rPr>
          <w:rFonts w:ascii="宋体" w:hAnsi="宋体" w:cs="宋体" w:hint="eastAsia"/>
          <w:color w:val="000000" w:themeColor="text1"/>
          <w:kern w:val="0"/>
          <w:szCs w:val="21"/>
          <w14:textFill>
            <w14:solidFill>
              <w14:schemeClr w14:val="tx1"/>
            </w14:solidFill>
          </w14:textFill>
        </w:rPr>
        <w:t>案例研究法</w:t>
      </w:r>
      <w:r>
        <w:rPr>
          <w:rFonts w:ascii="宋体" w:hAnsi="宋体" w:cs="宋体" w:hint="eastAsia"/>
          <w:color w:val="000000" w:themeColor="text1"/>
          <w:kern w:val="0"/>
          <w:szCs w:val="21"/>
          <w:lang w:eastAsia="zh-CN"/>
          <w14:textFill>
            <w14:solidFill>
              <w14:schemeClr w14:val="tx1"/>
            </w14:solidFill>
          </w14:textFill>
        </w:rPr>
        <w:t>。</w:t>
      </w:r>
      <w:r>
        <w:rPr>
          <w:rFonts w:ascii="宋体" w:hAnsi="宋体" w:cs="宋体" w:hint="eastAsia"/>
          <w:color w:val="000000" w:themeColor="text1"/>
          <w:kern w:val="0"/>
          <w:szCs w:val="21"/>
          <w:lang w:val="en-US" w:eastAsia="zh-CN"/>
          <w14:textFill>
            <w14:solidFill>
              <w14:schemeClr w14:val="tx1"/>
            </w14:solidFill>
          </w14:textFill>
        </w:rPr>
        <w:t>基于国内外的相关理论成果，同时结合新华百货当前的实际来开展相关的研究，通过真实的案例来发现、分析以及解决问题。</w:t>
      </w:r>
    </w:p>
    <w:p>
      <w:pPr>
        <w:rPr>
          <w:color w:val="000000" w:themeColor="text1"/>
          <w14:textFill>
            <w14:solidFill>
              <w14:schemeClr w14:val="tx1"/>
            </w14:solidFill>
          </w14:textFill>
        </w:rPr>
      </w:pPr>
    </w:p>
    <w:p>
      <w:pPr>
        <w:pStyle w:val="Heading3"/>
        <w:spacing w:before="166" w:after="166"/>
        <w:rPr>
          <w:rFonts w:ascii="宋体" w:hAnsi="宋体"/>
          <w:color w:val="000000" w:themeColor="text1"/>
          <w14:textFill>
            <w14:solidFill>
              <w14:schemeClr w14:val="tx1"/>
            </w14:solidFill>
          </w14:textFill>
        </w:rPr>
        <w:sectPr>
          <w:headerReference w:type="default" r:id="rId20"/>
          <w:footerReference w:type="default" r:id="rId21"/>
          <w:type w:val="nextPage"/>
          <w:pgSz w:w="11906" w:h="16838"/>
          <w:pgMar w:top="1417" w:right="1418" w:bottom="1417" w:left="1559" w:header="851" w:footer="992" w:gutter="0"/>
          <w:pgNumType w:start="3"/>
          <w:cols w:num="1" w:space="0"/>
          <w:titlePg w:val="0"/>
          <w:docGrid w:type="lines" w:linePitch="333" w:charSpace="0"/>
        </w:sectPr>
      </w:pPr>
      <w:bookmarkStart w:id="16" w:name="_Toc28705"/>
      <w:r>
        <w:rPr>
          <w:rFonts w:hint="eastAsia"/>
          <w:color w:val="000000" w:themeColor="text1"/>
          <w14:textFill>
            <w14:solidFill>
              <w14:schemeClr w14:val="tx1"/>
            </w14:solidFill>
          </w14:textFill>
        </w:rPr>
        <w:t>2</w:t>
      </w:r>
      <w:r>
        <w:rPr>
          <w:rFonts w:asciiTheme="minorEastAsia" w:eastAsiaTheme="minorEastAsia" w:hAnsiTheme="minorEastAsia" w:cstheme="minorEastAsia" w:hint="eastAsia"/>
          <w:color w:val="000000" w:themeColor="text1"/>
          <w14:textFill>
            <w14:solidFill>
              <w14:schemeClr w14:val="tx1"/>
            </w14:solidFill>
          </w14:textFill>
        </w:rPr>
        <w:t>.</w:t>
      </w:r>
      <w:r>
        <w:rPr>
          <w:rFonts w:ascii="宋体" w:hAnsi="宋体" w:hint="eastAsia"/>
          <w:color w:val="000000" w:themeColor="text1"/>
          <w14:textFill>
            <w14:solidFill>
              <w14:schemeClr w14:val="tx1"/>
            </w14:solidFill>
          </w14:textFill>
        </w:rPr>
        <w:t>研究框架</w:t>
      </w:r>
      <w:bookmarkEnd w:id="16"/>
    </w:p>
    <w:p>
      <w:pPr>
        <w:pStyle w:val="Heading3"/>
        <w:spacing w:before="166" w:after="166"/>
        <w:rPr>
          <w:color w:val="000000" w:themeColor="text1"/>
          <w14:textFill>
            <w14:solidFill>
              <w14:schemeClr w14:val="tx1"/>
            </w14:solidFill>
          </w14:textFill>
        </w:rPr>
        <w:sectPr>
          <w:headerReference w:type="default" r:id="rId22"/>
          <w:footerReference w:type="default" r:id="rId23"/>
          <w:type w:val="nextPage"/>
          <w:pgSz w:w="11906" w:h="16838"/>
          <w:pgMar w:top="1417" w:right="1418" w:bottom="1417" w:left="1559" w:header="851" w:footer="992" w:gutter="0"/>
          <w:pgNumType w:start="4"/>
          <w:cols w:num="1" w:space="0"/>
          <w:titlePg w:val="0"/>
          <w:docGrid w:type="lines" w:linePitch="333" w:charSpace="0"/>
        </w:sectPr>
      </w:pPr>
      <w:bookmarkStart w:id="17" w:name="_Toc12323"/>
      <w:r>
        <w:rPr>
          <w:color w:val="000000" w:themeColor="text1"/>
          <w14:textFill>
            <w14:solidFill>
              <w14:schemeClr w14:val="tx1"/>
            </w14:solidFill>
          </w14:textFill>
        </w:rPr>
        <w:pict>
          <v:shapetype id="_x0000_t32" coordsize="21600,21600" o:spt="32" o:oned="t" path="m,l21600,21600e" filled="f">
            <v:path arrowok="t" fillok="f" o:connecttype="none"/>
            <o:lock v:ext="edit" shapetype="t"/>
          </v:shapetype>
          <v:shape id="直接箭头连接符 75" o:spid="_x0000_s1025" type="#_x0000_t32" style="width:72.35pt;height:38.5pt;margin-top:566.15pt;margin-left:181.55pt;flip:x y;mso-height-relative:page;mso-width-relative:page;position:absolute;z-index:251670528" coordsize="21600,21600" filled="f">
            <v:stroke endarrow="block"/>
            <v:path arrowok="t"/>
          </v:shape>
        </w:pict>
      </w:r>
      <w:r>
        <w:rPr>
          <w:color w:val="000000" w:themeColor="text1"/>
          <w14:textFill>
            <w14:solidFill>
              <w14:schemeClr w14:val="tx1"/>
            </w14:solidFill>
          </w14:textFill>
        </w:rPr>
        <w:pict>
          <v:rect id="矩形 485" o:spid="_x0000_s1026" style="width:365.2pt;height:156.9pt;margin-top:310.2pt;margin-left:71.55pt;mso-height-relative:page;mso-width-relative:page;position:absolute;v-text-anchor:middle;z-index:251674624" coordsize="21600,21600">
            <v:stroke joinstyle="round" dashstyle="solid"/>
          </v:rect>
        </w:pict>
      </w:r>
      <w:r>
        <w:rPr>
          <w:color w:val="000000" w:themeColor="text1"/>
          <w14:textFill>
            <w14:solidFill>
              <w14:schemeClr w14:val="tx1"/>
            </w14:solidFill>
          </w14:textFill>
        </w:rPr>
        <w:pict>
          <v:roundrect id="自选图形 166" o:spid="_x0000_s1027" style="width:62.55pt;height:77.3pt;margin-top:384.95pt;margin-left:217.65pt;mso-height-relative:page;mso-width-relative:page;position:absolute;v-text-anchor:middle;z-index:251695104" arcsize="10923f" coordsize="21600,21600">
            <v:textbox>
              <w:txbxContent>
                <w:p>
                  <w:pPr>
                    <w:jc w:val="center"/>
                  </w:pPr>
                  <w:r>
                    <w:rPr>
                      <w:rFonts w:ascii="宋体" w:hAnsi="宋体" w:hint="eastAsia"/>
                      <w:sz w:val="21"/>
                      <w:szCs w:val="21"/>
                    </w:rPr>
                    <w:t>固定资产出现闲置和流失现象</w:t>
                  </w:r>
                </w:p>
              </w:txbxContent>
            </v:textbox>
          </v:roundrect>
        </w:pict>
      </w:r>
      <w:r>
        <w:rPr>
          <w:color w:val="000000" w:themeColor="text1"/>
          <w14:textFill>
            <w14:solidFill>
              <w14:schemeClr w14:val="tx1"/>
            </w14:solidFill>
          </w14:textFill>
        </w:rPr>
        <w:pict>
          <v:shapetype id="_x0000_t116" coordsize="21600,21600" o:spt="116" path="m3475,qx,10800,3475,21600l18125,21600qx21600,10800,18125,xe">
            <v:stroke joinstyle="miter"/>
            <v:path gradientshapeok="t" o:connecttype="rect" textboxrect="1018,3163,20582,18437"/>
          </v:shapetype>
          <v:shape id="流程图: 终止 78" o:spid="_x0000_s1028" type="#_x0000_t116" style="width:166.25pt;height:52.3pt;margin-top:604.7pt;margin-left:168.95pt;mso-height-relative:page;mso-width-relative:page;position:absolute;v-text-anchor:middle;z-index:251676672" coordsize="21600,21600">
            <v:stroke joinstyle="round"/>
            <v:textbox>
              <w:txbxContent>
                <w:p>
                  <w:pPr>
                    <w:jc w:val="center"/>
                  </w:pPr>
                  <w:r>
                    <w:rPr>
                      <w:rFonts w:ascii="宋体" w:hAnsi="宋体" w:hint="eastAsia"/>
                      <w:sz w:val="21"/>
                      <w:szCs w:val="21"/>
                    </w:rPr>
                    <w:t>优化银川新华百货商业集团股份有限公司固定资产管理对策</w:t>
                  </w:r>
                </w:p>
                <w:p>
                  <w:pPr>
                    <w:jc w:val="center"/>
                    <w:rPr>
                      <w:b/>
                      <w:bCs/>
                      <w:sz w:val="18"/>
                      <w:szCs w:val="18"/>
                    </w:rPr>
                  </w:pPr>
                </w:p>
              </w:txbxContent>
            </v:textbox>
          </v:shape>
        </w:pict>
      </w:r>
      <w:r>
        <w:rPr>
          <w:color w:val="000000" w:themeColor="text1"/>
          <w14:textFill>
            <w14:solidFill>
              <w14:schemeClr w14:val="tx1"/>
            </w14:solidFill>
          </w14:textFill>
        </w:rPr>
        <w:pict>
          <v:roundrect id="自选图形 167" o:spid="_x0000_s1029" style="width:62.55pt;height:77.3pt;margin-top:386.15pt;margin-left:77.2pt;mso-height-relative:page;mso-width-relative:page;position:absolute;v-text-anchor:middle;z-index:251697152" arcsize="10923f" coordsize="21600,21600">
            <v:textbox>
              <w:txbxContent>
                <w:p>
                  <w:pPr>
                    <w:jc w:val="center"/>
                    <w:rPr>
                      <w:rFonts w:ascii="宋体" w:hAnsi="宋体"/>
                      <w:sz w:val="21"/>
                      <w:szCs w:val="21"/>
                    </w:rPr>
                  </w:pPr>
                  <w:r>
                    <w:rPr>
                      <w:rFonts w:ascii="宋体" w:hAnsi="宋体" w:hint="eastAsia"/>
                      <w:sz w:val="21"/>
                      <w:szCs w:val="21"/>
                    </w:rPr>
                    <w:t>缺乏健全的固定资产管理制度</w:t>
                  </w:r>
                </w:p>
                <w:p/>
              </w:txbxContent>
            </v:textbox>
          </v:roundrect>
        </w:pict>
      </w:r>
      <w:r>
        <w:rPr>
          <w:color w:val="000000" w:themeColor="text1"/>
          <w14:textFill>
            <w14:solidFill>
              <w14:schemeClr w14:val="tx1"/>
            </w14:solidFill>
          </w14:textFill>
        </w:rPr>
        <w:pict>
          <v:roundrect id="自选图形 163" o:spid="_x0000_s1030" style="width:62.55pt;height:77.3pt;margin-top:385.55pt;margin-left:148pt;mso-height-relative:page;mso-width-relative:page;position:absolute;v-text-anchor:middle;z-index:251696128" arcsize="10923f" coordsize="21600,21600">
            <v:textbox>
              <w:txbxContent>
                <w:p>
                  <w:pPr>
                    <w:jc w:val="center"/>
                    <w:rPr>
                      <w:rFonts w:ascii="宋体" w:hAnsi="宋体"/>
                      <w:sz w:val="21"/>
                      <w:szCs w:val="21"/>
                    </w:rPr>
                  </w:pPr>
                  <w:r>
                    <w:rPr>
                      <w:rFonts w:ascii="宋体" w:hAnsi="宋体" w:hint="eastAsia"/>
                      <w:sz w:val="21"/>
                      <w:szCs w:val="21"/>
                    </w:rPr>
                    <w:t>固定资产管理理念淡薄</w:t>
                  </w:r>
                </w:p>
                <w:p/>
              </w:txbxContent>
            </v:textbox>
          </v:roundrect>
        </w:pict>
      </w:r>
      <w:r>
        <w:rPr>
          <w:color w:val="000000" w:themeColor="text1"/>
          <w14:textFill>
            <w14:solidFill>
              <w14:schemeClr w14:val="tx1"/>
            </w14:solidFill>
          </w14:textFill>
        </w:rPr>
        <w:pict>
          <v:roundrect id="圆角矩形 498" o:spid="_x0000_s1031" style="width:180.5pt;height:51.15pt;margin-top:314.55pt;margin-left:158pt;mso-height-relative:page;mso-width-relative:page;position:absolute;v-text-anchor:middle;z-index:251692032" arcsize="10923f" coordsize="21600,21600">
            <v:textbox>
              <w:txbxContent>
                <w:p>
                  <w:pPr>
                    <w:jc w:val="center"/>
                    <w:rPr>
                      <w:rFonts w:ascii="宋体" w:hAnsi="宋体"/>
                      <w:sz w:val="21"/>
                      <w:szCs w:val="21"/>
                    </w:rPr>
                  </w:pPr>
                  <w:r>
                    <w:rPr>
                      <w:rFonts w:ascii="宋体" w:hAnsi="宋体" w:hint="eastAsia"/>
                      <w:sz w:val="21"/>
                      <w:szCs w:val="21"/>
                    </w:rPr>
                    <w:t>银川新华百货商业集团股份有限公司固定资产管理存在的问题</w:t>
                  </w:r>
                </w:p>
                <w:p>
                  <w:pPr>
                    <w:jc w:val="center"/>
                    <w:rPr>
                      <w:b/>
                      <w:bCs/>
                      <w:sz w:val="18"/>
                      <w:szCs w:val="18"/>
                    </w:rPr>
                  </w:pPr>
                </w:p>
              </w:txbxContent>
            </v:textbox>
          </v:roundrect>
        </w:pict>
      </w:r>
      <w:r>
        <w:rPr>
          <w:color w:val="000000" w:themeColor="text1"/>
          <w14:textFill>
            <w14:solidFill>
              <w14:schemeClr w14:val="tx1"/>
            </w14:solidFill>
          </w14:textFill>
        </w:rPr>
        <w:pict>
          <v:shape id="直接箭头连接符 31" o:spid="_x0000_s1032" type="#_x0000_t32" style="width:0.7pt;height:19.25pt;margin-top:365.7pt;margin-left:248.25pt;mso-height-relative:page;mso-width-relative:page;position:absolute;z-index:251677696" coordsize="21600,21600" filled="f">
            <v:stroke endarrow="block"/>
            <v:path arrowok="t"/>
          </v:shape>
        </w:pict>
      </w:r>
      <w:r>
        <w:rPr>
          <w:color w:val="000000" w:themeColor="text1"/>
          <w14:textFill>
            <w14:solidFill>
              <w14:schemeClr w14:val="tx1"/>
            </w14:solidFill>
          </w14:textFill>
        </w:rPr>
        <w:pict>
          <v:roundrect id="自选图形 17" o:spid="_x0000_s1033" style="width:62.55pt;height:77.3pt;margin-top:488.65pt;margin-left:150.2pt;mso-height-relative:page;mso-width-relative:page;position:absolute;v-text-anchor:middle;z-index:251682816" arcsize="10923f" coordsize="21600,21600">
            <v:textbox>
              <w:txbxContent>
                <w:p>
                  <w:pPr>
                    <w:pStyle w:val="Heading2"/>
                    <w:jc w:val="center"/>
                    <w:rPr>
                      <w:rFonts w:ascii="宋体" w:eastAsia="宋体" w:hAnsi="宋体" w:cs="宋体"/>
                      <w:b w:val="0"/>
                      <w:bCs w:val="0"/>
                      <w:sz w:val="21"/>
                      <w:szCs w:val="21"/>
                    </w:rPr>
                  </w:pPr>
                  <w:r>
                    <w:rPr>
                      <w:rFonts w:ascii="宋体" w:eastAsia="宋体" w:hAnsi="宋体" w:cs="宋体" w:hint="eastAsia"/>
                      <w:b w:val="0"/>
                      <w:bCs w:val="0"/>
                      <w:sz w:val="21"/>
                      <w:szCs w:val="21"/>
                    </w:rPr>
                    <w:t>转变企业经营管理者的思想观念</w:t>
                  </w:r>
                </w:p>
                <w:p/>
              </w:txbxContent>
            </v:textbox>
          </v:roundrect>
        </w:pict>
      </w:r>
      <w:r>
        <w:rPr>
          <w:color w:val="000000" w:themeColor="text1"/>
          <w14:textFill>
            <w14:solidFill>
              <w14:schemeClr w14:val="tx1"/>
            </w14:solidFill>
          </w14:textFill>
        </w:rPr>
        <w:pict>
          <v:roundrect id="自选图形 18" o:spid="_x0000_s1034" style="width:62.55pt;height:77.3pt;margin-top:489.15pt;margin-left:220.8pt;mso-height-relative:page;mso-width-relative:page;position:absolute;v-text-anchor:middle;z-index:251681792" arcsize="10923f" coordsize="21600,21600">
            <v:textbox>
              <w:txbxContent>
                <w:p>
                  <w:pPr>
                    <w:pStyle w:val="Heading2"/>
                    <w:jc w:val="center"/>
                    <w:rPr>
                      <w:rFonts w:ascii="宋体" w:eastAsia="宋体" w:hAnsi="宋体" w:cs="宋体"/>
                      <w:b w:val="0"/>
                      <w:bCs w:val="0"/>
                      <w:sz w:val="21"/>
                      <w:szCs w:val="21"/>
                    </w:rPr>
                  </w:pPr>
                  <w:r>
                    <w:rPr>
                      <w:rFonts w:ascii="宋体" w:eastAsia="宋体" w:hAnsi="宋体" w:cs="宋体" w:hint="eastAsia"/>
                      <w:b w:val="0"/>
                      <w:bCs w:val="0"/>
                      <w:sz w:val="21"/>
                      <w:szCs w:val="21"/>
                    </w:rPr>
                    <w:t>提高固定资产的利用效率</w:t>
                  </w:r>
                </w:p>
                <w:p>
                  <w:pPr>
                    <w:jc w:val="center"/>
                  </w:pPr>
                </w:p>
              </w:txbxContent>
            </v:textbox>
          </v:roundrect>
        </w:pict>
      </w:r>
      <w:r>
        <w:rPr>
          <w:color w:val="000000" w:themeColor="text1"/>
          <w14:textFill>
            <w14:solidFill>
              <w14:schemeClr w14:val="tx1"/>
            </w14:solidFill>
          </w14:textFill>
        </w:rPr>
        <w:pict>
          <v:roundrect id="圆角矩形 22" o:spid="_x0000_s1035" style="width:62.55pt;height:77.3pt;margin-top:489.1pt;margin-left:293.35pt;mso-height-relative:page;mso-width-relative:page;position:absolute;v-text-anchor:middle;z-index:251680768" arcsize="10923f" coordsize="21600,21600">
            <v:textbox>
              <w:txbxContent>
                <w:p>
                  <w:pPr>
                    <w:pStyle w:val="Heading2"/>
                    <w:jc w:val="center"/>
                    <w:rPr>
                      <w:rFonts w:ascii="宋体" w:eastAsia="宋体" w:hAnsi="宋体" w:cs="宋体"/>
                      <w:b w:val="0"/>
                      <w:bCs w:val="0"/>
                      <w:sz w:val="21"/>
                      <w:szCs w:val="21"/>
                    </w:rPr>
                  </w:pPr>
                  <w:r>
                    <w:rPr>
                      <w:rFonts w:ascii="宋体" w:eastAsia="宋体" w:hAnsi="宋体" w:cs="宋体" w:hint="eastAsia"/>
                      <w:b w:val="0"/>
                      <w:bCs w:val="0"/>
                      <w:sz w:val="21"/>
                      <w:szCs w:val="21"/>
                    </w:rPr>
                    <w:t>建立健全的企业固定资产账簿管理</w:t>
                  </w:r>
                </w:p>
                <w:p/>
              </w:txbxContent>
            </v:textbox>
          </v:roundrect>
        </w:pict>
      </w:r>
      <w:r>
        <w:rPr>
          <w:color w:val="000000" w:themeColor="text1"/>
          <w14:textFill>
            <w14:solidFill>
              <w14:schemeClr w14:val="tx1"/>
            </w14:solidFill>
          </w14:textFill>
        </w:rPr>
        <w:pict>
          <v:roundrect id="自选图形 159" o:spid="_x0000_s1036" style="width:62.55pt;height:77.3pt;margin-top:488.6pt;margin-left:362.6pt;mso-height-relative:page;mso-width-relative:page;position:absolute;v-text-anchor:middle;z-index:251684864" arcsize="10923f" coordsize="21600,21600">
            <v:textbox>
              <w:txbxContent>
                <w:p>
                  <w:pPr>
                    <w:pStyle w:val="Heading2"/>
                    <w:jc w:val="center"/>
                    <w:rPr>
                      <w:rFonts w:ascii="宋体" w:eastAsia="宋体" w:hAnsi="宋体" w:cs="宋体"/>
                      <w:b w:val="0"/>
                      <w:bCs w:val="0"/>
                      <w:sz w:val="21"/>
                      <w:szCs w:val="21"/>
                    </w:rPr>
                  </w:pPr>
                  <w:r>
                    <w:rPr>
                      <w:rFonts w:ascii="宋体" w:eastAsia="宋体" w:hAnsi="宋体" w:cs="宋体" w:hint="eastAsia"/>
                      <w:b w:val="0"/>
                      <w:bCs w:val="0"/>
                      <w:sz w:val="21"/>
                      <w:szCs w:val="21"/>
                    </w:rPr>
                    <w:t>建立内部监督机制</w:t>
                  </w:r>
                </w:p>
                <w:p/>
              </w:txbxContent>
            </v:textbox>
          </v:roundrect>
        </w:pict>
      </w:r>
      <w:r>
        <w:rPr>
          <w:color w:val="000000" w:themeColor="text1"/>
          <w14:textFill>
            <w14:solidFill>
              <w14:schemeClr w14:val="tx1"/>
            </w14:solidFill>
          </w14:textFill>
        </w:rPr>
        <w:pict>
          <v:rect id="矩形 30" o:spid="_x0000_s1037" style="width:362.85pt;height:107.05pt;margin-top:484.45pt;margin-left:70.65pt;mso-height-relative:page;mso-width-relative:page;position:absolute;v-text-anchor:middle;z-index:251672576" coordsize="21600,21600" filled="f">
            <v:stroke joinstyle="round" dashstyle="solid"/>
          </v:rect>
        </w:pict>
      </w:r>
      <w:r>
        <w:rPr>
          <w:color w:val="000000" w:themeColor="text1"/>
          <w14:textFill>
            <w14:solidFill>
              <w14:schemeClr w14:val="tx1"/>
            </w14:solidFill>
          </w14:textFill>
        </w:rPr>
        <w:pict>
          <v:rect id="矩形 131" o:spid="_x0000_s1038" style="width:367pt;height:92.4pt;margin-top:201.65pt;margin-left:67.9pt;mso-height-relative:page;mso-width-relative:page;position:absolute;v-text-anchor:middle;z-index:251708416" coordsize="21600,21600" filled="f">
            <v:stroke joinstyle="round" dashstyle="solid"/>
          </v:rect>
        </w:pict>
      </w:r>
      <w:r>
        <w:rPr>
          <w:color w:val="000000" w:themeColor="text1"/>
          <w14:textFill>
            <w14:solidFill>
              <w14:schemeClr w14:val="tx1"/>
            </w14:solidFill>
          </w14:textFill>
        </w:rPr>
        <w:pict>
          <v:rect id="矩形 313" o:spid="_x0000_s1039" style="width:360.2pt;height:63.35pt;margin-top:129.75pt;margin-left:73.5pt;mso-height-relative:page;mso-width-relative:page;position:absolute;v-text-anchor:middle;z-index:251709440" coordsize="21600,21600" filled="f">
            <v:stroke dashstyle="dash"/>
            <v:textbox>
              <w:txbxContent>
                <w:p>
                  <w:pPr>
                    <w:jc w:val="center"/>
                  </w:pPr>
                </w:p>
              </w:txbxContent>
            </v:textbox>
          </v:rect>
        </w:pict>
      </w:r>
      <w:r>
        <w:rPr>
          <w:color w:val="000000" w:themeColor="text1"/>
          <w14:textFill>
            <w14:solidFill>
              <w14:schemeClr w14:val="tx1"/>
            </w14:solidFill>
          </w14:textFill>
        </w:rPr>
        <w:pict>
          <v:shape id="直接箭头连接符 480" o:spid="_x0000_s1040" type="#_x0000_t32" style="width:15.8pt;height:0;margin-top:41.25pt;margin-left:48.35pt;mso-height-relative:page;mso-width-relative:page;position:absolute;z-index:251667456" coordsize="21600,21600" filled="f">
            <v:stroke endarrow="block"/>
            <v:path arrowok="t"/>
          </v:shape>
        </w:pict>
      </w:r>
      <w:r>
        <w:rPr>
          <w:color w:val="000000" w:themeColor="text1"/>
          <w14:textFill>
            <w14:solidFill>
              <w14:schemeClr w14:val="tx1"/>
            </w14:solidFill>
          </w14:textFill>
        </w:rPr>
        <w:pict>
          <v:group id="组合 60" o:spid="_x0000_s1041" style="width:378.8pt;height:58.1pt;margin-top:8.3pt;margin-left:64.9pt;mso-height-relative:page;mso-width-relative:page;position:absolute;z-index:251668480" coordorigin="3974,155942" coordsize="7576,1162203">
            <v:rect id="矩形 53" o:spid="_x0000_s1042" style="width:7577;height:1163;left:3974;position:absolute;top:155942;v-text-anchor:middle" coordsize="21600,21600">
              <v:stroke dashstyle="dash"/>
              <v:textbox>
                <w:txbxContent>
                  <w:p>
                    <w:pPr>
                      <w:jc w:val="center"/>
                    </w:pPr>
                  </w:p>
                </w:txbxContent>
              </v:textbox>
            </v:rect>
            <v:roundrect id="圆角矩形 54" o:spid="_x0000_s1043" style="width:1325;height:702;left:4089;position:absolute;top:156248;v-text-anchor:middle" arcsize="10923f" coordsize="21600,21600">
              <v:stroke joinstyle="miter"/>
              <v:textbox>
                <w:txbxContent>
                  <w:p>
                    <w:pPr>
                      <w:jc w:val="center"/>
                      <w:rPr>
                        <w:sz w:val="18"/>
                        <w:szCs w:val="18"/>
                      </w:rPr>
                    </w:pPr>
                    <w:r>
                      <w:rPr>
                        <w:rFonts w:hint="eastAsia"/>
                        <w:sz w:val="18"/>
                        <w:szCs w:val="18"/>
                      </w:rPr>
                      <w:t>文献综述</w:t>
                    </w:r>
                  </w:p>
                </w:txbxContent>
              </v:textbox>
            </v:roundrect>
            <v:rect id="矩形 57" o:spid="_x0000_s1044" style="width:3730;height:888;left:5785;position:absolute;top:156096;v-text-anchor:middle" coordsize="21600,21600">
              <v:stroke joinstyle="round"/>
              <v:textbox>
                <w:txbxContent>
                  <w:p>
                    <w:pPr>
                      <w:jc w:val="center"/>
                      <w:rPr>
                        <w:rFonts w:ascii="宋体" w:hAnsi="宋体"/>
                        <w:color w:val="000000"/>
                        <w:kern w:val="0"/>
                        <w:sz w:val="21"/>
                        <w:szCs w:val="21"/>
                      </w:rPr>
                    </w:pPr>
                    <w:r>
                      <w:rPr>
                        <w:rFonts w:ascii="宋体" w:hAnsi="宋体" w:cs="宋体" w:hint="eastAsia"/>
                        <w:color w:val="000000"/>
                        <w:kern w:val="0"/>
                        <w:sz w:val="21"/>
                        <w:szCs w:val="21"/>
                      </w:rPr>
                      <w:t>银川新华百货商业集团股份有限公司固定资产管理存</w:t>
                    </w:r>
                    <w:r>
                      <w:rPr>
                        <w:rFonts w:ascii="宋体" w:hAnsi="宋体" w:hint="eastAsia"/>
                        <w:color w:val="000000"/>
                        <w:kern w:val="0"/>
                        <w:sz w:val="21"/>
                        <w:szCs w:val="21"/>
                      </w:rPr>
                      <w:t>在的问题及对策研究</w:t>
                    </w:r>
                  </w:p>
                </w:txbxContent>
              </v:textbox>
            </v:rect>
            <v:roundrect id="圆角矩形 58" o:spid="_x0000_s1045" style="width:1325;height:702;left:9873;position:absolute;top:156237;v-text-anchor:middle" arcsize="19652f" coordsize="21600,21600">
              <v:stroke joinstyle="miter"/>
              <v:textbox>
                <w:txbxContent>
                  <w:p>
                    <w:pPr>
                      <w:jc w:val="center"/>
                      <w:rPr>
                        <w:sz w:val="18"/>
                        <w:szCs w:val="18"/>
                      </w:rPr>
                    </w:pPr>
                    <w:r>
                      <w:rPr>
                        <w:rFonts w:hint="eastAsia"/>
                        <w:sz w:val="18"/>
                        <w:szCs w:val="18"/>
                      </w:rPr>
                      <w:t>相关概念</w:t>
                    </w:r>
                  </w:p>
                </w:txbxContent>
              </v:textbox>
            </v:roundrect>
            <v:shape id="直接箭头连接符 59" o:spid="_x0000_s1046" type="#_x0000_t32" style="width:378;height:2;flip:y;left:5417;position:absolute;top:156566" coordsize="21600,21600" filled="f">
              <v:stroke endarrow="block"/>
              <v:path arrowok="t"/>
            </v:shape>
            <v:shape id="直接箭头连接符 61" o:spid="_x0000_s1047" type="#_x0000_t32" style="width:357;height:9;flip:x;left:9499;position:absolute;top:156557" coordsize="21600,21600" filled="f">
              <v:stroke endarrow="block"/>
              <v:path arrowok="t"/>
            </v:shape>
          </v:group>
        </w:pict>
      </w:r>
      <w:r>
        <w:rPr>
          <w:color w:val="000000" w:themeColor="text1"/>
          <w14:textFill>
            <w14:solidFill>
              <w14:schemeClr w14:val="tx1"/>
            </w14:solidFill>
          </w14:textFill>
        </w:rPr>
        <w:pict>
          <v:rect id="矩形 483" o:spid="_x0000_s1048" style="width:380.2pt;height:590.5pt;margin-top:77.95pt;margin-left:62.95pt;mso-height-relative:page;mso-width-relative:page;position:absolute;v-text-anchor:middle;z-index:251669504" coordsize="21600,21600">
            <v:stroke joinstyle="round" dashstyle="dash"/>
          </v:rect>
        </w:pict>
      </w:r>
      <w:r>
        <w:rPr>
          <w:color w:val="000000" w:themeColor="text1"/>
          <w14:textFill>
            <w14:solidFill>
              <w14:schemeClr w14:val="tx1"/>
            </w14:solidFill>
          </w14:textFill>
        </w:rPr>
        <w:pict>
          <v:shape id="自选图形 312" o:spid="_x0000_s1049" type="#_x0000_t32" style="width:142.3pt;height:39.2pt;margin-top:565.5pt;margin-left:109.8pt;flip:x y;mso-height-relative:page;mso-width-relative:page;position:absolute;z-index:251715584" coordsize="21600,21600" filled="f">
            <v:stroke endarrow="block"/>
            <v:path arrowok="t"/>
          </v:shape>
        </w:pict>
      </w:r>
      <w:r>
        <w:rPr>
          <w:color w:val="000000" w:themeColor="text1"/>
          <w14:textFill>
            <w14:solidFill>
              <w14:schemeClr w14:val="tx1"/>
            </w14:solidFill>
          </w14:textFill>
        </w:rPr>
        <w:pict>
          <v:shape id="自选图形 310" o:spid="_x0000_s1050" type="#_x0000_t32" style="width:72.45pt;height:20.35pt;margin-top:365.7pt;margin-left:248.25pt;mso-height-relative:page;mso-width-relative:page;position:absolute;z-index:251714560" coordsize="21600,21600" filled="f">
            <v:stroke endarrow="block"/>
            <v:path arrowok="t"/>
          </v:shape>
        </w:pict>
      </w:r>
      <w:r>
        <w:rPr>
          <w:color w:val="000000" w:themeColor="text1"/>
          <w14:textFill>
            <w14:solidFill>
              <w14:schemeClr w14:val="tx1"/>
            </w14:solidFill>
          </w14:textFill>
        </w:rPr>
        <w:pict>
          <v:roundrect id="自选图形 133" o:spid="_x0000_s1051" style="width:149.35pt;height:47.7pt;margin-top:138.7pt;margin-left:88.55pt;mso-height-relative:page;mso-width-relative:page;position:absolute;v-text-anchor:middle;z-index:251707392" arcsize="10923f" coordsize="21600,21600">
            <v:textbox>
              <w:txbxContent>
                <w:p>
                  <w:pPr>
                    <w:rPr>
                      <w:rFonts w:ascii="宋体" w:hAnsi="宋体" w:cs="宋体"/>
                      <w:sz w:val="21"/>
                      <w:szCs w:val="21"/>
                    </w:rPr>
                  </w:pPr>
                  <w:r>
                    <w:rPr>
                      <w:rFonts w:ascii="宋体" w:hAnsi="宋体" w:cs="宋体" w:hint="eastAsia"/>
                      <w:sz w:val="21"/>
                      <w:szCs w:val="21"/>
                    </w:rPr>
                    <w:t>银川新华百货商业集团股份有限公司发展现状</w:t>
                  </w:r>
                </w:p>
                <w:p>
                  <w:pPr>
                    <w:rPr>
                      <w:sz w:val="18"/>
                      <w:szCs w:val="18"/>
                    </w:rPr>
                  </w:pPr>
                </w:p>
              </w:txbxContent>
            </v:textbox>
          </v:roundrect>
        </w:pict>
      </w:r>
      <w:r>
        <w:rPr>
          <w:color w:val="000000" w:themeColor="text1"/>
          <w14:textFill>
            <w14:solidFill>
              <w14:schemeClr w14:val="tx1"/>
            </w14:solidFill>
          </w14:textFill>
        </w:rPr>
        <w:pict>
          <v:shape id="自选图形 309" o:spid="_x0000_s1052" type="#_x0000_t32" style="width:69.25pt;height:23.4pt;margin-top:187pt;margin-left:104.35pt;flip:x;mso-height-relative:page;mso-width-relative:page;position:absolute;z-index:251713536" coordsize="21600,21600" filled="f">
            <v:stroke endarrow="block"/>
            <v:path arrowok="t"/>
          </v:shape>
        </w:pict>
      </w:r>
      <w:r>
        <w:rPr>
          <w:color w:val="000000" w:themeColor="text1"/>
          <w14:textFill>
            <w14:solidFill>
              <w14:schemeClr w14:val="tx1"/>
            </w14:solidFill>
          </w14:textFill>
        </w:rPr>
        <w:pict>
          <v:roundrect id="自选图形 226" o:spid="_x0000_s1053" style="width:62.55pt;height:77.3pt;margin-top:211.9pt;margin-left:368pt;mso-height-relative:page;mso-width-relative:page;position:absolute;v-text-anchor:middle;z-index:251712512" arcsize="10923f" coordsize="21600,21600">
            <v:textbox>
              <w:txbxContent>
                <w:p>
                  <w:pPr>
                    <w:jc w:val="center"/>
                  </w:pPr>
                  <w:r>
                    <w:rPr>
                      <w:rFonts w:ascii="宋体" w:hAnsi="宋体" w:cs="宋体" w:hint="eastAsia"/>
                      <w:sz w:val="21"/>
                      <w:szCs w:val="21"/>
                    </w:rPr>
                    <w:t>评价指标分析</w:t>
                  </w:r>
                </w:p>
              </w:txbxContent>
            </v:textbox>
          </v:roundrect>
        </w:pict>
      </w:r>
      <w:r>
        <w:rPr>
          <w:color w:val="000000" w:themeColor="text1"/>
          <w14:textFill>
            <w14:solidFill>
              <w14:schemeClr w14:val="tx1"/>
            </w14:solidFill>
          </w14:textFill>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自选图形 136" o:spid="_x0000_s1054" type="#_x0000_t67" style="width:12.3pt;height:15pt;margin-top:64.35pt;margin-left:243.7pt;mso-height-relative:page;mso-width-relative:page;position:absolute;v-text-anchor:middle;z-index:251711488" coordsize="21600,21600" adj="13099">
            <v:stroke joinstyle="round"/>
          </v:shape>
        </w:pict>
      </w:r>
      <w:r>
        <w:rPr>
          <w:color w:val="000000" w:themeColor="text1"/>
          <w14:textFill>
            <w14:solidFill>
              <w14:schemeClr w14:val="tx1"/>
            </w14:solidFill>
          </w14:textFill>
        </w:rPr>
        <w:pict>
          <v:shape id="自选图形 135" o:spid="_x0000_s1055" type="#_x0000_t67" style="width:12.3pt;height:15pt;margin-top:468.65pt;margin-left:243.35pt;mso-height-relative:page;mso-width-relative:page;position:absolute;v-text-anchor:middle;z-index:251710464" coordsize="21600,21600" adj="13099">
            <v:stroke joinstyle="round"/>
          </v:shape>
        </w:pict>
      </w:r>
      <w:r>
        <w:rPr>
          <w:color w:val="000000" w:themeColor="text1"/>
          <w14:textFill>
            <w14:solidFill>
              <w14:schemeClr w14:val="tx1"/>
            </w14:solidFill>
          </w14:textFill>
        </w:rPr>
        <w:pict>
          <v:shape id="自选图形 132" o:spid="_x0000_s1056" type="#_x0000_t32" style="width:36.9pt;height:25.8pt;margin-top:186.7pt;margin-left:329.7pt;flip:x;mso-height-relative:page;mso-width-relative:page;position:absolute;z-index:251706368" coordsize="21600,21600" filled="f">
            <v:stroke endarrow="block"/>
            <v:path arrowok="t"/>
          </v:shape>
        </w:pict>
      </w:r>
      <w:r>
        <w:rPr>
          <w:color w:val="000000" w:themeColor="text1"/>
          <w14:textFill>
            <w14:solidFill>
              <w14:schemeClr w14:val="tx1"/>
            </w14:solidFill>
          </w14:textFill>
        </w:rPr>
        <w:pict>
          <v:shape id="自选图形 130" o:spid="_x0000_s1057" type="#_x0000_t32" style="width:34.1pt;height:25.9pt;margin-top:186pt;margin-left:365.2pt;mso-height-relative:page;mso-width-relative:page;position:absolute;z-index:251705344" coordsize="21600,21600" filled="f">
            <v:stroke endarrow="block"/>
            <v:path arrowok="t"/>
          </v:shape>
        </w:pict>
      </w:r>
      <w:r>
        <w:rPr>
          <w:color w:val="000000" w:themeColor="text1"/>
          <w14:textFill>
            <w14:solidFill>
              <w14:schemeClr w14:val="tx1"/>
            </w14:solidFill>
          </w14:textFill>
        </w:rPr>
        <w:pict>
          <v:shape id="自选图形 129" o:spid="_x0000_s1058" type="#_x0000_t32" style="width:0.05pt;height:23.5pt;margin-top:187.35pt;margin-left:171.55pt;flip:x;mso-height-relative:page;mso-width-relative:page;position:absolute;z-index:251704320" coordsize="21600,21600" filled="f">
            <v:stroke endarrow="block"/>
            <v:path arrowok="t"/>
          </v:shape>
        </w:pict>
      </w:r>
      <w:r>
        <w:rPr>
          <w:color w:val="000000" w:themeColor="text1"/>
          <w14:textFill>
            <w14:solidFill>
              <w14:schemeClr w14:val="tx1"/>
            </w14:solidFill>
          </w14:textFill>
        </w:rPr>
        <w:pict>
          <v:roundrect id="自选图形 230" o:spid="_x0000_s1059" style="width:62.55pt;height:77.3pt;margin-top:212.5pt;margin-left:298.4pt;mso-height-relative:page;mso-width-relative:page;position:absolute;v-text-anchor:middle;z-index:251703296" arcsize="10923f" coordsize="21600,21600">
            <v:textbox>
              <w:txbxContent>
                <w:p>
                  <w:pPr>
                    <w:jc w:val="center"/>
                  </w:pPr>
                  <w:r>
                    <w:rPr>
                      <w:rFonts w:ascii="宋体" w:hAnsi="宋体" w:cs="宋体" w:hint="eastAsia"/>
                      <w:sz w:val="21"/>
                      <w:szCs w:val="21"/>
                    </w:rPr>
                    <w:t>固定资产构成</w:t>
                  </w:r>
                </w:p>
              </w:txbxContent>
            </v:textbox>
          </v:roundrect>
        </w:pict>
      </w:r>
      <w:r>
        <w:rPr>
          <w:color w:val="000000" w:themeColor="text1"/>
          <w14:textFill>
            <w14:solidFill>
              <w14:schemeClr w14:val="tx1"/>
            </w14:solidFill>
          </w14:textFill>
        </w:rPr>
        <w:pict>
          <v:roundrect id="自选图形 229" o:spid="_x0000_s1060" style="width:62.55pt;height:77.3pt;margin-top:210.85pt;margin-left:140.25pt;mso-height-relative:page;mso-width-relative:page;position:absolute;v-text-anchor:middle;z-index:251702272" arcsize="10923f" coordsize="21600,21600">
            <v:textbox>
              <w:txbxContent>
                <w:p>
                  <w:pPr>
                    <w:jc w:val="center"/>
                  </w:pPr>
                  <w:r>
                    <w:rPr>
                      <w:rFonts w:ascii="宋体" w:hAnsi="宋体" w:cs="宋体" w:hint="eastAsia"/>
                      <w:sz w:val="21"/>
                      <w:szCs w:val="21"/>
                    </w:rPr>
                    <w:t>发展历程</w:t>
                  </w:r>
                </w:p>
              </w:txbxContent>
            </v:textbox>
          </v:roundrect>
        </w:pict>
      </w:r>
      <w:r>
        <w:rPr>
          <w:color w:val="000000" w:themeColor="text1"/>
          <w14:textFill>
            <w14:solidFill>
              <w14:schemeClr w14:val="tx1"/>
            </w14:solidFill>
          </w14:textFill>
        </w:rPr>
        <w:pict>
          <v:roundrect id="自选图形 228" o:spid="_x0000_s1061" style="width:62.55pt;height:77.3pt;margin-top:211.2pt;margin-left:208.55pt;mso-height-relative:page;mso-width-relative:page;position:absolute;v-text-anchor:middle;z-index:251701248" arcsize="10923f" coordsize="21600,21600">
            <v:textbox>
              <w:txbxContent>
                <w:p>
                  <w:pPr>
                    <w:jc w:val="center"/>
                    <w:rPr>
                      <w:rFonts w:ascii="宋体" w:hAnsi="宋体" w:cs="宋体"/>
                      <w:sz w:val="21"/>
                      <w:szCs w:val="21"/>
                    </w:rPr>
                  </w:pPr>
                  <w:r>
                    <w:rPr>
                      <w:rFonts w:ascii="宋体" w:hAnsi="宋体" w:cs="宋体" w:hint="eastAsia"/>
                      <w:sz w:val="21"/>
                      <w:szCs w:val="21"/>
                    </w:rPr>
                    <w:t>财务分析</w:t>
                  </w:r>
                </w:p>
              </w:txbxContent>
            </v:textbox>
          </v:roundrect>
        </w:pict>
      </w:r>
      <w:r>
        <w:rPr>
          <w:color w:val="000000" w:themeColor="text1"/>
          <w14:textFill>
            <w14:solidFill>
              <w14:schemeClr w14:val="tx1"/>
            </w14:solidFill>
          </w14:textFill>
        </w:rPr>
        <w:pict>
          <v:roundrect id="自选图形 227" o:spid="_x0000_s1062" style="width:62.55pt;height:77.3pt;margin-top:210.4pt;margin-left:73.05pt;mso-height-relative:page;mso-width-relative:page;position:absolute;v-text-anchor:middle;z-index:251700224" arcsize="10923f" coordsize="21600,21600">
            <v:textbox>
              <w:txbxContent>
                <w:p>
                  <w:pPr>
                    <w:jc w:val="center"/>
                    <w:rPr>
                      <w:rFonts w:ascii="宋体" w:hAnsi="宋体" w:cs="宋体"/>
                      <w:b/>
                      <w:bCs/>
                      <w:color w:val="FF0000"/>
                      <w:sz w:val="21"/>
                      <w:szCs w:val="21"/>
                    </w:rPr>
                  </w:pPr>
                  <w:r>
                    <w:rPr>
                      <w:rFonts w:ascii="宋体" w:hAnsi="宋体" w:cs="宋体" w:hint="eastAsia"/>
                      <w:sz w:val="21"/>
                      <w:szCs w:val="21"/>
                    </w:rPr>
                    <w:t>简介</w:t>
                  </w:r>
                </w:p>
              </w:txbxContent>
            </v:textbox>
          </v:roundrect>
        </w:pict>
      </w:r>
      <w:r>
        <w:rPr>
          <w:color w:val="000000" w:themeColor="text1"/>
          <w14:textFill>
            <w14:solidFill>
              <w14:schemeClr w14:val="tx1"/>
            </w14:solidFill>
          </w14:textFill>
        </w:rPr>
        <w:pict>
          <v:shape id="自选图形 169" o:spid="_x0000_s1063" type="#_x0000_t32" style="width:145.5pt;height:19.85pt;margin-top:365.7pt;margin-left:248.25pt;mso-height-relative:page;mso-width-relative:page;position:absolute;z-index:251699200" coordsize="21600,21600" filled="f">
            <v:stroke endarrow="block"/>
            <v:path arrowok="t"/>
          </v:shape>
        </w:pict>
      </w:r>
      <w:r>
        <w:rPr>
          <w:color w:val="000000" w:themeColor="text1"/>
          <w14:textFill>
            <w14:solidFill>
              <w14:schemeClr w14:val="tx1"/>
            </w14:solidFill>
          </w14:textFill>
        </w:rPr>
        <w:pict>
          <v:roundrect id="自选图形 164" o:spid="_x0000_s1064" style="width:62.55pt;height:77.3pt;margin-top:385.55pt;margin-left:362.45pt;mso-height-relative:page;mso-width-relative:page;position:absolute;v-text-anchor:middle;z-index:251698176" arcsize="10923f" coordsize="21600,21600">
            <v:textbox>
              <w:txbxContent>
                <w:p>
                  <w:pPr>
                    <w:jc w:val="center"/>
                  </w:pPr>
                  <w:r>
                    <w:rPr>
                      <w:rFonts w:ascii="宋体" w:hAnsi="宋体" w:hint="eastAsia"/>
                      <w:sz w:val="21"/>
                      <w:szCs w:val="21"/>
                    </w:rPr>
                    <w:t>内部监督机制不健全</w:t>
                  </w:r>
                </w:p>
              </w:txbxContent>
            </v:textbox>
          </v:roundrect>
        </w:pict>
      </w:r>
      <w:r>
        <w:rPr>
          <w:color w:val="000000" w:themeColor="text1"/>
          <w14:textFill>
            <w14:solidFill>
              <w14:schemeClr w14:val="tx1"/>
            </w14:solidFill>
          </w14:textFill>
        </w:rPr>
        <w:pict>
          <v:roundrect id="自选图形 165" o:spid="_x0000_s1065" style="width:62.55pt;height:77.3pt;margin-top:386.05pt;margin-left:289.4pt;mso-height-relative:page;mso-width-relative:page;position:absolute;v-text-anchor:middle;z-index:251694080" arcsize="10923f" coordsize="21600,21600">
            <v:textbox>
              <w:txbxContent>
                <w:p>
                  <w:pPr>
                    <w:jc w:val="center"/>
                    <w:rPr>
                      <w:sz w:val="21"/>
                      <w:szCs w:val="21"/>
                    </w:rPr>
                  </w:pPr>
                  <w:r>
                    <w:rPr>
                      <w:rStyle w:val="Hyperlink"/>
                      <w:rFonts w:ascii="宋体" w:hAnsi="宋体" w:cs="宋体" w:hint="eastAsia"/>
                      <w:color w:val="000000" w:themeColor="text1"/>
                      <w:sz w:val="21"/>
                      <w:szCs w:val="21"/>
                      <w:u w:val="none"/>
                    </w:rPr>
                    <w:t>固定资产账簿设置不健全</w:t>
                  </w:r>
                </w:p>
                <w:p/>
              </w:txbxContent>
            </v:textbox>
          </v:roundrect>
        </w:pict>
      </w:r>
      <w:r>
        <w:rPr>
          <w:color w:val="000000" w:themeColor="text1"/>
          <w14:textFill>
            <w14:solidFill>
              <w14:schemeClr w14:val="tx1"/>
            </w14:solidFill>
          </w14:textFill>
        </w:rPr>
        <w:pict>
          <v:shape id="直接箭头连接符 29" o:spid="_x0000_s1066" type="#_x0000_t32" style="width:68.95pt;height:19.85pt;margin-top:365.7pt;margin-left:179.3pt;flip:x;mso-height-relative:page;mso-width-relative:page;position:absolute;z-index:251693056" coordsize="21600,21600" filled="f">
            <v:stroke endarrow="block"/>
            <v:path arrowok="t"/>
          </v:shape>
        </w:pict>
      </w:r>
      <w:r>
        <w:rPr>
          <w:color w:val="000000" w:themeColor="text1"/>
          <w14:textFill>
            <w14:solidFill>
              <w14:schemeClr w14:val="tx1"/>
            </w14:solidFill>
          </w14:textFill>
        </w:rPr>
        <w:pict>
          <v:shape id="直接箭头连接符 28" o:spid="_x0000_s1067" type="#_x0000_t32" style="width:139.75pt;height:20.45pt;margin-top:365.7pt;margin-left:108.5pt;flip:x;mso-height-relative:page;mso-width-relative:page;position:absolute;z-index:251691008" coordsize="21600,21600" filled="f">
            <v:stroke endarrow="block"/>
            <v:path arrowok="t"/>
          </v:shape>
        </w:pict>
      </w:r>
      <w:r>
        <w:rPr>
          <w:color w:val="000000" w:themeColor="text1"/>
          <w14:textFill>
            <w14:solidFill>
              <w14:schemeClr w14:val="tx1"/>
            </w14:solidFill>
          </w14:textFill>
        </w:rPr>
        <w:pict>
          <v:shape id="自选图形 112" o:spid="_x0000_s1068" type="#_x0000_t32" style="width:68.95pt;height:25.2pt;margin-top:186pt;margin-left:170.9pt;mso-height-relative:page;mso-width-relative:page;position:absolute;z-index:251689984" coordsize="21600,21600" filled="f">
            <v:stroke endarrow="block"/>
            <v:path arrowok="t"/>
          </v:shape>
        </w:pict>
      </w:r>
      <w:r>
        <w:rPr>
          <w:color w:val="000000" w:themeColor="text1"/>
          <w14:textFill>
            <w14:solidFill>
              <w14:schemeClr w14:val="tx1"/>
            </w14:solidFill>
          </w14:textFill>
        </w:rPr>
        <w:pict>
          <v:shape id="直接箭头连接符 87" o:spid="_x0000_s1069" type="#_x0000_t32" style="width:87.9pt;height:11.8pt;margin-top:127.1pt;margin-left:253.25pt;mso-height-relative:page;mso-width-relative:page;position:absolute;z-index:251688960" coordsize="21600,21600" filled="f">
            <v:stroke endarrow="block"/>
            <v:path arrowok="t"/>
          </v:shape>
        </w:pict>
      </w:r>
      <w:r>
        <w:rPr>
          <w:color w:val="000000" w:themeColor="text1"/>
          <w14:textFill>
            <w14:solidFill>
              <w14:schemeClr w14:val="tx1"/>
            </w14:solidFill>
          </w14:textFill>
        </w:rPr>
        <w:pict>
          <v:shape id="直接箭头连接符 500" o:spid="_x0000_s1070" type="#_x0000_t32" style="width:90pt;height:11.6pt;margin-top:127.1pt;margin-left:163.25pt;flip:x;mso-height-relative:page;mso-width-relative:page;position:absolute;z-index:251687936" coordsize="21600,21600" filled="f">
            <v:stroke endarrow="block"/>
            <v:path arrowok="t"/>
          </v:shape>
        </w:pict>
      </w:r>
      <w:r>
        <w:rPr>
          <w:color w:val="000000" w:themeColor="text1"/>
          <w14:textFill>
            <w14:solidFill>
              <w14:schemeClr w14:val="tx1"/>
            </w14:solidFill>
          </w14:textFill>
        </w:rPr>
        <w:pict>
          <v:roundrect id="圆角矩形 484" o:spid="_x0000_s1071" style="width:188.8pt;height:42.65pt;margin-top:84.45pt;margin-left:158.85pt;mso-height-relative:page;mso-width-relative:page;position:absolute;v-text-anchor:middle;z-index:251686912" arcsize="10923f" coordsize="21600,21600">
            <v:textbox>
              <w:txbxContent>
                <w:p>
                  <w:pPr>
                    <w:jc w:val="center"/>
                    <w:rPr>
                      <w:rFonts w:ascii="宋体" w:hAnsi="宋体"/>
                      <w:sz w:val="21"/>
                      <w:szCs w:val="21"/>
                    </w:rPr>
                  </w:pPr>
                  <w:r>
                    <w:rPr>
                      <w:rFonts w:ascii="宋体" w:hAnsi="宋体" w:hint="eastAsia"/>
                      <w:sz w:val="21"/>
                      <w:szCs w:val="21"/>
                    </w:rPr>
                    <w:t>银川新华百货商业集团股份有限公司固定资产管理现状分析</w:t>
                  </w:r>
                </w:p>
              </w:txbxContent>
            </v:textbox>
          </v:roundrect>
        </w:pict>
      </w:r>
      <w:r>
        <w:rPr>
          <w:color w:val="000000" w:themeColor="text1"/>
          <w14:textFill>
            <w14:solidFill>
              <w14:schemeClr w14:val="tx1"/>
            </w14:solidFill>
          </w14:textFill>
        </w:rPr>
        <w:pict>
          <v:roundrect id="圆角矩形 490" o:spid="_x0000_s1072" style="width:149.35pt;height:47.7pt;margin-top:138.9pt;margin-left:266.45pt;mso-height-relative:page;mso-width-relative:page;position:absolute;v-text-anchor:middle;z-index:251685888" arcsize="10923f" coordsize="21600,21600">
            <v:textbox>
              <w:txbxContent>
                <w:p>
                  <w:pPr>
                    <w:rPr>
                      <w:rFonts w:ascii="宋体" w:hAnsi="宋体" w:cs="宋体"/>
                      <w:sz w:val="21"/>
                      <w:szCs w:val="21"/>
                    </w:rPr>
                  </w:pPr>
                  <w:r>
                    <w:rPr>
                      <w:rFonts w:ascii="宋体" w:hAnsi="宋体" w:cs="宋体" w:hint="eastAsia"/>
                      <w:sz w:val="21"/>
                      <w:szCs w:val="21"/>
                    </w:rPr>
                    <w:t>银川新华百货商业集团股份有限公司固定资产管理现状</w:t>
                  </w:r>
                </w:p>
                <w:p>
                  <w:pPr>
                    <w:rPr>
                      <w:sz w:val="18"/>
                      <w:szCs w:val="18"/>
                    </w:rPr>
                  </w:pPr>
                </w:p>
              </w:txbxContent>
            </v:textbox>
          </v:roundrect>
        </w:pict>
      </w:r>
      <w:r>
        <w:rPr>
          <w:color w:val="000000" w:themeColor="text1"/>
          <w14:textFill>
            <w14:solidFill>
              <w14:schemeClr w14:val="tx1"/>
            </w14:solidFill>
          </w14:textFill>
        </w:rPr>
        <w:pict>
          <v:roundrect id="自选图形 25" o:spid="_x0000_s1073" style="width:62.55pt;height:77.3pt;margin-top:488.2pt;margin-left:78.5pt;mso-height-relative:page;mso-width-relative:page;position:absolute;v-text-anchor:middle;z-index:251683840" arcsize="10923f" coordsize="21600,21600">
            <v:textbox>
              <w:txbxContent>
                <w:p>
                  <w:pPr>
                    <w:pStyle w:val="Heading2"/>
                    <w:jc w:val="center"/>
                    <w:rPr>
                      <w:rFonts w:ascii="宋体" w:eastAsia="宋体" w:hAnsi="宋体" w:cs="宋体"/>
                      <w:b w:val="0"/>
                      <w:bCs w:val="0"/>
                      <w:sz w:val="21"/>
                      <w:szCs w:val="21"/>
                    </w:rPr>
                  </w:pPr>
                  <w:r>
                    <w:rPr>
                      <w:rFonts w:ascii="宋体" w:eastAsia="宋体" w:hAnsi="宋体" w:cs="宋体" w:hint="eastAsia"/>
                      <w:b w:val="0"/>
                      <w:bCs w:val="0"/>
                      <w:sz w:val="21"/>
                      <w:szCs w:val="21"/>
                    </w:rPr>
                    <w:t>制定和完善固定资产管理制度</w:t>
                  </w:r>
                </w:p>
                <w:p/>
              </w:txbxContent>
            </v:textbox>
          </v:roundrect>
        </w:pict>
      </w:r>
      <w:r>
        <w:rPr>
          <w:color w:val="000000" w:themeColor="text1"/>
          <w14:textFill>
            <w14:solidFill>
              <w14:schemeClr w14:val="tx1"/>
            </w14:solidFill>
          </w14:textFill>
        </w:rPr>
        <w:pict>
          <v:shape id="自选图形 40" o:spid="_x0000_s1074" type="#_x0000_t67" style="width:12.3pt;height:15pt;margin-top:295.9pt;margin-left:241.45pt;mso-height-relative:page;mso-width-relative:page;position:absolute;v-text-anchor:middle;z-index:251679744" coordsize="21600,21600" adj="13099">
            <v:stroke joinstyle="round"/>
          </v:shape>
        </w:pict>
      </w:r>
      <w:r>
        <w:rPr>
          <w:color w:val="000000" w:themeColor="text1"/>
          <w14:textFill>
            <w14:solidFill>
              <w14:schemeClr w14:val="tx1"/>
            </w14:solidFill>
          </w14:textFill>
        </w:rPr>
        <w:pict>
          <v:shape id="直接箭头连接符 76" o:spid="_x0000_s1075" type="#_x0000_t32" style="width:1.4pt;height:37.35pt;margin-top:566.45pt;margin-left:252.1pt;flip:x y;mso-height-relative:page;mso-width-relative:page;position:absolute;z-index:251678720" coordsize="21600,21600" filled="f">
            <v:stroke endarrow="block"/>
            <v:path arrowok="t"/>
          </v:shape>
        </w:pict>
      </w:r>
      <w:r>
        <w:rPr>
          <w:color w:val="000000" w:themeColor="text1"/>
          <w14:textFill>
            <w14:solidFill>
              <w14:schemeClr w14:val="tx1"/>
            </w14:solidFill>
          </w14:textFill>
        </w:rPr>
        <w:pict>
          <v:rect id="矩形 74" o:spid="_x0000_s1076" style="width:360.2pt;height:66.75pt;margin-top:596.5pt;margin-left:69.95pt;mso-height-relative:page;mso-width-relative:page;position:absolute;v-text-anchor:middle;z-index:251675648" coordsize="21600,21600" filled="f">
            <v:stroke dashstyle="dash"/>
            <v:textbox>
              <w:txbxContent>
                <w:p>
                  <w:pPr>
                    <w:jc w:val="center"/>
                  </w:pPr>
                </w:p>
              </w:txbxContent>
            </v:textbox>
          </v:rect>
        </w:pict>
      </w:r>
      <w:r>
        <w:rPr>
          <w:color w:val="000000" w:themeColor="text1"/>
          <w14:textFill>
            <w14:solidFill>
              <w14:schemeClr w14:val="tx1"/>
            </w14:solidFill>
          </w14:textFill>
        </w:rPr>
        <w:pict>
          <v:shape id="自选图形 168" o:spid="_x0000_s1077" type="#_x0000_t32" style="width:141.8pt;height:38.8pt;margin-top:565.9pt;margin-left:252.1pt;flip:y;mso-height-relative:page;mso-width-relative:page;position:absolute;z-index:251673600" coordsize="21600,21600" filled="f">
            <v:stroke endarrow="block"/>
            <v:path arrowok="t"/>
          </v:shape>
        </w:pict>
      </w:r>
      <w:r>
        <w:rPr>
          <w:color w:val="000000" w:themeColor="text1"/>
          <w14:textFill>
            <w14:solidFill>
              <w14:schemeClr w14:val="tx1"/>
            </w14:solidFill>
          </w14:textFill>
        </w:rPr>
        <w:pict>
          <v:shape id="直接箭头连接符 77" o:spid="_x0000_s1078" type="#_x0000_t32" style="width:72.55pt;height:38.3pt;margin-top:566.4pt;margin-left:252.1pt;flip:y;mso-height-relative:page;mso-width-relative:page;position:absolute;z-index:251671552" coordsize="21600,21600" filled="f">
            <v:stroke endarrow="block"/>
            <v:path arrowok="t"/>
          </v:shape>
        </w:pict>
      </w:r>
      <w:r>
        <w:rPr>
          <w:color w:val="000000" w:themeColor="text1"/>
          <w14:textFill>
            <w14:solidFill>
              <w14:schemeClr w14:val="tx1"/>
            </w14:solidFill>
          </w14:textFill>
        </w:rPr>
        <w:pict>
          <v:shape id="剪去对角的矩形 39" o:spid="_x0000_s1079" style="width:44.95pt;height:45.15pt;margin-top:16.6pt;margin-left:2.5pt;mso-height-relative:page;mso-width-relative:page;position:absolute;v-text-anchor:middle;z-index:251666432" coordsize="1035,918" o:spt="100" adj="-11796480,,5400" path="m,l881,,1035,153,1035,918,1035,918,153,918,,764,,xe">
            <v:stroke joinstyle="round"/>
            <v:path o:connecttype="segments" o:connectlocs="1035,459;517,918;0,459;517,0" o:connectangles="0,82,164,247" textboxrect="0,0,1035,918"/>
            <v:textbox>
              <w:txbxContent>
                <w:p>
                  <w:pPr>
                    <w:jc w:val="center"/>
                    <w:rPr>
                      <w:sz w:val="21"/>
                      <w:szCs w:val="21"/>
                    </w:rPr>
                  </w:pPr>
                  <w:r>
                    <w:rPr>
                      <w:rFonts w:hint="eastAsia"/>
                      <w:sz w:val="21"/>
                      <w:szCs w:val="21"/>
                    </w:rPr>
                    <w:t>理论</w:t>
                  </w:r>
                </w:p>
                <w:p>
                  <w:pPr>
                    <w:jc w:val="center"/>
                    <w:rPr>
                      <w:sz w:val="21"/>
                      <w:szCs w:val="21"/>
                    </w:rPr>
                  </w:pPr>
                  <w:r>
                    <w:rPr>
                      <w:rFonts w:hint="eastAsia"/>
                      <w:sz w:val="21"/>
                      <w:szCs w:val="21"/>
                    </w:rPr>
                    <w:t>基础</w:t>
                  </w:r>
                </w:p>
                <w:p/>
              </w:txbxContent>
            </v:textbox>
          </v:shape>
        </w:pict>
      </w:r>
      <w:r>
        <w:rPr>
          <w:color w:val="000000" w:themeColor="text1"/>
          <w14:textFill>
            <w14:solidFill>
              <w14:schemeClr w14:val="tx1"/>
            </w14:solidFill>
          </w14:textFill>
        </w:rPr>
        <w:pict>
          <v:shape id="剪去对角的矩形 38" o:spid="_x0000_s1080" style="width:44.95pt;height:45.15pt;margin-top:613.05pt;margin-left:4.2pt;mso-height-relative:page;mso-width-relative:page;position:absolute;v-text-anchor:middle;z-index:251665408" coordsize="1035,918" o:spt="100" adj="-11796480,,5400" path="m,l881,,1035,153,1035,918,1035,918,153,918,,764,,xe">
            <v:stroke joinstyle="round"/>
            <v:path o:connecttype="segments" o:connectlocs="1035,459;517,918;0,459;517,0" o:connectangles="0,82,164,247" textboxrect="0,0,1035,918"/>
            <v:textbox>
              <w:txbxContent>
                <w:p>
                  <w:pPr>
                    <w:jc w:val="center"/>
                    <w:rPr>
                      <w:sz w:val="21"/>
                      <w:szCs w:val="21"/>
                    </w:rPr>
                  </w:pPr>
                  <w:r>
                    <w:rPr>
                      <w:rFonts w:hint="eastAsia"/>
                      <w:sz w:val="21"/>
                      <w:szCs w:val="21"/>
                    </w:rPr>
                    <w:t>政策建议</w:t>
                  </w:r>
                </w:p>
                <w:p/>
              </w:txbxContent>
            </v:textbox>
          </v:shape>
        </w:pict>
      </w:r>
      <w:r>
        <w:rPr>
          <w:color w:val="000000" w:themeColor="text1"/>
          <w14:textFill>
            <w14:solidFill>
              <w14:schemeClr w14:val="tx1"/>
            </w14:solidFill>
          </w14:textFill>
        </w:rPr>
        <w:pict>
          <v:shape id="直接箭头连接符 82" o:spid="_x0000_s1081" type="#_x0000_t32" style="width:15.25pt;height:0;margin-top:636.75pt;margin-left:48.45pt;mso-height-relative:page;mso-width-relative:page;position:absolute;z-index:251664384" coordsize="21600,21600" filled="f">
            <v:stroke endarrow="block"/>
            <v:path arrowok="t"/>
          </v:shape>
        </w:pict>
      </w:r>
      <w:r>
        <w:rPr>
          <w:color w:val="000000" w:themeColor="text1"/>
          <w14:textFill>
            <w14:solidFill>
              <w14:schemeClr w14:val="tx1"/>
            </w14:solidFill>
          </w14:textFill>
        </w:rPr>
        <w:pict>
          <v:shape id="直接箭头连接符 64" o:spid="_x0000_s1082" type="#_x0000_t32" style="width:15.25pt;height:0;margin-top:367.25pt;margin-left:47pt;mso-height-relative:page;mso-width-relative:page;position:absolute;z-index:251663360" coordsize="21600,21600" filled="f">
            <v:stroke endarrow="block"/>
            <v:path arrowok="t"/>
          </v:shape>
        </w:pict>
      </w:r>
      <w:r>
        <w:rPr>
          <w:color w:val="000000" w:themeColor="text1"/>
          <w14:textFill>
            <w14:solidFill>
              <w14:schemeClr w14:val="tx1"/>
            </w14:solidFill>
          </w14:textFill>
        </w:rPr>
        <w:pict>
          <v:shape id="剪去对角的矩形 511" o:spid="_x0000_s1083" style="width:44.95pt;height:46.15pt;margin-top:341.6pt;margin-left:1.8pt;mso-height-relative:page;mso-width-relative:page;position:absolute;v-text-anchor:middle;z-index:251662336" coordsize="536252,418756" o:spt="100" adj="-11796480,,5400" path="m,l466457,,536252,69794,536252,418756,536252,418756,69794,418756,,348961,,xe">
            <v:stroke joinstyle="round"/>
            <v:path o:connecttype="segments" o:connectlocs="536252,209378;268126,418756;0,209378;268126,0" o:connectangles="0,82,164,247" textboxrect="0,0,536252,418756"/>
            <v:textbox>
              <w:txbxContent>
                <w:p>
                  <w:pPr>
                    <w:jc w:val="center"/>
                    <w:rPr>
                      <w:sz w:val="21"/>
                      <w:szCs w:val="21"/>
                    </w:rPr>
                  </w:pPr>
                  <w:r>
                    <w:rPr>
                      <w:rFonts w:hint="eastAsia"/>
                      <w:sz w:val="21"/>
                      <w:szCs w:val="21"/>
                    </w:rPr>
                    <w:t>分析</w:t>
                  </w:r>
                </w:p>
                <w:p>
                  <w:pPr>
                    <w:jc w:val="center"/>
                    <w:rPr>
                      <w:sz w:val="21"/>
                      <w:szCs w:val="21"/>
                    </w:rPr>
                  </w:pPr>
                  <w:r>
                    <w:rPr>
                      <w:rFonts w:hint="eastAsia"/>
                      <w:sz w:val="21"/>
                      <w:szCs w:val="21"/>
                    </w:rPr>
                    <w:t>过程</w:t>
                  </w:r>
                </w:p>
              </w:txbxContent>
            </v:textbox>
          </v:shape>
        </w:pict>
      </w:r>
      <w:r>
        <w:rPr>
          <w:color w:val="000000" w:themeColor="text1"/>
          <w14:textFill>
            <w14:solidFill>
              <w14:schemeClr w14:val="tx1"/>
            </w14:solidFill>
          </w14:textFill>
        </w:rPr>
        <w:pict>
          <v:shapetype id="_x0000_t202" coordsize="21600,21600" o:spt="202" path="m,l,21600r21600,l21600,xe">
            <v:stroke joinstyle="miter"/>
            <v:path gradientshapeok="t" o:connecttype="rect"/>
          </v:shapetype>
          <v:shape id="_x0000_s1048" o:spid="_x0000_s1084" type="#_x0000_t202" style="width:137.3pt;height:28.9pt;margin-top:681.6pt;margin-left:175.1pt;mso-height-relative:page;mso-width-relative:page;position:absolute;z-index:251658240" coordsize="21600,21600" stroked="f">
            <v:stroke joinstyle="miter"/>
            <v:textbox>
              <w:txbxContent>
                <w:p>
                  <w:pPr>
                    <w:pStyle w:val="Caption"/>
                    <w:jc w:val="center"/>
                    <w:rPr>
                      <w:sz w:val="21"/>
                      <w:szCs w:val="21"/>
                    </w:rPr>
                  </w:pPr>
                  <w:r>
                    <w:rPr>
                      <w:rFonts w:ascii="宋体" w:eastAsia="宋体" w:hAnsi="宋体" w:cs="宋体" w:hint="eastAsia"/>
                      <w:sz w:val="21"/>
                      <w:szCs w:val="21"/>
                    </w:rPr>
                    <w:t>图</w:t>
                  </w:r>
                  <w:r>
                    <w:rPr>
                      <w:rFonts w:ascii="Times New Roman" w:eastAsia="宋体" w:hAnsi="Times New Roman" w:cs="Times New Roman"/>
                      <w:sz w:val="21"/>
                      <w:szCs w:val="21"/>
                    </w:rPr>
                    <w:t>1-1</w:t>
                  </w:r>
                  <w:r>
                    <w:rPr>
                      <w:rFonts w:ascii="宋体" w:eastAsia="宋体" w:hAnsi="宋体" w:cs="宋体" w:hint="eastAsia"/>
                      <w:sz w:val="21"/>
                      <w:szCs w:val="21"/>
                    </w:rPr>
                    <w:t xml:space="preserve"> 论文框架图</w:t>
                  </w:r>
                </w:p>
              </w:txbxContent>
            </v:textbox>
          </v:shape>
        </w:pict>
      </w:r>
      <w:r>
        <w:rPr>
          <w:color w:val="000000" w:themeColor="text1"/>
          <w14:textFill>
            <w14:solidFill>
              <w14:schemeClr w14:val="tx1"/>
            </w14:solidFill>
          </w14:textFill>
        </w:rPr>
        <w:pict>
          <v:shape id="直接箭头连接符 32" o:spid="_x0000_s1085" type="#_x0000_t32" style="width:72.45pt;height:20.35pt;margin-top:365.7pt;margin-left:248.25pt;mso-height-relative:page;mso-width-relative:page;position:absolute;z-index:251661312" coordsize="21600,21600" filled="f">
            <v:stroke endarrow="block"/>
            <v:path arrowok="t"/>
          </v:shape>
        </w:pict>
      </w:r>
      <w:r>
        <w:rPr>
          <w:color w:val="000000" w:themeColor="text1"/>
          <w14:textFill>
            <w14:solidFill>
              <w14:schemeClr w14:val="tx1"/>
            </w14:solidFill>
          </w14:textFill>
        </w:rPr>
        <w:pict>
          <v:shape id="自选图形 110" o:spid="_x0000_s1086" type="#_x0000_t32" style="width:69.35pt;height:24.35pt;margin-top:186.05pt;margin-left:104.35pt;flip:x;mso-height-relative:page;mso-width-relative:page;position:absolute;z-index:251660288" coordsize="21600,21600" filled="f">
            <v:stroke endarrow="block"/>
            <v:path arrowok="t"/>
          </v:shape>
        </w:pict>
      </w:r>
      <w:r>
        <w:rPr>
          <w:color w:val="000000" w:themeColor="text1"/>
          <w14:textFill>
            <w14:solidFill>
              <w14:schemeClr w14:val="tx1"/>
            </w14:solidFill>
          </w14:textFill>
        </w:rPr>
        <w:pict>
          <v:shape id="直接箭头连接符 72" o:spid="_x0000_s1087" type="#_x0000_t32" style="width:142.3pt;height:39.2pt;margin-top:565.5pt;margin-left:109.8pt;flip:x y;mso-height-relative:page;mso-width-relative:page;position:absolute;z-index:251659264" coordsize="21600,21600" filled="f">
            <v:stroke endarrow="block"/>
            <v:path arrowok="t"/>
          </v:shape>
        </w:pict>
      </w:r>
      <w:bookmarkEnd w:id="17"/>
    </w:p>
    <w:p>
      <w:pPr>
        <w:pStyle w:val="Heading2"/>
        <w:rPr>
          <w:rFonts w:ascii="宋体" w:eastAsia="宋体" w:hAnsi="宋体" w:cs="宋体"/>
          <w:color w:val="000000" w:themeColor="text1"/>
          <w14:textFill>
            <w14:solidFill>
              <w14:schemeClr w14:val="tx1"/>
            </w14:solidFill>
          </w14:textFill>
        </w:rPr>
      </w:pPr>
      <w:bookmarkStart w:id="18" w:name="_Toc30320"/>
      <w:r>
        <w:rPr>
          <w:rFonts w:ascii="宋体" w:eastAsia="宋体" w:hAnsi="宋体" w:cs="宋体" w:hint="eastAsia"/>
          <w:color w:val="000000" w:themeColor="text1"/>
          <w14:textFill>
            <w14:solidFill>
              <w14:schemeClr w14:val="tx1"/>
            </w14:solidFill>
          </w14:textFill>
        </w:rPr>
        <w:t>（四）研究创新及不足</w:t>
      </w:r>
      <w:bookmarkEnd w:id="18"/>
    </w:p>
    <w:p>
      <w:pPr>
        <w:pStyle w:val="Heading3"/>
        <w:spacing w:before="166" w:after="166"/>
        <w:rPr>
          <w:rFonts w:ascii="宋体" w:hAnsi="宋体"/>
          <w:color w:val="000000" w:themeColor="text1"/>
          <w14:textFill>
            <w14:solidFill>
              <w14:schemeClr w14:val="tx1"/>
            </w14:solidFill>
          </w14:textFill>
        </w:rPr>
      </w:pPr>
      <w:bookmarkStart w:id="19" w:name="_Toc20115"/>
      <w:r>
        <w:rPr>
          <w:color w:val="000000" w:themeColor="text1"/>
          <w14:textFill>
            <w14:solidFill>
              <w14:schemeClr w14:val="tx1"/>
            </w14:solidFill>
          </w14:textFill>
        </w:rPr>
        <w:t>1</w:t>
      </w:r>
      <w:r>
        <w:rPr>
          <w:rFonts w:ascii="宋体" w:hAnsi="宋体" w:hint="eastAsia"/>
          <w:color w:val="000000" w:themeColor="text1"/>
          <w14:textFill>
            <w14:solidFill>
              <w14:schemeClr w14:val="tx1"/>
            </w14:solidFill>
          </w14:textFill>
        </w:rPr>
        <w:t>.研究创新</w:t>
      </w:r>
      <w:bookmarkEnd w:id="19"/>
    </w:p>
    <w:p>
      <w:pPr>
        <w:widowControl/>
        <w:spacing w:line="460" w:lineRule="exact"/>
        <w:ind w:firstLine="480" w:firstLineChars="200"/>
        <w:rPr>
          <w:rFonts w:ascii="宋体" w:hAnsi="宋体" w:cs="宋体" w:hint="default"/>
          <w:color w:val="000000" w:themeColor="text1"/>
          <w:kern w:val="0"/>
          <w:szCs w:val="21"/>
          <w14:textFill>
            <w14:solidFill>
              <w14:schemeClr w14:val="tx1"/>
            </w14:solidFill>
          </w14:textFill>
        </w:rPr>
      </w:pPr>
      <w:r>
        <w:rPr>
          <w:rFonts w:ascii="宋体" w:hAnsi="宋体" w:cs="宋体" w:hint="eastAsia"/>
          <w:color w:val="000000" w:themeColor="text1"/>
          <w:kern w:val="0"/>
          <w:szCs w:val="21"/>
          <w:lang w:val="en-US" w:eastAsia="zh-CN"/>
          <w14:textFill>
            <w14:solidFill>
              <w14:schemeClr w14:val="tx1"/>
            </w14:solidFill>
          </w14:textFill>
        </w:rPr>
        <w:t>在本文当中，创新之处有：选取了银川地区的一家典型零售业公司——新华百货作为研究对象，运用相关的科学分析方法，分析出了公司当前在固定资产管理当中存在的相关突出问题，综合考虑到公司的现状和发展战略，提出了比较可行的、针对性较强的对策，从而有力的提升公司的固定资产管理水平，推动公司的高质量发展。</w:t>
      </w:r>
    </w:p>
    <w:p>
      <w:pPr>
        <w:pStyle w:val="Heading3"/>
        <w:spacing w:before="166" w:after="166"/>
        <w:rPr>
          <w:color w:val="000000" w:themeColor="text1"/>
          <w14:textFill>
            <w14:solidFill>
              <w14:schemeClr w14:val="tx1"/>
            </w14:solidFill>
          </w14:textFill>
        </w:rPr>
      </w:pPr>
      <w:bookmarkStart w:id="20" w:name="_Toc2870"/>
      <w:r>
        <w:rPr>
          <w:rFonts w:hint="eastAsia"/>
          <w:color w:val="000000" w:themeColor="text1"/>
          <w14:textFill>
            <w14:solidFill>
              <w14:schemeClr w14:val="tx1"/>
            </w14:solidFill>
          </w14:textFill>
        </w:rPr>
        <w:t>2</w:t>
      </w:r>
      <w:r>
        <w:rPr>
          <w:rFonts w:ascii="宋体" w:hAnsi="宋体" w:cs="宋体" w:hint="eastAsia"/>
          <w:color w:val="000000" w:themeColor="text1"/>
          <w14:textFill>
            <w14:solidFill>
              <w14:schemeClr w14:val="tx1"/>
            </w14:solidFill>
          </w14:textFill>
        </w:rPr>
        <w:t>.研究不足</w:t>
      </w:r>
      <w:bookmarkEnd w:id="20"/>
    </w:p>
    <w:p>
      <w:pPr>
        <w:widowControl/>
        <w:spacing w:line="460" w:lineRule="exact"/>
        <w:ind w:firstLine="480" w:firstLineChars="200"/>
        <w:rPr>
          <w:rFonts w:ascii="Times New Roman" w:hAnsi="Times New Roman" w:cs="Times New Roman"/>
          <w:color w:val="000000" w:themeColor="text1"/>
          <w14:textFill>
            <w14:solidFill>
              <w14:schemeClr w14:val="tx1"/>
            </w14:solidFill>
          </w14:textFill>
        </w:rPr>
        <w:sectPr>
          <w:headerReference w:type="default" r:id="rId24"/>
          <w:footerReference w:type="default" r:id="rId25"/>
          <w:type w:val="nextPage"/>
          <w:pgSz w:w="11906" w:h="16838"/>
          <w:pgMar w:top="1417" w:right="1418" w:bottom="1417" w:left="1559" w:header="851" w:footer="992" w:gutter="0"/>
          <w:pgNumType w:start="5"/>
          <w:cols w:num="1" w:space="0"/>
          <w:titlePg w:val="0"/>
          <w:docGrid w:type="lines" w:linePitch="333" w:charSpace="0"/>
        </w:sectPr>
      </w:pPr>
      <w:r>
        <w:rPr>
          <w:rFonts w:ascii="宋体" w:hAnsi="宋体" w:cs="宋体" w:hint="eastAsia"/>
          <w:color w:val="000000" w:themeColor="text1"/>
          <w:kern w:val="0"/>
          <w:szCs w:val="21"/>
          <w:lang w:val="en-US" w:eastAsia="zh-CN"/>
          <w14:textFill>
            <w14:solidFill>
              <w14:schemeClr w14:val="tx1"/>
            </w14:solidFill>
          </w14:textFill>
        </w:rPr>
        <w:t>因为各种主客观因素的影响，加上笔者水平比较低，</w:t>
      </w:r>
      <w:r>
        <w:rPr>
          <w:rFonts w:ascii="宋体" w:hAnsi="宋体" w:cs="宋体"/>
          <w:color w:val="000000" w:themeColor="text1"/>
          <w:kern w:val="0"/>
          <w:szCs w:val="21"/>
          <w14:textFill>
            <w14:solidFill>
              <w14:schemeClr w14:val="tx1"/>
            </w14:solidFill>
          </w14:textFill>
        </w:rPr>
        <w:t>在本研究中还存在很多的不足。</w:t>
      </w:r>
      <w:r>
        <w:rPr>
          <w:rFonts w:ascii="宋体" w:hAnsi="宋体" w:cs="宋体" w:hint="eastAsia"/>
          <w:color w:val="000000" w:themeColor="text1"/>
          <w:kern w:val="0"/>
          <w:szCs w:val="21"/>
          <w14:textFill>
            <w14:solidFill>
              <w14:schemeClr w14:val="tx1"/>
            </w14:solidFill>
          </w14:textFill>
        </w:rPr>
        <w:t>比如在写作过程当中受公司披露内容、所选</w:t>
      </w:r>
      <w:r>
        <w:rPr>
          <w:rFonts w:hint="eastAsia"/>
          <w:color w:val="000000" w:themeColor="text1"/>
          <w14:textFill>
            <w14:solidFill>
              <w14:schemeClr w14:val="tx1"/>
            </w14:solidFill>
          </w14:textFill>
        </w:rPr>
        <w:t>论文数据运用不充分，指标选取较少等问题</w:t>
      </w:r>
      <w:r>
        <w:rPr>
          <w:rFonts w:ascii="宋体" w:hAnsi="宋体" w:cs="宋体" w:hint="eastAsia"/>
          <w:color w:val="000000" w:themeColor="text1"/>
          <w:kern w:val="0"/>
          <w:szCs w:val="21"/>
          <w14:textFill>
            <w14:solidFill>
              <w14:schemeClr w14:val="tx1"/>
            </w14:solidFill>
          </w14:textFill>
        </w:rPr>
        <w:t>对于</w:t>
      </w:r>
      <w:r>
        <w:rPr>
          <w:rFonts w:ascii="宋体" w:hAnsi="宋体" w:cs="宋体"/>
          <w:color w:val="000000" w:themeColor="text1"/>
          <w:kern w:val="0"/>
          <w:szCs w:val="21"/>
          <w14:textFill>
            <w14:solidFill>
              <w14:schemeClr w14:val="tx1"/>
            </w14:solidFill>
          </w14:textFill>
        </w:rPr>
        <w:t>本</w:t>
      </w:r>
      <w:r>
        <w:rPr>
          <w:rFonts w:ascii="宋体" w:hAnsi="宋体" w:cs="宋体" w:hint="eastAsia"/>
          <w:color w:val="000000" w:themeColor="text1"/>
          <w:kern w:val="0"/>
          <w:szCs w:val="21"/>
          <w14:textFill>
            <w14:solidFill>
              <w14:schemeClr w14:val="tx1"/>
            </w14:solidFill>
          </w14:textFill>
        </w:rPr>
        <w:t>论</w:t>
      </w:r>
      <w:r>
        <w:rPr>
          <w:rFonts w:ascii="宋体" w:hAnsi="宋体" w:cs="宋体"/>
          <w:color w:val="000000" w:themeColor="text1"/>
          <w:kern w:val="0"/>
          <w:szCs w:val="21"/>
          <w14:textFill>
            <w14:solidFill>
              <w14:schemeClr w14:val="tx1"/>
            </w14:solidFill>
          </w14:textFill>
        </w:rPr>
        <w:t>文的研究显得还有些单薄</w:t>
      </w:r>
      <w:r>
        <w:rPr>
          <w:rFonts w:ascii="宋体" w:hAnsi="宋体" w:cs="宋体" w:hint="eastAsia"/>
          <w:color w:val="000000" w:themeColor="text1"/>
          <w:kern w:val="0"/>
          <w:szCs w:val="21"/>
          <w14:textFill>
            <w14:solidFill>
              <w14:schemeClr w14:val="tx1"/>
            </w14:solidFill>
          </w14:textFill>
        </w:rPr>
        <w:t>和不太完善。</w:t>
      </w:r>
      <w:r>
        <w:rPr>
          <w:rFonts w:ascii="Times New Roman" w:hAnsi="Times New Roman" w:cs="Times New Roman"/>
          <w:color w:val="000000" w:themeColor="text1"/>
          <w14:textFill>
            <w14:solidFill>
              <w14:schemeClr w14:val="tx1"/>
            </w14:solidFill>
          </w14:textFill>
        </w:rPr>
        <w:t>所以，</w:t>
      </w:r>
      <w:r>
        <w:rPr>
          <w:rFonts w:ascii="Times New Roman" w:hAnsi="Times New Roman" w:cs="Times New Roman" w:hint="eastAsia"/>
          <w:color w:val="000000" w:themeColor="text1"/>
          <w14:textFill>
            <w14:solidFill>
              <w14:schemeClr w14:val="tx1"/>
            </w14:solidFill>
          </w14:textFill>
        </w:rPr>
        <w:t>对于固定资产管理</w:t>
      </w:r>
      <w:r>
        <w:rPr>
          <w:rFonts w:ascii="Times New Roman" w:hAnsi="Times New Roman" w:cs="Times New Roman"/>
          <w:color w:val="000000" w:themeColor="text1"/>
          <w14:textFill>
            <w14:solidFill>
              <w14:schemeClr w14:val="tx1"/>
            </w14:solidFill>
          </w14:textFill>
        </w:rPr>
        <w:t>中存在的问题本</w:t>
      </w:r>
      <w:r>
        <w:rPr>
          <w:rFonts w:ascii="Times New Roman" w:hAnsi="Times New Roman" w:cs="Times New Roman" w:hint="eastAsia"/>
          <w:color w:val="000000" w:themeColor="text1"/>
          <w14:textFill>
            <w14:solidFill>
              <w14:schemeClr w14:val="tx1"/>
            </w14:solidFill>
          </w14:textFill>
        </w:rPr>
        <w:t>论</w:t>
      </w:r>
      <w:r>
        <w:rPr>
          <w:rFonts w:ascii="Times New Roman" w:hAnsi="Times New Roman" w:cs="Times New Roman"/>
          <w:color w:val="000000" w:themeColor="text1"/>
          <w14:textFill>
            <w14:solidFill>
              <w14:schemeClr w14:val="tx1"/>
            </w14:solidFill>
          </w14:textFill>
        </w:rPr>
        <w:t>文中还有未尽之处有待更深层次的</w:t>
      </w:r>
      <w:r>
        <w:rPr>
          <w:rFonts w:ascii="Times New Roman" w:hAnsi="Times New Roman" w:cs="Times New Roman" w:hint="eastAsia"/>
          <w:color w:val="000000" w:themeColor="text1"/>
          <w14:textFill>
            <w14:solidFill>
              <w14:schemeClr w14:val="tx1"/>
            </w14:solidFill>
          </w14:textFill>
        </w:rPr>
        <w:t>分析研究</w:t>
      </w:r>
      <w:r>
        <w:rPr>
          <w:rFonts w:ascii="Times New Roman" w:hAnsi="Times New Roman" w:cs="Times New Roman"/>
          <w:color w:val="000000" w:themeColor="text1"/>
          <w14:textFill>
            <w14:solidFill>
              <w14:schemeClr w14:val="tx1"/>
            </w14:solidFill>
          </w14:textFill>
        </w:rPr>
        <w:t>。</w:t>
      </w:r>
    </w:p>
    <w:p>
      <w:pPr>
        <w:widowControl/>
        <w:spacing w:line="460" w:lineRule="exact"/>
        <w:ind w:firstLine="480" w:firstLineChars="200"/>
        <w:rPr>
          <w:rFonts w:ascii="Times New Roman" w:hAnsi="Times New Roman" w:cs="Times New Roman"/>
          <w:color w:val="000000" w:themeColor="text1"/>
          <w14:textFill>
            <w14:solidFill>
              <w14:schemeClr w14:val="tx1"/>
            </w14:solidFill>
          </w14:textFill>
        </w:rPr>
        <w:sectPr>
          <w:headerReference w:type="default" r:id="rId26"/>
          <w:footerReference w:type="default" r:id="rId27"/>
          <w:type w:val="continuous"/>
          <w:pgSz w:w="11906" w:h="16838"/>
          <w:pgMar w:top="1417" w:right="1418" w:bottom="1417" w:left="1559" w:header="851" w:footer="992" w:gutter="0"/>
          <w:pgNumType w:start="6"/>
          <w:cols w:num="1" w:space="0"/>
          <w:docGrid w:type="lines" w:linePitch="333" w:charSpace="0"/>
        </w:sectPr>
      </w:pPr>
    </w:p>
    <w:p>
      <w:pPr>
        <w:widowControl/>
        <w:rPr>
          <w:rFonts w:ascii="Times New Roman" w:hAnsi="Times New Roman" w:cs="Times New Roman"/>
          <w:color w:val="000000" w:themeColor="text1"/>
          <w14:textFill>
            <w14:solidFill>
              <w14:schemeClr w14:val="tx1"/>
            </w14:solidFill>
          </w14:textFill>
        </w:rPr>
        <w:sectPr>
          <w:headerReference w:type="default" r:id="rId28"/>
          <w:footerReference w:type="default" r:id="rId29"/>
          <w:type w:val="continuous"/>
          <w:pgSz w:w="11906" w:h="16838"/>
          <w:pgMar w:top="1417" w:right="1418" w:bottom="1417" w:left="1559" w:header="851" w:footer="992" w:gutter="0"/>
          <w:pgNumType w:start="7"/>
          <w:cols w:num="1" w:space="0"/>
          <w:docGrid w:type="lines" w:linePitch="333" w:charSpace="0"/>
        </w:sectPr>
      </w:pPr>
      <w:bookmarkStart w:id="21" w:name="_Toc4475"/>
    </w:p>
    <w:p>
      <w:pPr>
        <w:pStyle w:val="Heading1"/>
        <w:rPr>
          <w:rFonts w:ascii="Times New Roman" w:hAnsi="Times New Roman" w:cs="Times New Roman"/>
          <w:color w:val="000000" w:themeColor="text1"/>
          <w14:textFill>
            <w14:solidFill>
              <w14:schemeClr w14:val="tx1"/>
            </w14:solidFill>
          </w14:textFill>
        </w:rPr>
      </w:pPr>
      <w:bookmarkStart w:id="22" w:name="_Toc31256"/>
      <w:r>
        <w:rPr>
          <w:rFonts w:ascii="Times New Roman" w:hAnsi="Times New Roman" w:cs="Times New Roman"/>
          <w:color w:val="000000" w:themeColor="text1"/>
          <w14:textFill>
            <w14:solidFill>
              <w14:schemeClr w14:val="tx1"/>
            </w14:solidFill>
          </w14:textFill>
        </w:rPr>
        <w:t>二</w:t>
      </w:r>
      <w:bookmarkEnd w:id="21"/>
      <w:r>
        <w:rPr>
          <w:rFonts w:ascii="Times New Roman" w:hAnsi="Times New Roman" w:cs="Times New Roman" w:hint="eastAsia"/>
          <w:color w:val="000000" w:themeColor="text1"/>
          <w14:textFill>
            <w14:solidFill>
              <w14:schemeClr w14:val="tx1"/>
            </w14:solidFill>
          </w14:textFill>
        </w:rPr>
        <w:t xml:space="preserve"> 文献综述与相关概念</w:t>
      </w:r>
      <w:bookmarkEnd w:id="22"/>
    </w:p>
    <w:p>
      <w:pPr>
        <w:pStyle w:val="Heading2"/>
        <w:rPr>
          <w:rFonts w:ascii="宋体" w:eastAsia="宋体" w:hAnsi="宋体" w:cs="宋体"/>
          <w:color w:val="000000" w:themeColor="text1"/>
          <w14:textFill>
            <w14:solidFill>
              <w14:schemeClr w14:val="tx1"/>
            </w14:solidFill>
          </w14:textFill>
        </w:rPr>
      </w:pPr>
      <w:bookmarkStart w:id="23" w:name="_Toc16093"/>
      <w:bookmarkStart w:id="24" w:name="_Toc9025"/>
      <w:r>
        <w:rPr>
          <w:rFonts w:ascii="宋体" w:eastAsia="宋体" w:hAnsi="宋体" w:cs="宋体" w:hint="eastAsia"/>
          <w:color w:val="000000" w:themeColor="text1"/>
          <w14:textFill>
            <w14:solidFill>
              <w14:schemeClr w14:val="tx1"/>
            </w14:solidFill>
          </w14:textFill>
        </w:rPr>
        <w:t>（一）</w:t>
      </w:r>
      <w:bookmarkEnd w:id="23"/>
      <w:r>
        <w:rPr>
          <w:rFonts w:ascii="宋体" w:eastAsia="宋体" w:hAnsi="宋体" w:cs="宋体" w:hint="eastAsia"/>
          <w:color w:val="000000" w:themeColor="text1"/>
          <w14:textFill>
            <w14:solidFill>
              <w14:schemeClr w14:val="tx1"/>
            </w14:solidFill>
          </w14:textFill>
        </w:rPr>
        <w:t>文献综述</w:t>
      </w:r>
      <w:bookmarkEnd w:id="24"/>
    </w:p>
    <w:p>
      <w:pPr>
        <w:pStyle w:val="Heading3"/>
        <w:spacing w:before="166" w:after="166"/>
        <w:rPr>
          <w:color w:val="000000" w:themeColor="text1"/>
          <w14:textFill>
            <w14:solidFill>
              <w14:schemeClr w14:val="tx1"/>
            </w14:solidFill>
          </w14:textFill>
        </w:rPr>
      </w:pPr>
      <w:bookmarkStart w:id="25" w:name="_Toc373"/>
      <w:bookmarkStart w:id="26" w:name="_Toc22986"/>
      <w:r>
        <w:rPr>
          <w:rFonts w:hint="eastAsia"/>
          <w:color w:val="000000" w:themeColor="text1"/>
          <w14:textFill>
            <w14:solidFill>
              <w14:schemeClr w14:val="tx1"/>
            </w14:solidFill>
          </w14:textFill>
        </w:rPr>
        <w:t>1</w:t>
      </w:r>
      <w:r>
        <w:rPr>
          <w:rFonts w:ascii="宋体" w:hAnsi="宋体" w:hint="eastAsia"/>
          <w:color w:val="000000" w:themeColor="text1"/>
          <w14:textFill>
            <w14:solidFill>
              <w14:schemeClr w14:val="tx1"/>
            </w14:solidFill>
          </w14:textFill>
        </w:rPr>
        <w:t>.</w:t>
      </w:r>
      <w:bookmarkEnd w:id="25"/>
      <w:r>
        <w:rPr>
          <w:rFonts w:ascii="宋体" w:hAnsi="宋体" w:hint="eastAsia"/>
          <w:color w:val="000000" w:themeColor="text1"/>
          <w14:textFill>
            <w14:solidFill>
              <w14:schemeClr w14:val="tx1"/>
            </w14:solidFill>
          </w14:textFill>
        </w:rPr>
        <w:t>国外文献综述</w:t>
      </w:r>
      <w:bookmarkEnd w:id="26"/>
    </w:p>
    <w:p>
      <w:pPr>
        <w:widowControl/>
        <w:spacing w:line="460" w:lineRule="exact"/>
        <w:ind w:firstLine="480" w:firstLineChars="200"/>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John B.Macarthur（20</w:t>
      </w:r>
      <w:r>
        <w:rPr>
          <w:rFonts w:ascii="Times New Roman" w:hAnsi="Times New Roman" w:cs="Times New Roman" w:hint="eastAsia"/>
          <w:color w:val="000000" w:themeColor="text1"/>
          <w:kern w:val="0"/>
          <w:szCs w:val="21"/>
          <w14:textFill>
            <w14:solidFill>
              <w14:schemeClr w14:val="tx1"/>
            </w14:solidFill>
          </w14:textFill>
        </w:rPr>
        <w:t>15</w:t>
      </w:r>
      <w:r>
        <w:rPr>
          <w:rFonts w:ascii="Times New Roman" w:hAnsi="Times New Roman" w:cs="Times New Roman"/>
          <w:color w:val="000000" w:themeColor="text1"/>
          <w:kern w:val="0"/>
          <w:szCs w:val="21"/>
          <w14:textFill>
            <w14:solidFill>
              <w14:schemeClr w14:val="tx1"/>
            </w14:solidFill>
          </w14:textFill>
        </w:rPr>
        <w:t>）</w:t>
      </w:r>
      <w:r>
        <w:rPr>
          <w:rFonts w:ascii="Times New Roman" w:hAnsi="Times New Roman" w:cs="Times New Roman" w:hint="eastAsia"/>
          <w:color w:val="000000" w:themeColor="text1"/>
          <w:kern w:val="0"/>
          <w:szCs w:val="21"/>
          <w:lang w:val="en-US" w:eastAsia="zh-CN"/>
          <w14:textFill>
            <w14:solidFill>
              <w14:schemeClr w14:val="tx1"/>
            </w14:solidFill>
          </w14:textFill>
        </w:rPr>
        <w:t>在其发表的研究文章中提出：通常情况下，固定资产的价值是逐渐递减的，在其生命周期内会发生价值转移，会转移到生产成本里面，所以，固定资产管理比较复杂，并且管理时间非常长</w:t>
      </w:r>
      <w:r>
        <w:rPr>
          <w:rFonts w:ascii="Times New Roman" w:hAnsi="Times New Roman" w:cs="Times New Roman"/>
          <w:color w:val="000000" w:themeColor="text1"/>
          <w:vertAlign w:val="superscript"/>
          <w14:textFill>
            <w14:solidFill>
              <w14:schemeClr w14:val="tx1"/>
            </w14:solidFill>
          </w14:textFill>
        </w:rPr>
        <w:t>[</w:t>
      </w:r>
      <w:r>
        <w:rPr>
          <w:rFonts w:ascii="Times New Roman" w:hAnsi="Times New Roman" w:cs="Times New Roman" w:hint="eastAsia"/>
          <w:color w:val="000000" w:themeColor="text1"/>
          <w:vertAlign w:val="superscript"/>
          <w14:textFill>
            <w14:solidFill>
              <w14:schemeClr w14:val="tx1"/>
            </w14:solidFill>
          </w14:textFill>
        </w:rPr>
        <w:t>1</w:t>
      </w:r>
      <w:r>
        <w:rPr>
          <w:rFonts w:ascii="Times New Roman" w:hAnsi="Times New Roman" w:cs="Times New Roman"/>
          <w:color w:val="000000" w:themeColor="text1"/>
          <w:vertAlign w:val="superscript"/>
          <w14:textFill>
            <w14:solidFill>
              <w14:schemeClr w14:val="tx1"/>
            </w14:solidFill>
          </w14:textFill>
        </w:rPr>
        <w:t>]</w:t>
      </w:r>
      <w:r>
        <w:rPr>
          <w:rFonts w:ascii="Times New Roman" w:hAnsi="Times New Roman" w:cs="Times New Roman"/>
          <w:color w:val="000000" w:themeColor="text1"/>
          <w:kern w:val="0"/>
          <w:szCs w:val="21"/>
          <w14:textFill>
            <w14:solidFill>
              <w14:schemeClr w14:val="tx1"/>
            </w14:solidFill>
          </w14:textFill>
        </w:rPr>
        <w:t>。</w:t>
      </w:r>
    </w:p>
    <w:p>
      <w:pPr>
        <w:widowControl/>
        <w:spacing w:line="460" w:lineRule="exact"/>
        <w:ind w:firstLine="480" w:firstLineChars="200"/>
        <w:rPr>
          <w:rFonts w:ascii="Times New Roman" w:hAnsi="Times New Roman" w:cs="Times New Roman"/>
          <w:color w:val="000000" w:themeColor="text1"/>
          <w:kern w:val="0"/>
          <w:szCs w:val="21"/>
          <w:vertAlign w:val="superscript"/>
          <w14:textFill>
            <w14:solidFill>
              <w14:schemeClr w14:val="tx1"/>
            </w14:solidFill>
          </w14:textFill>
        </w:rPr>
      </w:pPr>
      <w:r>
        <w:rPr>
          <w:rFonts w:ascii="Times New Roman" w:hAnsi="Times New Roman" w:cs="Times New Roman" w:hint="eastAsia"/>
          <w:color w:val="000000" w:themeColor="text1"/>
          <w:kern w:val="0"/>
          <w:szCs w:val="21"/>
          <w14:textFill>
            <w14:solidFill>
              <w14:schemeClr w14:val="tx1"/>
            </w14:solidFill>
          </w14:textFill>
        </w:rPr>
        <w:t>Prakash S.Deo（2016）</w:t>
      </w:r>
      <w:r>
        <w:rPr>
          <w:rFonts w:ascii="Times New Roman" w:hAnsi="Times New Roman" w:cs="Times New Roman" w:hint="eastAsia"/>
          <w:color w:val="000000" w:themeColor="text1"/>
          <w:kern w:val="0"/>
          <w:szCs w:val="21"/>
          <w:lang w:val="en-US" w:eastAsia="zh-CN"/>
          <w14:textFill>
            <w14:solidFill>
              <w14:schemeClr w14:val="tx1"/>
            </w14:solidFill>
          </w14:textFill>
        </w:rPr>
        <w:t>在其发表的文章中提出：对于固定资产的管理，并非一项单纯的工作，需要得到整个公司的相关支持。此外，我们是无法从公司多获得的利润当中看出固定资产的折旧的，但是我们可以从公司资产净现值当中看出，固定资产管理是一个系统性的工作</w:t>
      </w:r>
      <w:r>
        <w:rPr>
          <w:rFonts w:ascii="Times New Roman" w:hAnsi="Times New Roman" w:cs="Times New Roman" w:hint="eastAsia"/>
          <w:color w:val="000000" w:themeColor="text1"/>
          <w:kern w:val="0"/>
          <w:szCs w:val="21"/>
          <w:vertAlign w:val="superscript"/>
          <w14:textFill>
            <w14:solidFill>
              <w14:schemeClr w14:val="tx1"/>
            </w14:solidFill>
          </w14:textFill>
        </w:rPr>
        <w:t>[2]</w:t>
      </w:r>
      <w:r>
        <w:rPr>
          <w:rFonts w:ascii="Times New Roman" w:hAnsi="Times New Roman" w:cs="Times New Roman"/>
          <w:color w:val="000000" w:themeColor="text1"/>
          <w:kern w:val="0"/>
          <w:szCs w:val="21"/>
          <w14:textFill>
            <w14:solidFill>
              <w14:schemeClr w14:val="tx1"/>
            </w14:solidFill>
          </w14:textFill>
        </w:rPr>
        <w:t>。</w:t>
      </w:r>
    </w:p>
    <w:p>
      <w:pPr>
        <w:spacing w:line="460" w:lineRule="exact"/>
        <w:ind w:firstLine="480" w:firstLineChars="200"/>
        <w:rPr>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Graham Scott</w:t>
      </w:r>
      <w:r>
        <w:rPr>
          <w:rFonts w:ascii="宋体" w:hAnsi="宋体" w:cs="宋体" w:hint="eastAsia"/>
          <w:color w:val="000000" w:themeColor="text1"/>
          <w14:textFill>
            <w14:solidFill>
              <w14:schemeClr w14:val="tx1"/>
            </w14:solidFill>
          </w14:textFill>
        </w:rPr>
        <w:t>(</w:t>
      </w:r>
      <w:r>
        <w:rPr>
          <w:rFonts w:ascii="Times New Roman" w:hAnsi="Times New Roman" w:cs="Times New Roman" w:hint="eastAsia"/>
          <w:color w:val="000000" w:themeColor="text1"/>
          <w14:textFill>
            <w14:solidFill>
              <w14:schemeClr w14:val="tx1"/>
            </w14:solidFill>
          </w14:textFill>
        </w:rPr>
        <w:t>2017</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通过对固定资产管理开展深入细致的研究分析，得出了这样的结论：基于公司的实际情况，运用符合公司需要的固定资产管理方法，能够有效的提高公司的产出效率</w:t>
      </w:r>
      <w:r>
        <w:rPr>
          <w:rFonts w:ascii="Times New Roman" w:hAnsi="Times New Roman" w:cs="Times New Roman"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w:t>
      </w:r>
    </w:p>
    <w:p>
      <w:pPr>
        <w:spacing w:line="460" w:lineRule="exact"/>
        <w:ind w:firstLine="480" w:firstLineChars="200"/>
        <w:rPr>
          <w:rFonts w:cs="Calibri"/>
          <w:color w:val="000000" w:themeColor="text1"/>
          <w14:textFill>
            <w14:solidFill>
              <w14:schemeClr w14:val="tx1"/>
            </w14:solidFill>
          </w14:textFill>
        </w:rPr>
      </w:pPr>
      <w:r>
        <w:rPr>
          <w:rFonts w:ascii="Times New Roman" w:hAnsi="Times New Roman" w:cs="Times New Roman" w:hint="eastAsia"/>
          <w:color w:val="000000" w:themeColor="text1"/>
          <w14:textFill>
            <w14:solidFill>
              <w14:schemeClr w14:val="tx1"/>
            </w14:solidFill>
          </w14:textFill>
        </w:rPr>
        <w:t>Carly Lombardo（2017）</w:t>
      </w:r>
      <w:r>
        <w:rPr>
          <w:rFonts w:ascii="Times New Roman" w:hAnsi="Times New Roman" w:cs="Times New Roman" w:hint="eastAsia"/>
          <w:color w:val="000000" w:themeColor="text1"/>
          <w:lang w:val="en-US" w:eastAsia="zh-CN"/>
          <w14:textFill>
            <w14:solidFill>
              <w14:schemeClr w14:val="tx1"/>
            </w14:solidFill>
          </w14:textFill>
        </w:rPr>
        <w:t>基于其掌握的理论知识，持有这样的想法：科学、合理的固定资产管理技术，既可以减少相关资源的浪费，也可以提升资产的利用率</w:t>
      </w:r>
      <w:r>
        <w:rPr>
          <w:rFonts w:ascii="Times New Roman" w:hAnsi="Times New Roman" w:cs="Times New Roman" w:hint="eastAsia"/>
          <w:color w:val="000000" w:themeColor="text1"/>
          <w:vertAlign w:val="superscript"/>
          <w14:textFill>
            <w14:solidFill>
              <w14:schemeClr w14:val="tx1"/>
            </w14:solidFill>
          </w14:textFill>
        </w:rPr>
        <w:t>[4]</w:t>
      </w:r>
      <w:r>
        <w:rPr>
          <w:rFonts w:hint="eastAsia"/>
          <w:color w:val="000000" w:themeColor="text1"/>
          <w14:textFill>
            <w14:solidFill>
              <w14:schemeClr w14:val="tx1"/>
            </w14:solidFill>
          </w14:textFill>
        </w:rPr>
        <w:t>。</w:t>
      </w:r>
    </w:p>
    <w:p>
      <w:pPr>
        <w:spacing w:line="460" w:lineRule="exact"/>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大卫卡兰德（</w:t>
      </w:r>
      <w:r>
        <w:rPr>
          <w:rFonts w:ascii="Times New Roman" w:hAnsi="Times New Roman" w:cs="Times New Roman"/>
          <w:color w:val="000000" w:themeColor="text1"/>
          <w14:textFill>
            <w14:solidFill>
              <w14:schemeClr w14:val="tx1"/>
            </w14:solidFill>
          </w14:textFill>
        </w:rPr>
        <w:t>2016</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通过对资产管理的深入研究分析，得出了这样的结论：企业进行固定资产管理，是基于企业整体发展目标，对企业所持有的各类固定资产进行科学、合理的规划和设计，从而使其发挥出最大的效能</w:t>
      </w:r>
      <w:r>
        <w:rPr>
          <w:rFonts w:ascii="Times New Roman" w:hAnsi="Times New Roman" w:cs="Times New Roman" w:hint="eastAsia"/>
          <w:color w:val="000000" w:themeColor="text1"/>
          <w:vertAlign w:val="superscript"/>
          <w14:textFill>
            <w14:solidFill>
              <w14:schemeClr w14:val="tx1"/>
            </w14:solidFill>
          </w14:textFill>
        </w:rPr>
        <w:t>[5]</w:t>
      </w:r>
      <w:r>
        <w:rPr>
          <w:rFonts w:hint="eastAsia"/>
          <w:color w:val="000000" w:themeColor="text1"/>
          <w14:textFill>
            <w14:solidFill>
              <w14:schemeClr w14:val="tx1"/>
            </w14:solidFill>
          </w14:textFill>
        </w:rPr>
        <w:t>。</w:t>
      </w:r>
    </w:p>
    <w:p>
      <w:pPr>
        <w:spacing w:line="460" w:lineRule="exact"/>
        <w:ind w:firstLine="480" w:firstLineChars="200"/>
        <w:rPr>
          <w:color w:val="000000" w:themeColor="text1"/>
          <w:vertAlign w:val="subscript"/>
          <w14:textFill>
            <w14:solidFill>
              <w14:schemeClr w14:val="tx1"/>
            </w14:solidFill>
          </w14:textFill>
        </w:rPr>
      </w:pPr>
      <w:r>
        <w:rPr>
          <w:rFonts w:hint="eastAsia"/>
          <w:color w:val="000000" w:themeColor="text1"/>
          <w14:textFill>
            <w14:solidFill>
              <w14:schemeClr w14:val="tx1"/>
            </w14:solidFill>
          </w14:textFill>
        </w:rPr>
        <w:t>埃沃兰戴德</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2017</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通过分析众多的实践，得出了这样的结论：对于企业的固定资产管理工作，可设置相关的风险点，从而有效的管控风险，提升固定资产的使用效率，使其在企业中发挥出更大的作用</w:t>
      </w:r>
      <w:r>
        <w:rPr>
          <w:rFonts w:ascii="Times New Roman" w:hAnsi="Times New Roman" w:cs="Times New Roman" w:hint="eastAsia"/>
          <w:color w:val="000000" w:themeColor="text1"/>
          <w:vertAlign w:val="superscript"/>
          <w14:textFill>
            <w14:solidFill>
              <w14:schemeClr w14:val="tx1"/>
            </w14:solidFill>
          </w14:textFill>
        </w:rPr>
        <w:t>[6]</w:t>
      </w:r>
      <w:r>
        <w:rPr>
          <w:rFonts w:hint="eastAsia"/>
          <w:color w:val="000000" w:themeColor="text1"/>
          <w14:textFill>
            <w14:solidFill>
              <w14:schemeClr w14:val="tx1"/>
            </w14:solidFill>
          </w14:textFill>
        </w:rPr>
        <w:t>。</w:t>
      </w:r>
    </w:p>
    <w:p>
      <w:pPr>
        <w:spacing w:line="460" w:lineRule="exact"/>
        <w:ind w:firstLine="480" w:firstLineChars="200"/>
        <w:rPr>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Charel T Horngren（2016）</w:t>
      </w:r>
      <w:r>
        <w:rPr>
          <w:rFonts w:ascii="Times New Roman" w:hAnsi="Times New Roman" w:cs="Times New Roman" w:hint="eastAsia"/>
          <w:color w:val="000000" w:themeColor="text1"/>
          <w:lang w:val="en-US" w:eastAsia="zh-CN"/>
          <w14:textFill>
            <w14:solidFill>
              <w14:schemeClr w14:val="tx1"/>
            </w14:solidFill>
          </w14:textFill>
        </w:rPr>
        <w:t>基于固定资产的相关特性，提出了这样的观点：固定资产是企业所持有长期资产，其日常管理工作非常重要，对于市场价值非常大的固定资产，企业应在其发布的资产负债表当中进行相关的披露</w:t>
      </w:r>
      <w:r>
        <w:rPr>
          <w:rFonts w:ascii="Times New Roman" w:hAnsi="Times New Roman" w:cs="Times New Roman"/>
          <w:color w:val="000000" w:themeColor="text1"/>
          <w:vertAlign w:val="superscript"/>
          <w14:textFill>
            <w14:solidFill>
              <w14:schemeClr w14:val="tx1"/>
            </w14:solidFill>
          </w14:textFill>
        </w:rPr>
        <w:t>[7]</w:t>
      </w:r>
      <w:r>
        <w:rPr>
          <w:rFonts w:hint="eastAsia"/>
          <w:color w:val="000000" w:themeColor="text1"/>
          <w14:textFill>
            <w14:solidFill>
              <w14:schemeClr w14:val="tx1"/>
            </w14:solidFill>
          </w14:textFill>
        </w:rPr>
        <w:t>。</w:t>
      </w:r>
    </w:p>
    <w:p>
      <w:pPr>
        <w:spacing w:line="460" w:lineRule="exact"/>
        <w:ind w:firstLine="480" w:firstLineChars="200"/>
        <w:rPr>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Bna software（2015</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持有这样的观点：固定资产管理工作对于企业都是非常重要的，特别是生产类的企业，其与股东价值息息相关。企业可建立起相关的自动系统来提升固定资产管理效率，从而有效减少企业在这方面所花费的成本</w:t>
      </w:r>
      <w:r>
        <w:rPr>
          <w:rFonts w:ascii="Times New Roman" w:hAnsi="Times New Roman" w:cs="Times New Roman"/>
          <w:color w:val="000000" w:themeColor="text1"/>
          <w:vertAlign w:val="superscript"/>
          <w14:textFill>
            <w14:solidFill>
              <w14:schemeClr w14:val="tx1"/>
            </w14:solidFill>
          </w14:textFill>
        </w:rPr>
        <w:t>[8]</w:t>
      </w:r>
      <w:r>
        <w:rPr>
          <w:rFonts w:hint="eastAsia"/>
          <w:color w:val="000000" w:themeColor="text1"/>
          <w14:textFill>
            <w14:solidFill>
              <w14:schemeClr w14:val="tx1"/>
            </w14:solidFill>
          </w14:textFill>
        </w:rPr>
        <w:t>。</w:t>
      </w:r>
    </w:p>
    <w:p>
      <w:pPr>
        <w:spacing w:line="460" w:lineRule="exact"/>
        <w:ind w:firstLine="480" w:firstLineChars="200"/>
        <w:rPr>
          <w:color w:val="000000" w:themeColor="text1"/>
          <w14:textFill>
            <w14:solidFill>
              <w14:schemeClr w14:val="tx1"/>
            </w14:solidFill>
          </w14:textFill>
        </w:rPr>
        <w:sectPr>
          <w:headerReference w:type="default" r:id="rId30"/>
          <w:footerReference w:type="default" r:id="rId31"/>
          <w:type w:val="nextPage"/>
          <w:pgSz w:w="11906" w:h="16838"/>
          <w:pgMar w:top="1417" w:right="1418" w:bottom="1417" w:left="1559" w:header="851" w:footer="992" w:gutter="0"/>
          <w:pgNumType w:start="8"/>
          <w:cols w:num="1" w:space="0"/>
          <w:titlePg w:val="0"/>
          <w:docGrid w:type="lines" w:linePitch="333" w:charSpace="0"/>
        </w:sectPr>
      </w:pPr>
      <w:r>
        <w:rPr>
          <w:rFonts w:ascii="Times New Roman" w:hAnsi="Times New Roman" w:cs="Times New Roman"/>
          <w:color w:val="000000" w:themeColor="text1"/>
          <w14:textFill>
            <w14:solidFill>
              <w14:schemeClr w14:val="tx1"/>
            </w14:solidFill>
          </w14:textFill>
        </w:rPr>
        <w:t>RP Hoskins</w:t>
      </w:r>
      <w:r>
        <w:rPr>
          <w:rFonts w:ascii="Times New Roman" w:hAnsi="Times New Roman" w:cs="Times New Roman" w:hint="eastAsia"/>
          <w:color w:val="000000" w:themeColor="text1"/>
          <w:lang w:val="en-US" w:eastAsia="zh-CN"/>
          <w14:textFill>
            <w14:solidFill>
              <w14:schemeClr w14:val="tx1"/>
            </w14:solidFill>
          </w14:textFill>
        </w:rPr>
        <w:t>等</w:t>
      </w:r>
      <w:r>
        <w:rPr>
          <w:rFonts w:ascii="Times New Roman" w:hAnsi="Times New Roman" w:cs="Times New Roman"/>
          <w:color w:val="000000" w:themeColor="text1"/>
          <w14:textFill>
            <w14:solidFill>
              <w14:schemeClr w14:val="tx1"/>
            </w14:solidFill>
          </w14:textFill>
        </w:rPr>
        <w:t>(20</w:t>
      </w:r>
      <w:r>
        <w:rPr>
          <w:rFonts w:ascii="Times New Roman" w:hAnsi="Times New Roman" w:cs="Times New Roman" w:hint="eastAsia"/>
          <w:color w:val="000000" w:themeColor="text1"/>
          <w14:textFill>
            <w14:solidFill>
              <w14:schemeClr w14:val="tx1"/>
            </w14:solidFill>
          </w14:textFill>
        </w:rPr>
        <w:t>17</w:t>
      </w:r>
      <w:r>
        <w:rPr>
          <w:rFonts w:ascii="Times New Roman" w:hAnsi="Times New Roman" w:cs="Times New Roman"/>
          <w:color w:val="000000" w:themeColor="text1"/>
          <w14:textFill>
            <w14:solidFill>
              <w14:schemeClr w14:val="tx1"/>
            </w14:solidFill>
          </w14:textFill>
        </w:rPr>
        <w:t>)</w:t>
      </w:r>
    </w:p>
    <w:p>
      <w:pPr>
        <w:spacing w:line="460" w:lineRule="exact"/>
        <w:ind w:firstLine="480" w:firstLineChars="200"/>
        <w:rPr>
          <w:color w:val="000000" w:themeColor="text1"/>
          <w14:textFill>
            <w14:solidFill>
              <w14:schemeClr w14:val="tx1"/>
            </w14:solidFill>
          </w14:textFill>
        </w:rPr>
      </w:pPr>
      <w:r>
        <w:rPr>
          <w:rFonts w:ascii="Times New Roman" w:hAnsi="Times New Roman" w:cs="Times New Roman" w:hint="eastAsia"/>
          <w:color w:val="000000" w:themeColor="text1"/>
          <w:lang w:val="en-US" w:eastAsia="zh-CN"/>
          <w14:textFill>
            <w14:solidFill>
              <w14:schemeClr w14:val="tx1"/>
            </w14:solidFill>
          </w14:textFill>
        </w:rPr>
        <w:t>基于他们的研究分析，得出了这样的结论：当前，企业的固定资产管理工作当中存在着许多的突出问题（如采购混乱）。所以，企业应基于自身的实际情况，对固定资产的全流程进行科学、合理的升级改造，从而有效的提升固定资产的管理水平</w:t>
      </w:r>
      <w:r>
        <w:rPr>
          <w:rFonts w:ascii="Times New Roman" w:hAnsi="Times New Roman" w:cs="Times New Roman"/>
          <w:color w:val="000000" w:themeColor="text1"/>
          <w:vertAlign w:val="superscript"/>
          <w14:textFill>
            <w14:solidFill>
              <w14:schemeClr w14:val="tx1"/>
            </w14:solidFill>
          </w14:textFill>
        </w:rPr>
        <w:t>[9]</w:t>
      </w:r>
      <w:r>
        <w:rPr>
          <w:rFonts w:hint="eastAsia"/>
          <w:color w:val="000000" w:themeColor="text1"/>
          <w14:textFill>
            <w14:solidFill>
              <w14:schemeClr w14:val="tx1"/>
            </w14:solidFill>
          </w14:textFill>
        </w:rPr>
        <w:t>。</w:t>
      </w:r>
    </w:p>
    <w:p>
      <w:pPr>
        <w:spacing w:line="460" w:lineRule="exact"/>
        <w:ind w:firstLine="480" w:firstLineChars="200"/>
        <w:rPr>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Michael Dennis（20</w:t>
      </w:r>
      <w:r>
        <w:rPr>
          <w:rFonts w:ascii="Times New Roman" w:hAnsi="Times New Roman" w:cs="Times New Roman" w:hint="eastAsia"/>
          <w:color w:val="000000" w:themeColor="text1"/>
          <w14:textFill>
            <w14:solidFill>
              <w14:schemeClr w14:val="tx1"/>
            </w14:solidFill>
          </w14:textFill>
        </w:rPr>
        <w:t>18</w:t>
      </w:r>
      <w:r>
        <w:rPr>
          <w:rFonts w:ascii="Times New Roman" w:hAnsi="Times New Roman" w:cs="Times New Roman"/>
          <w:color w:val="000000" w:themeColor="text1"/>
          <w14:textFill>
            <w14:solidFill>
              <w14:schemeClr w14:val="tx1"/>
            </w14:solidFill>
          </w14:textFill>
        </w:rPr>
        <w:t>）</w:t>
      </w:r>
      <w:r>
        <w:rPr>
          <w:rFonts w:hint="eastAsia"/>
          <w:color w:val="000000" w:themeColor="text1"/>
          <w14:textFill>
            <w14:solidFill>
              <w14:schemeClr w14:val="tx1"/>
            </w14:solidFill>
          </w14:textFill>
        </w:rPr>
        <w:t>从更深层次地角度分析了固定资产的内部管理。他从实践方面将固定资产管理划分为不同的阶段，每个阶段都指明了应该从事的内容，对于固定资产的管理具有很大的实践意义</w:t>
      </w:r>
      <w:r>
        <w:rPr>
          <w:rFonts w:ascii="Times New Roman" w:hAnsi="Times New Roman" w:cs="Times New Roman"/>
          <w:color w:val="000000" w:themeColor="text1"/>
          <w:vertAlign w:val="superscript"/>
          <w14:textFill>
            <w14:solidFill>
              <w14:schemeClr w14:val="tx1"/>
            </w14:solidFill>
          </w14:textFill>
        </w:rPr>
        <w:t>[10]</w:t>
      </w:r>
      <w:r>
        <w:rPr>
          <w:rFonts w:hint="eastAsia"/>
          <w:color w:val="000000" w:themeColor="text1"/>
          <w14:textFill>
            <w14:solidFill>
              <w14:schemeClr w14:val="tx1"/>
            </w14:solidFill>
          </w14:textFill>
        </w:rPr>
        <w:t>。</w:t>
      </w:r>
    </w:p>
    <w:p>
      <w:pPr>
        <w:widowControl/>
        <w:spacing w:line="460" w:lineRule="exact"/>
        <w:ind w:firstLine="480" w:firstLineChars="200"/>
        <w:rPr>
          <w:rFonts w:ascii="宋体" w:hAnsi="宋体" w:cs="宋体"/>
          <w:bCs/>
          <w:color w:val="000000" w:themeColor="text1"/>
          <w:kern w:val="0"/>
          <w:szCs w:val="24"/>
          <w14:textFill>
            <w14:solidFill>
              <w14:schemeClr w14:val="tx1"/>
            </w14:solidFill>
          </w14:textFill>
        </w:rPr>
      </w:pPr>
      <w:r>
        <w:rPr>
          <w:rFonts w:ascii="宋体" w:hAnsi="宋体" w:cs="宋体" w:hint="eastAsia"/>
          <w:bCs/>
          <w:color w:val="000000" w:themeColor="text1"/>
          <w:kern w:val="0"/>
          <w:szCs w:val="24"/>
          <w14:textFill>
            <w14:solidFill>
              <w14:schemeClr w14:val="tx1"/>
            </w14:solidFill>
          </w14:textFill>
        </w:rPr>
        <w:t>从国外固定资产管理的发展历程来看，固定资产管理理论研究随着经济发展和社会进步在不断修正和完善，帮助企业在实践的管理中逐步改进和提高。针对固定资产管理当中发现的一些问题提出相应的解决对策，而这些解决对策对我国企业发展也起到重要作用。</w:t>
      </w:r>
    </w:p>
    <w:p>
      <w:pPr>
        <w:pStyle w:val="Heading3"/>
        <w:spacing w:before="166" w:after="166"/>
        <w:rPr>
          <w:color w:val="000000" w:themeColor="text1"/>
          <w14:textFill>
            <w14:solidFill>
              <w14:schemeClr w14:val="tx1"/>
            </w14:solidFill>
          </w14:textFill>
        </w:rPr>
      </w:pPr>
      <w:bookmarkStart w:id="27" w:name="_Toc8162"/>
      <w:bookmarkStart w:id="28" w:name="_Toc9678"/>
      <w:r>
        <w:rPr>
          <w:rFonts w:hint="eastAsia"/>
          <w:color w:val="000000" w:themeColor="text1"/>
          <w14:textFill>
            <w14:solidFill>
              <w14:schemeClr w14:val="tx1"/>
            </w14:solidFill>
          </w14:textFill>
        </w:rPr>
        <w:t>2</w:t>
      </w:r>
      <w:r>
        <w:rPr>
          <w:rFonts w:ascii="宋体" w:hAnsi="宋体" w:hint="eastAsia"/>
          <w:color w:val="000000" w:themeColor="text1"/>
          <w14:textFill>
            <w14:solidFill>
              <w14:schemeClr w14:val="tx1"/>
            </w14:solidFill>
          </w14:textFill>
        </w:rPr>
        <w:t>.</w:t>
      </w:r>
      <w:bookmarkEnd w:id="27"/>
      <w:r>
        <w:rPr>
          <w:rFonts w:ascii="宋体" w:hAnsi="宋体" w:hint="eastAsia"/>
          <w:color w:val="000000" w:themeColor="text1"/>
          <w14:textFill>
            <w14:solidFill>
              <w14:schemeClr w14:val="tx1"/>
            </w14:solidFill>
          </w14:textFill>
        </w:rPr>
        <w:t>国内文献综述</w:t>
      </w:r>
      <w:bookmarkEnd w:id="28"/>
    </w:p>
    <w:p>
      <w:pPr>
        <w:widowControl/>
        <w:spacing w:line="460" w:lineRule="exact"/>
        <w:ind w:firstLine="480" w:firstLineChars="200"/>
        <w:rPr>
          <w:rFonts w:ascii="Times New Roman" w:hAnsi="Times New Roman" w:eastAsiaTheme="minorEastAsia" w:cs="Times New Roman"/>
          <w:bCs/>
          <w:color w:val="000000" w:themeColor="text1"/>
          <w:kern w:val="0"/>
          <w:szCs w:val="24"/>
          <w:vertAlign w:val="superscript"/>
          <w14:textFill>
            <w14:solidFill>
              <w14:schemeClr w14:val="tx1"/>
            </w14:solidFill>
          </w14:textFill>
        </w:rPr>
      </w:pPr>
      <w:r>
        <w:rPr>
          <w:rFonts w:hint="eastAsia"/>
          <w:color w:val="000000" w:themeColor="text1"/>
          <w14:textFill>
            <w14:solidFill>
              <w14:schemeClr w14:val="tx1"/>
            </w14:solidFill>
          </w14:textFill>
        </w:rPr>
        <w:t>张迎春</w:t>
      </w:r>
      <w:r>
        <w:rPr>
          <w:rFonts w:ascii="Times New Roman" w:hAnsi="Times New Roman" w:eastAsiaTheme="minorEastAsia" w:cs="Times New Roman" w:hint="eastAsia"/>
          <w:bCs/>
          <w:color w:val="000000" w:themeColor="text1"/>
          <w:kern w:val="0"/>
          <w:szCs w:val="24"/>
          <w14:textFill>
            <w14:solidFill>
              <w14:schemeClr w14:val="tx1"/>
            </w14:solidFill>
          </w14:textFill>
        </w:rPr>
        <w:t>（2017）</w:t>
      </w:r>
      <w:r>
        <w:rPr>
          <w:rFonts w:ascii="Times New Roman" w:hAnsi="Times New Roman" w:eastAsiaTheme="minorEastAsia" w:cs="Times New Roman" w:hint="eastAsia"/>
          <w:bCs/>
          <w:color w:val="000000" w:themeColor="text1"/>
          <w:kern w:val="0"/>
          <w:szCs w:val="24"/>
          <w:lang w:val="en-US" w:eastAsia="zh-CN"/>
          <w14:textFill>
            <w14:solidFill>
              <w14:schemeClr w14:val="tx1"/>
            </w14:solidFill>
          </w14:textFill>
        </w:rPr>
        <w:t>通过对固定资产的深入研究分析，得出了这样的结论：企业应建立起相关的绩效评级体系，从而对固定资产进行相关的科学分析管理，实现最优资源配置</w:t>
      </w:r>
      <w:r>
        <w:rPr>
          <w:rFonts w:ascii="Times New Roman" w:hAnsi="Times New Roman" w:eastAsiaTheme="minorEastAsia" w:cs="Times New Roman" w:hint="eastAsia"/>
          <w:bCs/>
          <w:color w:val="000000" w:themeColor="text1"/>
          <w:kern w:val="0"/>
          <w:szCs w:val="24"/>
          <w:vertAlign w:val="superscript"/>
          <w14:textFill>
            <w14:solidFill>
              <w14:schemeClr w14:val="tx1"/>
            </w14:solidFill>
          </w14:textFill>
        </w:rPr>
        <w:t>[11]</w:t>
      </w:r>
      <w:r>
        <w:rPr>
          <w:rFonts w:ascii="Times New Roman" w:hAnsi="Times New Roman" w:eastAsiaTheme="minorEastAsia" w:cs="Times New Roman" w:hint="eastAsia"/>
          <w:bCs/>
          <w:color w:val="000000" w:themeColor="text1"/>
          <w:kern w:val="0"/>
          <w:szCs w:val="24"/>
          <w14:textFill>
            <w14:solidFill>
              <w14:schemeClr w14:val="tx1"/>
            </w14:solidFill>
          </w14:textFill>
        </w:rPr>
        <w:t>。</w:t>
      </w:r>
    </w:p>
    <w:p>
      <w:pPr>
        <w:widowControl/>
        <w:spacing w:line="460" w:lineRule="exact"/>
        <w:ind w:firstLine="480" w:firstLineChars="200"/>
        <w:rPr>
          <w:rFonts w:ascii="Times New Roman" w:hAnsi="Times New Roman" w:cs="Times New Roman"/>
          <w:color w:val="000000" w:themeColor="text1"/>
          <w:kern w:val="0"/>
          <w:szCs w:val="21"/>
          <w:vertAlign w:val="superscript"/>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苏姝伟</w:t>
      </w:r>
      <w:r>
        <w:rPr>
          <w:rFonts w:ascii="Times New Roman" w:hAnsi="Times New Roman" w:cs="Times New Roman" w:hint="eastAsia"/>
          <w:color w:val="000000" w:themeColor="text1"/>
          <w:kern w:val="0"/>
          <w:szCs w:val="21"/>
          <w:lang w:val="en-US" w:eastAsia="zh-CN"/>
          <w14:textFill>
            <w14:solidFill>
              <w14:schemeClr w14:val="tx1"/>
            </w14:solidFill>
          </w14:textFill>
        </w:rPr>
        <w:t>和</w:t>
      </w:r>
      <w:r>
        <w:rPr>
          <w:rFonts w:ascii="Times New Roman" w:hAnsi="Times New Roman" w:cs="Times New Roman"/>
          <w:color w:val="000000" w:themeColor="text1"/>
          <w:kern w:val="0"/>
          <w:szCs w:val="21"/>
          <w14:textFill>
            <w14:solidFill>
              <w14:schemeClr w14:val="tx1"/>
            </w14:solidFill>
          </w14:textFill>
        </w:rPr>
        <w:t>胡玲慧（2017）</w:t>
      </w:r>
      <w:r>
        <w:rPr>
          <w:rFonts w:ascii="Times New Roman" w:hAnsi="Times New Roman" w:cs="Times New Roman" w:hint="eastAsia"/>
          <w:color w:val="000000" w:themeColor="text1"/>
          <w:kern w:val="0"/>
          <w:szCs w:val="21"/>
          <w:lang w:val="en-US" w:eastAsia="zh-CN"/>
          <w14:textFill>
            <w14:solidFill>
              <w14:schemeClr w14:val="tx1"/>
            </w14:solidFill>
          </w14:textFill>
        </w:rPr>
        <w:t>两位学者运用科学分析方法，对国内的烟草公司的固定资产管理当中存在的相关突出问题进行了比较细致的分析，最后得出了这样的结论：公司的固定资产有着非常明显的结构失衡，并且公司的一些资产非常多，这造成了许多资产的闲置，所以，烟草公司应基于实际情况，加强固定资产的管理工作</w:t>
      </w:r>
      <w:r>
        <w:rPr>
          <w:rFonts w:ascii="Times New Roman" w:hAnsi="Times New Roman" w:cs="Times New Roman" w:hint="eastAsia"/>
          <w:color w:val="000000" w:themeColor="text1"/>
          <w:kern w:val="0"/>
          <w:szCs w:val="21"/>
          <w:vertAlign w:val="superscript"/>
          <w14:textFill>
            <w14:solidFill>
              <w14:schemeClr w14:val="tx1"/>
            </w14:solidFill>
          </w14:textFill>
        </w:rPr>
        <w:t>[12]</w:t>
      </w:r>
      <w:r>
        <w:rPr>
          <w:rFonts w:ascii="Times New Roman" w:hAnsi="Times New Roman" w:cs="Times New Roman"/>
          <w:color w:val="000000" w:themeColor="text1"/>
          <w:kern w:val="0"/>
          <w:szCs w:val="21"/>
          <w14:textFill>
            <w14:solidFill>
              <w14:schemeClr w14:val="tx1"/>
            </w14:solidFill>
          </w14:textFill>
        </w:rPr>
        <w:t>。</w:t>
      </w:r>
    </w:p>
    <w:p>
      <w:pPr>
        <w:widowControl/>
        <w:spacing w:line="460" w:lineRule="exact"/>
        <w:ind w:firstLine="480" w:firstLineChars="200"/>
        <w:rPr>
          <w:rFonts w:ascii="Times New Roman" w:hAnsi="Times New Roman" w:cs="Times New Roman"/>
          <w:color w:val="000000" w:themeColor="text1"/>
          <w:kern w:val="0"/>
          <w:szCs w:val="21"/>
          <w:vertAlign w:val="superscript"/>
          <w14:textFill>
            <w14:solidFill>
              <w14:schemeClr w14:val="tx1"/>
            </w14:solidFill>
          </w14:textFill>
        </w:rPr>
      </w:pPr>
      <w:r>
        <w:rPr>
          <w:rFonts w:ascii="宋体" w:hAnsi="宋体" w:cs="宋体" w:hint="eastAsia"/>
          <w:bCs/>
          <w:color w:val="000000" w:themeColor="text1"/>
          <w:kern w:val="0"/>
          <w:szCs w:val="24"/>
          <w14:textFill>
            <w14:solidFill>
              <w14:schemeClr w14:val="tx1"/>
            </w14:solidFill>
          </w14:textFill>
        </w:rPr>
        <w:t>邓文芳</w:t>
      </w:r>
      <w:r>
        <w:rPr>
          <w:rFonts w:ascii="Times New Roman" w:hAnsi="Times New Roman" w:eastAsiaTheme="minorEastAsia" w:cs="Times New Roman"/>
          <w:bCs/>
          <w:color w:val="000000" w:themeColor="text1"/>
          <w:kern w:val="0"/>
          <w:szCs w:val="24"/>
          <w14:textFill>
            <w14:solidFill>
              <w14:schemeClr w14:val="tx1"/>
            </w14:solidFill>
          </w14:textFill>
        </w:rPr>
        <w:t>(2015)</w:t>
      </w:r>
      <w:r>
        <w:rPr>
          <w:rFonts w:ascii="Times New Roman" w:hAnsi="Times New Roman" w:eastAsiaTheme="minorEastAsia" w:cs="Times New Roman" w:hint="eastAsia"/>
          <w:bCs/>
          <w:color w:val="000000" w:themeColor="text1"/>
          <w:kern w:val="0"/>
          <w:szCs w:val="24"/>
          <w:lang w:val="en-US" w:eastAsia="zh-CN"/>
          <w14:textFill>
            <w14:solidFill>
              <w14:schemeClr w14:val="tx1"/>
            </w14:solidFill>
          </w14:textFill>
        </w:rPr>
        <w:t>基于相关的实例企业，对固定资产管理开展了相关的改造研究，最后针对企业的实际情况，提出了相关的固定资产管理策略</w:t>
      </w:r>
      <w:r>
        <w:rPr>
          <w:rFonts w:ascii="Times New Roman" w:hAnsi="Times New Roman" w:eastAsiaTheme="minorEastAsia" w:cs="Times New Roman" w:hint="eastAsia"/>
          <w:bCs/>
          <w:color w:val="000000" w:themeColor="text1"/>
          <w:kern w:val="0"/>
          <w:szCs w:val="24"/>
          <w:vertAlign w:val="superscript"/>
          <w14:textFill>
            <w14:solidFill>
              <w14:schemeClr w14:val="tx1"/>
            </w14:solidFill>
          </w14:textFill>
        </w:rPr>
        <w:t>[13]</w:t>
      </w:r>
      <w:r>
        <w:rPr>
          <w:rFonts w:ascii="Times New Roman" w:hAnsi="Times New Roman" w:cs="Times New Roman"/>
          <w:color w:val="000000" w:themeColor="text1"/>
          <w:kern w:val="0"/>
          <w:szCs w:val="21"/>
          <w:vertAlign w:val="superscript"/>
          <w14:textFill>
            <w14:solidFill>
              <w14:schemeClr w14:val="tx1"/>
            </w14:solidFill>
          </w14:textFill>
        </w:rPr>
        <w:t xml:space="preserve"> </w:t>
      </w:r>
      <w:r>
        <w:rPr>
          <w:rFonts w:ascii="Times New Roman" w:hAnsi="Times New Roman" w:eastAsiaTheme="minorEastAsia" w:cs="Times New Roman"/>
          <w:bCs/>
          <w:color w:val="000000" w:themeColor="text1"/>
          <w:kern w:val="0"/>
          <w:szCs w:val="24"/>
          <w14:textFill>
            <w14:solidFill>
              <w14:schemeClr w14:val="tx1"/>
            </w14:solidFill>
          </w14:textFill>
        </w:rPr>
        <w:t>。</w:t>
      </w:r>
    </w:p>
    <w:p>
      <w:pPr>
        <w:widowControl/>
        <w:spacing w:line="460" w:lineRule="exact"/>
        <w:ind w:firstLine="480" w:firstLineChars="200"/>
        <w:rPr>
          <w:rFonts w:ascii="Times New Roman" w:hAnsi="Times New Roman" w:eastAsiaTheme="minorEastAsia" w:cs="Times New Roman" w:hint="default"/>
          <w:bCs/>
          <w:color w:val="000000" w:themeColor="text1"/>
          <w:kern w:val="0"/>
          <w:szCs w:val="24"/>
          <w14:textFill>
            <w14:solidFill>
              <w14:schemeClr w14:val="tx1"/>
            </w14:solidFill>
          </w14:textFill>
        </w:rPr>
      </w:pPr>
      <w:r>
        <w:rPr>
          <w:rFonts w:ascii="宋体" w:hAnsi="宋体" w:cs="宋体" w:hint="eastAsia"/>
          <w:bCs/>
          <w:color w:val="000000" w:themeColor="text1"/>
          <w:kern w:val="0"/>
          <w:szCs w:val="24"/>
          <w14:textFill>
            <w14:solidFill>
              <w14:schemeClr w14:val="tx1"/>
            </w14:solidFill>
          </w14:textFill>
        </w:rPr>
        <w:t>赵娟</w:t>
      </w:r>
      <w:r>
        <w:rPr>
          <w:rFonts w:ascii="Times New Roman" w:hAnsi="Times New Roman" w:eastAsiaTheme="minorEastAsia" w:cs="Times New Roman" w:hint="eastAsia"/>
          <w:bCs/>
          <w:color w:val="000000" w:themeColor="text1"/>
          <w:kern w:val="0"/>
          <w:szCs w:val="24"/>
          <w14:textFill>
            <w14:solidFill>
              <w14:schemeClr w14:val="tx1"/>
            </w14:solidFill>
          </w14:textFill>
        </w:rPr>
        <w:t>（2016）</w:t>
      </w:r>
      <w:r>
        <w:rPr>
          <w:rFonts w:ascii="Times New Roman" w:hAnsi="Times New Roman" w:eastAsiaTheme="minorEastAsia" w:cs="Times New Roman" w:hint="eastAsia"/>
          <w:bCs/>
          <w:color w:val="000000" w:themeColor="text1"/>
          <w:kern w:val="0"/>
          <w:szCs w:val="24"/>
          <w:lang w:val="en-US" w:eastAsia="zh-CN"/>
          <w14:textFill>
            <w14:solidFill>
              <w14:schemeClr w14:val="tx1"/>
            </w14:solidFill>
          </w14:textFill>
        </w:rPr>
        <w:t>基于其从事的行业，提出了这样的观点：对于电力国企而言，其日常的固定资产管理工作十分重要，其有着数量众多的固定资产，必须进一步加强资产管理，从而提高竞争力，降低成本，获得更多的利润，取得更好的发展</w:t>
      </w:r>
      <w:r>
        <w:rPr>
          <w:rFonts w:ascii="Times New Roman" w:hAnsi="Times New Roman" w:eastAsiaTheme="minorEastAsia" w:cs="Times New Roman" w:hint="eastAsia"/>
          <w:bCs/>
          <w:color w:val="000000" w:themeColor="text1"/>
          <w:kern w:val="0"/>
          <w:szCs w:val="24"/>
          <w:vertAlign w:val="superscript"/>
          <w14:textFill>
            <w14:solidFill>
              <w14:schemeClr w14:val="tx1"/>
            </w14:solidFill>
          </w14:textFill>
        </w:rPr>
        <w:t>[14]</w:t>
      </w:r>
      <w:r>
        <w:rPr>
          <w:rFonts w:ascii="Times New Roman" w:hAnsi="Times New Roman" w:eastAsiaTheme="minorEastAsia" w:cs="Times New Roman"/>
          <w:bCs/>
          <w:color w:val="000000" w:themeColor="text1"/>
          <w:kern w:val="0"/>
          <w:szCs w:val="24"/>
          <w14:textFill>
            <w14:solidFill>
              <w14:schemeClr w14:val="tx1"/>
            </w14:solidFill>
          </w14:textFill>
        </w:rPr>
        <w:t>。</w:t>
      </w:r>
    </w:p>
    <w:p>
      <w:pPr>
        <w:widowControl/>
        <w:spacing w:line="460" w:lineRule="exact"/>
        <w:ind w:firstLine="480" w:firstLineChars="200"/>
        <w:rPr>
          <w:rFonts w:ascii="Times New Roman" w:hAnsi="Times New Roman" w:eastAsiaTheme="minorEastAsia" w:cs="Times New Roman" w:hint="default"/>
          <w:bCs/>
          <w:color w:val="000000" w:themeColor="text1"/>
          <w:kern w:val="0"/>
          <w:szCs w:val="24"/>
          <w14:textFill>
            <w14:solidFill>
              <w14:schemeClr w14:val="tx1"/>
            </w14:solidFill>
          </w14:textFill>
        </w:rPr>
      </w:pPr>
      <w:r>
        <w:rPr>
          <w:rFonts w:ascii="宋体" w:hAnsi="宋体" w:cs="宋体" w:hint="eastAsia"/>
          <w:bCs/>
          <w:color w:val="000000" w:themeColor="text1"/>
          <w:kern w:val="0"/>
          <w:szCs w:val="24"/>
          <w14:textFill>
            <w14:solidFill>
              <w14:schemeClr w14:val="tx1"/>
            </w14:solidFill>
          </w14:textFill>
        </w:rPr>
        <w:t>孙慧玲</w:t>
      </w:r>
      <w:r>
        <w:rPr>
          <w:rFonts w:ascii="宋体" w:hAnsi="宋体" w:cs="宋体" w:hint="eastAsia"/>
          <w:bCs/>
          <w:color w:val="000000" w:themeColor="text1"/>
          <w:kern w:val="0"/>
          <w:szCs w:val="24"/>
          <w:lang w:val="en-US" w:eastAsia="zh-CN"/>
          <w14:textFill>
            <w14:solidFill>
              <w14:schemeClr w14:val="tx1"/>
            </w14:solidFill>
          </w14:textFill>
        </w:rPr>
        <w:t>和</w:t>
      </w:r>
      <w:r>
        <w:rPr>
          <w:rFonts w:ascii="宋体" w:hAnsi="宋体" w:cs="宋体" w:hint="eastAsia"/>
          <w:bCs/>
          <w:color w:val="000000" w:themeColor="text1"/>
          <w:kern w:val="0"/>
          <w:szCs w:val="24"/>
          <w14:textFill>
            <w14:solidFill>
              <w14:schemeClr w14:val="tx1"/>
            </w14:solidFill>
          </w14:textFill>
        </w:rPr>
        <w:t>唐丽</w:t>
      </w:r>
      <w:r>
        <w:rPr>
          <w:rFonts w:ascii="Times New Roman" w:hAnsi="Times New Roman" w:eastAsiaTheme="minorEastAsia" w:cs="Times New Roman" w:hint="eastAsia"/>
          <w:bCs/>
          <w:color w:val="000000" w:themeColor="text1"/>
          <w:kern w:val="0"/>
          <w:szCs w:val="24"/>
          <w14:textFill>
            <w14:solidFill>
              <w14:schemeClr w14:val="tx1"/>
            </w14:solidFill>
          </w14:textFill>
        </w:rPr>
        <w:t>（2017）</w:t>
      </w:r>
      <w:r>
        <w:rPr>
          <w:rFonts w:ascii="Times New Roman" w:hAnsi="Times New Roman" w:eastAsiaTheme="minorEastAsia" w:cs="Times New Roman" w:hint="eastAsia"/>
          <w:bCs/>
          <w:color w:val="000000" w:themeColor="text1"/>
          <w:kern w:val="0"/>
          <w:szCs w:val="24"/>
          <w:lang w:val="en-US" w:eastAsia="zh-CN"/>
          <w14:textFill>
            <w14:solidFill>
              <w14:schemeClr w14:val="tx1"/>
            </w14:solidFill>
          </w14:textFill>
        </w:rPr>
        <w:t>选取了G大学作为研究的对象，然后对其固定资产管理开展了相关的深入分析，总结出了管理当中存在的相关突出问题，提出了一些可行的改进措施</w:t>
      </w:r>
      <w:r>
        <w:rPr>
          <w:rFonts w:ascii="Times New Roman" w:hAnsi="Times New Roman" w:eastAsiaTheme="minorEastAsia" w:cs="Times New Roman" w:hint="eastAsia"/>
          <w:bCs/>
          <w:color w:val="000000" w:themeColor="text1"/>
          <w:kern w:val="0"/>
          <w:szCs w:val="24"/>
          <w:vertAlign w:val="superscript"/>
          <w14:textFill>
            <w14:solidFill>
              <w14:schemeClr w14:val="tx1"/>
            </w14:solidFill>
          </w14:textFill>
        </w:rPr>
        <w:t>[15]</w:t>
      </w:r>
      <w:r>
        <w:rPr>
          <w:rFonts w:ascii="Times New Roman" w:hAnsi="Times New Roman" w:eastAsiaTheme="minorEastAsia" w:cs="Times New Roman" w:hint="eastAsia"/>
          <w:bCs/>
          <w:color w:val="000000" w:themeColor="text1"/>
          <w:kern w:val="0"/>
          <w:szCs w:val="24"/>
          <w14:textFill>
            <w14:solidFill>
              <w14:schemeClr w14:val="tx1"/>
            </w14:solidFill>
          </w14:textFill>
        </w:rPr>
        <w:t>。</w:t>
      </w:r>
    </w:p>
    <w:p>
      <w:pPr>
        <w:widowControl/>
        <w:spacing w:line="460" w:lineRule="exact"/>
        <w:ind w:firstLine="480" w:firstLineChars="200"/>
        <w:rPr>
          <w:rFonts w:ascii="宋体" w:hAnsi="宋体" w:cs="宋体" w:hint="default"/>
          <w:bCs/>
          <w:color w:val="000000" w:themeColor="text1"/>
          <w:kern w:val="0"/>
          <w:szCs w:val="24"/>
          <w14:textFill>
            <w14:solidFill>
              <w14:schemeClr w14:val="tx1"/>
            </w14:solidFill>
          </w14:textFill>
        </w:rPr>
        <w:sectPr>
          <w:headerReference w:type="default" r:id="rId32"/>
          <w:footerReference w:type="default" r:id="rId33"/>
          <w:type w:val="nextPage"/>
          <w:pgSz w:w="11906" w:h="16838"/>
          <w:pgMar w:top="1417" w:right="1418" w:bottom="1417" w:left="1559" w:header="851" w:footer="992" w:gutter="0"/>
          <w:pgNumType w:start="9"/>
          <w:cols w:num="1" w:space="0"/>
          <w:titlePg w:val="0"/>
          <w:docGrid w:type="lines" w:linePitch="333" w:charSpace="0"/>
        </w:sectPr>
      </w:pPr>
      <w:r>
        <w:rPr>
          <w:rFonts w:ascii="宋体" w:hAnsi="宋体" w:cs="宋体" w:hint="eastAsia"/>
          <w:bCs/>
          <w:color w:val="000000" w:themeColor="text1"/>
          <w:kern w:val="0"/>
          <w:szCs w:val="24"/>
          <w14:textFill>
            <w14:solidFill>
              <w14:schemeClr w14:val="tx1"/>
            </w14:solidFill>
          </w14:textFill>
        </w:rPr>
        <w:t>罗慧玲（</w:t>
      </w:r>
      <w:r>
        <w:rPr>
          <w:rFonts w:ascii="Times New Roman" w:hAnsi="Times New Roman" w:cs="Times New Roman"/>
          <w:bCs/>
          <w:color w:val="000000" w:themeColor="text1"/>
          <w:kern w:val="0"/>
          <w:szCs w:val="24"/>
          <w14:textFill>
            <w14:solidFill>
              <w14:schemeClr w14:val="tx1"/>
            </w14:solidFill>
          </w14:textFill>
        </w:rPr>
        <w:t>201</w:t>
      </w:r>
      <w:r>
        <w:rPr>
          <w:rFonts w:ascii="Times New Roman" w:hAnsi="Times New Roman" w:cs="Times New Roman" w:hint="eastAsia"/>
          <w:bCs/>
          <w:color w:val="000000" w:themeColor="text1"/>
          <w:kern w:val="0"/>
          <w:szCs w:val="24"/>
          <w14:textFill>
            <w14:solidFill>
              <w14:schemeClr w14:val="tx1"/>
            </w14:solidFill>
          </w14:textFill>
        </w:rPr>
        <w:t>6</w:t>
      </w:r>
      <w:r>
        <w:rPr>
          <w:rFonts w:ascii="宋体" w:hAnsi="宋体" w:cs="宋体" w:hint="eastAsia"/>
          <w:bCs/>
          <w:color w:val="000000" w:themeColor="text1"/>
          <w:kern w:val="0"/>
          <w:szCs w:val="24"/>
          <w14:textFill>
            <w14:solidFill>
              <w14:schemeClr w14:val="tx1"/>
            </w14:solidFill>
          </w14:textFill>
        </w:rPr>
        <w:t>）</w:t>
      </w:r>
      <w:r>
        <w:rPr>
          <w:rFonts w:ascii="宋体" w:hAnsi="宋体" w:cs="宋体" w:hint="eastAsia"/>
          <w:bCs/>
          <w:color w:val="000000" w:themeColor="text1"/>
          <w:kern w:val="0"/>
          <w:szCs w:val="24"/>
          <w:lang w:val="en-US" w:eastAsia="zh-CN"/>
          <w14:textFill>
            <w14:solidFill>
              <w14:schemeClr w14:val="tx1"/>
            </w14:solidFill>
          </w14:textFill>
        </w:rPr>
        <w:t>以相关的行政事业单位作为研究对象，对其固定资产管理开展了相关的研究分析，最后发现了其中一些比较突出的问题</w:t>
      </w:r>
      <w:r>
        <w:rPr>
          <w:rFonts w:ascii="Times New Roman" w:hAnsi="Times New Roman" w:eastAsiaTheme="minorEastAsia" w:cs="Times New Roman" w:hint="eastAsia"/>
          <w:bCs/>
          <w:color w:val="000000" w:themeColor="text1"/>
          <w:kern w:val="0"/>
          <w:szCs w:val="24"/>
          <w:vertAlign w:val="superscript"/>
          <w14:textFill>
            <w14:solidFill>
              <w14:schemeClr w14:val="tx1"/>
            </w14:solidFill>
          </w14:textFill>
        </w:rPr>
        <w:t>[16]</w:t>
      </w:r>
      <w:r>
        <w:rPr>
          <w:rFonts w:ascii="宋体" w:hAnsi="宋体" w:cs="宋体" w:hint="eastAsia"/>
          <w:bCs/>
          <w:color w:val="000000" w:themeColor="text1"/>
          <w:kern w:val="0"/>
          <w:szCs w:val="24"/>
          <w14:textFill>
            <w14:solidFill>
              <w14:schemeClr w14:val="tx1"/>
            </w14:solidFill>
          </w14:textFill>
        </w:rPr>
        <w:t>。</w:t>
      </w:r>
    </w:p>
    <w:p>
      <w:pPr>
        <w:widowControl/>
        <w:spacing w:line="460" w:lineRule="exact"/>
        <w:ind w:firstLine="480" w:firstLineChars="200"/>
        <w:rPr>
          <w:rFonts w:ascii="宋体" w:hAnsi="宋体" w:cs="宋体"/>
          <w:bCs/>
          <w:color w:val="000000" w:themeColor="text1"/>
          <w:kern w:val="0"/>
          <w:szCs w:val="24"/>
          <w14:textFill>
            <w14:solidFill>
              <w14:schemeClr w14:val="tx1"/>
            </w14:solidFill>
          </w14:textFill>
        </w:rPr>
      </w:pPr>
      <w:r>
        <w:rPr>
          <w:rFonts w:ascii="宋体" w:hAnsi="宋体" w:cs="宋体" w:hint="eastAsia"/>
          <w:bCs/>
          <w:color w:val="000000" w:themeColor="text1"/>
          <w:kern w:val="0"/>
          <w:szCs w:val="24"/>
          <w14:textFill>
            <w14:solidFill>
              <w14:schemeClr w14:val="tx1"/>
            </w14:solidFill>
          </w14:textFill>
        </w:rPr>
        <w:t>王凤（</w:t>
      </w:r>
      <w:r>
        <w:rPr>
          <w:rFonts w:ascii="Times New Roman" w:hAnsi="Times New Roman" w:cs="Times New Roman"/>
          <w:bCs/>
          <w:color w:val="000000" w:themeColor="text1"/>
          <w:kern w:val="0"/>
          <w:szCs w:val="24"/>
          <w14:textFill>
            <w14:solidFill>
              <w14:schemeClr w14:val="tx1"/>
            </w14:solidFill>
          </w14:textFill>
        </w:rPr>
        <w:t>20</w:t>
      </w:r>
      <w:r>
        <w:rPr>
          <w:rFonts w:ascii="Times New Roman" w:hAnsi="Times New Roman" w:cs="Times New Roman" w:hint="eastAsia"/>
          <w:bCs/>
          <w:color w:val="000000" w:themeColor="text1"/>
          <w:kern w:val="0"/>
          <w:szCs w:val="24"/>
          <w14:textFill>
            <w14:solidFill>
              <w14:schemeClr w14:val="tx1"/>
            </w14:solidFill>
          </w14:textFill>
        </w:rPr>
        <w:t>18</w:t>
      </w:r>
      <w:r>
        <w:rPr>
          <w:rFonts w:ascii="宋体" w:hAnsi="宋体" w:cs="宋体" w:hint="eastAsia"/>
          <w:bCs/>
          <w:color w:val="000000" w:themeColor="text1"/>
          <w:kern w:val="0"/>
          <w:szCs w:val="24"/>
          <w14:textFill>
            <w14:solidFill>
              <w14:schemeClr w14:val="tx1"/>
            </w14:solidFill>
          </w14:textFill>
        </w:rPr>
        <w:t>）表示行政事业单位固定资产管理过程中应该充分发挥监察及审计部门的作用，监察及审计部门应当定期和不定期的清查资产并及时发现问题和改正错误</w:t>
      </w:r>
      <w:r>
        <w:rPr>
          <w:rFonts w:ascii="Times New Roman" w:hAnsi="Times New Roman" w:eastAsiaTheme="minorEastAsia" w:cs="Times New Roman" w:hint="eastAsia"/>
          <w:bCs/>
          <w:color w:val="000000" w:themeColor="text1"/>
          <w:kern w:val="0"/>
          <w:szCs w:val="24"/>
          <w:vertAlign w:val="superscript"/>
          <w14:textFill>
            <w14:solidFill>
              <w14:schemeClr w14:val="tx1"/>
            </w14:solidFill>
          </w14:textFill>
        </w:rPr>
        <w:t>[17]</w:t>
      </w:r>
      <w:r>
        <w:rPr>
          <w:rFonts w:ascii="宋体" w:hAnsi="宋体" w:cs="宋体" w:hint="eastAsia"/>
          <w:bCs/>
          <w:color w:val="000000" w:themeColor="text1"/>
          <w:kern w:val="0"/>
          <w:szCs w:val="24"/>
          <w14:textFill>
            <w14:solidFill>
              <w14:schemeClr w14:val="tx1"/>
            </w14:solidFill>
          </w14:textFill>
        </w:rPr>
        <w:t>。</w:t>
      </w:r>
    </w:p>
    <w:p>
      <w:pPr>
        <w:widowControl/>
        <w:spacing w:line="460" w:lineRule="exact"/>
        <w:ind w:firstLine="480" w:firstLineChars="200"/>
        <w:rPr>
          <w:rFonts w:ascii="宋体" w:hAnsi="宋体" w:cs="宋体"/>
          <w:bCs/>
          <w:color w:val="000000" w:themeColor="text1"/>
          <w:kern w:val="0"/>
          <w:szCs w:val="24"/>
          <w14:textFill>
            <w14:solidFill>
              <w14:schemeClr w14:val="tx1"/>
            </w14:solidFill>
          </w14:textFill>
        </w:rPr>
      </w:pPr>
      <w:r>
        <w:rPr>
          <w:rFonts w:ascii="宋体" w:hAnsi="宋体" w:cs="宋体" w:hint="eastAsia"/>
          <w:bCs/>
          <w:color w:val="000000" w:themeColor="text1"/>
          <w:kern w:val="0"/>
          <w:szCs w:val="24"/>
          <w14:textFill>
            <w14:solidFill>
              <w14:schemeClr w14:val="tx1"/>
            </w14:solidFill>
          </w14:textFill>
        </w:rPr>
        <w:t>王芳（</w:t>
      </w:r>
      <w:r>
        <w:rPr>
          <w:rFonts w:ascii="Times New Roman" w:hAnsi="Times New Roman" w:cs="Times New Roman"/>
          <w:bCs/>
          <w:color w:val="000000" w:themeColor="text1"/>
          <w:kern w:val="0"/>
          <w:szCs w:val="24"/>
          <w14:textFill>
            <w14:solidFill>
              <w14:schemeClr w14:val="tx1"/>
            </w14:solidFill>
          </w14:textFill>
        </w:rPr>
        <w:t>2016</w:t>
      </w:r>
      <w:r>
        <w:rPr>
          <w:rFonts w:ascii="宋体" w:hAnsi="宋体" w:cs="宋体" w:hint="eastAsia"/>
          <w:bCs/>
          <w:color w:val="000000" w:themeColor="text1"/>
          <w:kern w:val="0"/>
          <w:szCs w:val="24"/>
          <w14:textFill>
            <w14:solidFill>
              <w14:schemeClr w14:val="tx1"/>
            </w14:solidFill>
          </w14:textFill>
        </w:rPr>
        <w:t>）</w:t>
      </w:r>
      <w:r>
        <w:rPr>
          <w:rFonts w:ascii="宋体" w:hAnsi="宋体" w:cs="宋体" w:hint="eastAsia"/>
          <w:bCs/>
          <w:color w:val="000000" w:themeColor="text1"/>
          <w:kern w:val="0"/>
          <w:szCs w:val="24"/>
          <w:lang w:val="en-US" w:eastAsia="zh-CN"/>
          <w14:textFill>
            <w14:solidFill>
              <w14:schemeClr w14:val="tx1"/>
            </w14:solidFill>
          </w14:textFill>
        </w:rPr>
        <w:t>以集团企业作为研究对象，对其固定资产管理开展了比较浅显的分析，找出了其中存在的一些比较突出的问题，然后针对这些问题提出了相关的改进手段，对这些问题进行标本兼治。从而最大程度的发挥出固定资产的效能，为企业获得更多的利益，提升企业的竞争力</w:t>
      </w:r>
      <w:r>
        <w:rPr>
          <w:rFonts w:ascii="Times New Roman" w:hAnsi="Times New Roman" w:cs="Times New Roman"/>
          <w:bCs/>
          <w:color w:val="000000" w:themeColor="text1"/>
          <w:kern w:val="0"/>
          <w:szCs w:val="24"/>
          <w:vertAlign w:val="superscript"/>
          <w14:textFill>
            <w14:solidFill>
              <w14:schemeClr w14:val="tx1"/>
            </w14:solidFill>
          </w14:textFill>
        </w:rPr>
        <w:t>[18]</w:t>
      </w:r>
      <w:r>
        <w:rPr>
          <w:rFonts w:ascii="宋体" w:hAnsi="宋体" w:cs="宋体" w:hint="eastAsia"/>
          <w:bCs/>
          <w:color w:val="000000" w:themeColor="text1"/>
          <w:kern w:val="0"/>
          <w:szCs w:val="24"/>
          <w14:textFill>
            <w14:solidFill>
              <w14:schemeClr w14:val="tx1"/>
            </w14:solidFill>
          </w14:textFill>
        </w:rPr>
        <w:t>。</w:t>
      </w:r>
    </w:p>
    <w:p>
      <w:pPr>
        <w:widowControl/>
        <w:spacing w:line="460" w:lineRule="exact"/>
        <w:ind w:firstLine="480" w:firstLineChars="200"/>
        <w:rPr>
          <w:rFonts w:ascii="宋体" w:hAnsi="宋体" w:cs="宋体" w:hint="default"/>
          <w:bCs/>
          <w:color w:val="000000" w:themeColor="text1"/>
          <w:kern w:val="0"/>
          <w:szCs w:val="24"/>
          <w14:textFill>
            <w14:solidFill>
              <w14:schemeClr w14:val="tx1"/>
            </w14:solidFill>
          </w14:textFill>
        </w:rPr>
      </w:pPr>
      <w:r>
        <w:rPr>
          <w:rFonts w:ascii="宋体" w:hAnsi="宋体" w:cs="宋体" w:hint="eastAsia"/>
          <w:bCs/>
          <w:color w:val="000000" w:themeColor="text1"/>
          <w:kern w:val="0"/>
          <w:szCs w:val="24"/>
          <w14:textFill>
            <w14:solidFill>
              <w14:schemeClr w14:val="tx1"/>
            </w14:solidFill>
          </w14:textFill>
        </w:rPr>
        <w:t>倪杰</w:t>
      </w:r>
      <w:r>
        <w:rPr>
          <w:rFonts w:ascii="宋体" w:hAnsi="宋体" w:cs="宋体" w:hint="eastAsia"/>
          <w:bCs/>
          <w:color w:val="000000" w:themeColor="text1"/>
          <w:kern w:val="0"/>
          <w:szCs w:val="24"/>
          <w:lang w:val="en-US" w:eastAsia="zh-CN"/>
          <w14:textFill>
            <w14:solidFill>
              <w14:schemeClr w14:val="tx1"/>
            </w14:solidFill>
          </w14:textFill>
        </w:rPr>
        <w:t>和</w:t>
      </w:r>
      <w:r>
        <w:rPr>
          <w:rFonts w:ascii="宋体" w:hAnsi="宋体" w:cs="宋体" w:hint="eastAsia"/>
          <w:bCs/>
          <w:color w:val="000000" w:themeColor="text1"/>
          <w:kern w:val="0"/>
          <w:szCs w:val="24"/>
          <w14:textFill>
            <w14:solidFill>
              <w14:schemeClr w14:val="tx1"/>
            </w14:solidFill>
          </w14:textFill>
        </w:rPr>
        <w:t>董利颖（</w:t>
      </w:r>
      <w:r>
        <w:rPr>
          <w:rFonts w:ascii="Times New Roman" w:hAnsi="Times New Roman" w:cs="Times New Roman"/>
          <w:bCs/>
          <w:color w:val="000000" w:themeColor="text1"/>
          <w:kern w:val="0"/>
          <w:szCs w:val="24"/>
          <w14:textFill>
            <w14:solidFill>
              <w14:schemeClr w14:val="tx1"/>
            </w14:solidFill>
          </w14:textFill>
        </w:rPr>
        <w:t>2017</w:t>
      </w:r>
      <w:r>
        <w:rPr>
          <w:rFonts w:ascii="宋体" w:hAnsi="宋体" w:cs="宋体" w:hint="eastAsia"/>
          <w:bCs/>
          <w:color w:val="000000" w:themeColor="text1"/>
          <w:kern w:val="0"/>
          <w:szCs w:val="24"/>
          <w14:textFill>
            <w14:solidFill>
              <w14:schemeClr w14:val="tx1"/>
            </w14:solidFill>
          </w14:textFill>
        </w:rPr>
        <w:t>）</w:t>
      </w:r>
      <w:r>
        <w:rPr>
          <w:rFonts w:ascii="宋体" w:hAnsi="宋体" w:cs="宋体" w:hint="eastAsia"/>
          <w:bCs/>
          <w:color w:val="000000" w:themeColor="text1"/>
          <w:kern w:val="0"/>
          <w:szCs w:val="24"/>
          <w:lang w:val="en-US" w:eastAsia="zh-CN"/>
          <w14:textFill>
            <w14:solidFill>
              <w14:schemeClr w14:val="tx1"/>
            </w14:solidFill>
          </w14:textFill>
        </w:rPr>
        <w:t>这两位学者基于不同的视角开展了固定资产的策略研究，最后提出企业应设立专门的部门，来对企业所持有的固定资产进行有效的管理，并随着发展的需要，不断健全相关的管理制度</w:t>
      </w:r>
      <w:r>
        <w:rPr>
          <w:rFonts w:ascii="Times New Roman" w:hAnsi="Times New Roman" w:cs="Times New Roman"/>
          <w:bCs/>
          <w:color w:val="000000" w:themeColor="text1"/>
          <w:kern w:val="0"/>
          <w:szCs w:val="24"/>
          <w:vertAlign w:val="superscript"/>
          <w14:textFill>
            <w14:solidFill>
              <w14:schemeClr w14:val="tx1"/>
            </w14:solidFill>
          </w14:textFill>
        </w:rPr>
        <w:t>[19]</w:t>
      </w:r>
      <w:r>
        <w:rPr>
          <w:rFonts w:ascii="宋体" w:hAnsi="宋体" w:cs="宋体" w:hint="eastAsia"/>
          <w:bCs/>
          <w:color w:val="000000" w:themeColor="text1"/>
          <w:kern w:val="0"/>
          <w:szCs w:val="24"/>
          <w14:textFill>
            <w14:solidFill>
              <w14:schemeClr w14:val="tx1"/>
            </w14:solidFill>
          </w14:textFill>
        </w:rPr>
        <w:t>。</w:t>
      </w:r>
    </w:p>
    <w:p>
      <w:pPr>
        <w:widowControl/>
        <w:spacing w:line="460" w:lineRule="exact"/>
        <w:ind w:firstLine="480" w:firstLineChars="200"/>
        <w:rPr>
          <w:rFonts w:ascii="宋体" w:hAnsi="宋体" w:cs="宋体"/>
          <w:bCs/>
          <w:color w:val="000000" w:themeColor="text1"/>
          <w:kern w:val="0"/>
          <w:szCs w:val="24"/>
          <w14:textFill>
            <w14:solidFill>
              <w14:schemeClr w14:val="tx1"/>
            </w14:solidFill>
          </w14:textFill>
        </w:rPr>
      </w:pPr>
      <w:r>
        <w:rPr>
          <w:rFonts w:ascii="宋体" w:hAnsi="宋体" w:cs="宋体" w:hint="eastAsia"/>
          <w:bCs/>
          <w:color w:val="000000" w:themeColor="text1"/>
          <w:kern w:val="0"/>
          <w:szCs w:val="24"/>
          <w14:textFill>
            <w14:solidFill>
              <w14:schemeClr w14:val="tx1"/>
            </w14:solidFill>
          </w14:textFill>
        </w:rPr>
        <w:t>李斌（</w:t>
      </w:r>
      <w:r>
        <w:rPr>
          <w:rFonts w:ascii="Times New Roman" w:hAnsi="Times New Roman" w:cs="Times New Roman"/>
          <w:bCs/>
          <w:color w:val="000000" w:themeColor="text1"/>
          <w:kern w:val="0"/>
          <w:szCs w:val="24"/>
          <w14:textFill>
            <w14:solidFill>
              <w14:schemeClr w14:val="tx1"/>
            </w14:solidFill>
          </w14:textFill>
        </w:rPr>
        <w:t>201</w:t>
      </w:r>
      <w:r>
        <w:rPr>
          <w:rFonts w:ascii="Times New Roman" w:hAnsi="Times New Roman" w:cs="Times New Roman" w:hint="eastAsia"/>
          <w:bCs/>
          <w:color w:val="000000" w:themeColor="text1"/>
          <w:kern w:val="0"/>
          <w:szCs w:val="24"/>
          <w14:textFill>
            <w14:solidFill>
              <w14:schemeClr w14:val="tx1"/>
            </w14:solidFill>
          </w14:textFill>
        </w:rPr>
        <w:t>8</w:t>
      </w:r>
      <w:r>
        <w:rPr>
          <w:rFonts w:ascii="宋体" w:hAnsi="宋体" w:cs="宋体" w:hint="eastAsia"/>
          <w:bCs/>
          <w:color w:val="000000" w:themeColor="text1"/>
          <w:kern w:val="0"/>
          <w:szCs w:val="24"/>
          <w14:textFill>
            <w14:solidFill>
              <w14:schemeClr w14:val="tx1"/>
            </w14:solidFill>
          </w14:textFill>
        </w:rPr>
        <w:t>）</w:t>
      </w:r>
      <w:r>
        <w:rPr>
          <w:rFonts w:ascii="宋体" w:hAnsi="宋体" w:cs="宋体" w:hint="eastAsia"/>
          <w:bCs/>
          <w:color w:val="000000" w:themeColor="text1"/>
          <w:kern w:val="0"/>
          <w:szCs w:val="24"/>
          <w:lang w:val="en-US" w:eastAsia="zh-CN"/>
          <w14:textFill>
            <w14:solidFill>
              <w14:schemeClr w14:val="tx1"/>
            </w14:solidFill>
          </w14:textFill>
        </w:rPr>
        <w:t>选取了公路部门作为研究对象，对其固定资产管理开展了比较深入的研究工作，最后得出：</w:t>
      </w:r>
      <w:r>
        <w:rPr>
          <w:rFonts w:ascii="宋体" w:hAnsi="宋体" w:cs="宋体" w:hint="eastAsia"/>
          <w:bCs/>
          <w:color w:val="000000" w:themeColor="text1"/>
          <w:kern w:val="0"/>
          <w:szCs w:val="24"/>
          <w14:textFill>
            <w14:solidFill>
              <w14:schemeClr w14:val="tx1"/>
            </w14:solidFill>
          </w14:textFill>
        </w:rPr>
        <w:t>认识不足、重视不够；资产账实不符；固定资产管理人员职务不清，工作流于形式三方面指出公路部门固定资产管理存在的问题</w:t>
      </w:r>
      <w:r>
        <w:rPr>
          <w:rFonts w:ascii="Times New Roman" w:hAnsi="Times New Roman" w:cs="Times New Roman"/>
          <w:bCs/>
          <w:color w:val="000000" w:themeColor="text1"/>
          <w:kern w:val="0"/>
          <w:szCs w:val="24"/>
          <w:vertAlign w:val="superscript"/>
          <w14:textFill>
            <w14:solidFill>
              <w14:schemeClr w14:val="tx1"/>
            </w14:solidFill>
          </w14:textFill>
        </w:rPr>
        <w:t>[20]</w:t>
      </w:r>
      <w:r>
        <w:rPr>
          <w:rFonts w:ascii="宋体" w:hAnsi="宋体" w:cs="宋体" w:hint="eastAsia"/>
          <w:bCs/>
          <w:color w:val="000000" w:themeColor="text1"/>
          <w:kern w:val="0"/>
          <w:szCs w:val="24"/>
          <w14:textFill>
            <w14:solidFill>
              <w14:schemeClr w14:val="tx1"/>
            </w14:solidFill>
          </w14:textFill>
        </w:rPr>
        <w:t>。</w:t>
      </w:r>
    </w:p>
    <w:p>
      <w:pPr>
        <w:widowControl/>
        <w:spacing w:line="460" w:lineRule="exact"/>
        <w:ind w:firstLine="480" w:firstLineChars="200"/>
        <w:rPr>
          <w:rFonts w:ascii="宋体" w:hAnsi="宋体" w:cs="宋体" w:hint="default"/>
          <w:bCs/>
          <w:color w:val="000000" w:themeColor="text1"/>
          <w:kern w:val="0"/>
          <w:szCs w:val="24"/>
          <w14:textFill>
            <w14:solidFill>
              <w14:schemeClr w14:val="tx1"/>
            </w14:solidFill>
          </w14:textFill>
        </w:rPr>
      </w:pPr>
      <w:r>
        <w:rPr>
          <w:rFonts w:ascii="宋体" w:hAnsi="宋体" w:cs="宋体" w:hint="eastAsia"/>
          <w:bCs/>
          <w:color w:val="000000" w:themeColor="text1"/>
          <w:kern w:val="0"/>
          <w:szCs w:val="24"/>
          <w:lang w:val="en-US" w:eastAsia="zh-CN"/>
          <w14:textFill>
            <w14:solidFill>
              <w14:schemeClr w14:val="tx1"/>
            </w14:solidFill>
          </w14:textFill>
        </w:rPr>
        <w:t>从总体上来看，国内企业的固定资产管理处于一个动态变化当中，这主要是由于经济发展阶段不同和企业情况的不同，为了使得固定资产管理工作符合企业的发展战略，必须建立起完善的固定资产管理体系，从而更好的推动企业的发展，给社会经济增长提供更多的内在动力。</w:t>
      </w:r>
    </w:p>
    <w:p>
      <w:pPr>
        <w:pStyle w:val="Heading2"/>
        <w:rPr>
          <w:rFonts w:ascii="宋体" w:eastAsia="宋体" w:hAnsi="宋体" w:cs="宋体"/>
          <w:color w:val="000000" w:themeColor="text1"/>
          <w14:textFill>
            <w14:solidFill>
              <w14:schemeClr w14:val="tx1"/>
            </w14:solidFill>
          </w14:textFill>
        </w:rPr>
      </w:pPr>
      <w:bookmarkStart w:id="29" w:name="_Toc8661"/>
      <w:r>
        <w:rPr>
          <w:rFonts w:ascii="宋体" w:eastAsia="宋体" w:hAnsi="宋体" w:cs="宋体" w:hint="eastAsia"/>
          <w:color w:val="000000" w:themeColor="text1"/>
          <w14:textFill>
            <w14:solidFill>
              <w14:schemeClr w14:val="tx1"/>
            </w14:solidFill>
          </w14:textFill>
        </w:rPr>
        <w:t>（二）相关概念</w:t>
      </w:r>
      <w:bookmarkEnd w:id="29"/>
    </w:p>
    <w:p>
      <w:pPr>
        <w:pStyle w:val="Heading3"/>
        <w:spacing w:before="166" w:after="166"/>
        <w:rPr>
          <w:color w:val="000000" w:themeColor="text1"/>
          <w14:textFill>
            <w14:solidFill>
              <w14:schemeClr w14:val="tx1"/>
            </w14:solidFill>
          </w14:textFill>
        </w:rPr>
      </w:pPr>
      <w:bookmarkStart w:id="30" w:name="_Toc16567"/>
      <w:r>
        <w:rPr>
          <w:rFonts w:hint="eastAsia"/>
          <w:color w:val="000000" w:themeColor="text1"/>
          <w14:textFill>
            <w14:solidFill>
              <w14:schemeClr w14:val="tx1"/>
            </w14:solidFill>
          </w14:textFill>
        </w:rPr>
        <w:t>1</w:t>
      </w:r>
      <w:r>
        <w:rPr>
          <w:rFonts w:ascii="宋体" w:hAnsi="宋体" w:hint="eastAsia"/>
          <w:color w:val="000000" w:themeColor="text1"/>
          <w14:textFill>
            <w14:solidFill>
              <w14:schemeClr w14:val="tx1"/>
            </w14:solidFill>
          </w14:textFill>
        </w:rPr>
        <w:t>.固定资产定义</w:t>
      </w:r>
      <w:bookmarkEnd w:id="30"/>
    </w:p>
    <w:p>
      <w:pPr>
        <w:widowControl/>
        <w:spacing w:line="460" w:lineRule="exact"/>
        <w:ind w:firstLine="480" w:firstLineChars="200"/>
        <w:rPr>
          <w:rFonts w:ascii="宋体" w:hAnsi="宋体" w:cs="宋体" w:hint="default"/>
          <w:bCs/>
          <w:color w:val="000000" w:themeColor="text1"/>
          <w:kern w:val="0"/>
          <w:szCs w:val="24"/>
          <w14:textFill>
            <w14:solidFill>
              <w14:schemeClr w14:val="tx1"/>
            </w14:solidFill>
          </w14:textFill>
        </w:rPr>
      </w:pPr>
      <w:r>
        <w:rPr>
          <w:rFonts w:ascii="宋体" w:hAnsi="宋体" w:cs="宋体" w:hint="eastAsia"/>
          <w:bCs/>
          <w:color w:val="000000" w:themeColor="text1"/>
          <w:kern w:val="0"/>
          <w:szCs w:val="24"/>
          <w:lang w:val="en-US" w:eastAsia="zh-CN"/>
          <w14:textFill>
            <w14:solidFill>
              <w14:schemeClr w14:val="tx1"/>
            </w14:solidFill>
          </w14:textFill>
        </w:rPr>
        <w:t>通常来说，固定资产的具体概念为：企业购买的，用于企业的生产经营的，并且使用年限是大于1个会计年度，一种可以创造价值的有形资产。一般情况下，对于固定资产的确定满足相关的条件：一种是企业所持有的机器、房屋等使用大于1年的生产经营类设备设备，一种是企业所持有的使用大于2年，并且价值高于2000元的非生产经营类的设备。</w:t>
      </w:r>
    </w:p>
    <w:p>
      <w:pPr>
        <w:pStyle w:val="Heading3"/>
        <w:spacing w:before="166" w:after="166"/>
        <w:rPr>
          <w:rFonts w:ascii="宋体" w:hAnsi="宋体" w:cs="宋体"/>
          <w:color w:val="000000" w:themeColor="text1"/>
          <w14:textFill>
            <w14:solidFill>
              <w14:schemeClr w14:val="tx1"/>
            </w14:solidFill>
          </w14:textFill>
        </w:rPr>
      </w:pPr>
      <w:bookmarkStart w:id="31" w:name="_Toc20894"/>
      <w:r>
        <w:rPr>
          <w:rFonts w:hint="eastAsia"/>
          <w:color w:val="000000" w:themeColor="text1"/>
          <w14:textFill>
            <w14:solidFill>
              <w14:schemeClr w14:val="tx1"/>
            </w14:solidFill>
          </w14:textFill>
        </w:rPr>
        <w:t>2</w:t>
      </w:r>
      <w:r>
        <w:rPr>
          <w:rFonts w:ascii="宋体" w:hAnsi="宋体" w:cs="宋体" w:hint="eastAsia"/>
          <w:color w:val="000000" w:themeColor="text1"/>
          <w14:textFill>
            <w14:solidFill>
              <w14:schemeClr w14:val="tx1"/>
            </w14:solidFill>
          </w14:textFill>
        </w:rPr>
        <w:t>.固定资产管理概念</w:t>
      </w:r>
      <w:bookmarkEnd w:id="31"/>
    </w:p>
    <w:p>
      <w:pPr>
        <w:widowControl/>
        <w:spacing w:line="460" w:lineRule="exact"/>
        <w:ind w:firstLine="480" w:firstLineChars="200"/>
        <w:rPr>
          <w:rFonts w:ascii="宋体" w:hAnsi="宋体" w:cs="宋体" w:hint="default"/>
          <w:bCs/>
          <w:color w:val="000000" w:themeColor="text1"/>
          <w:kern w:val="0"/>
          <w:szCs w:val="24"/>
          <w14:textFill>
            <w14:solidFill>
              <w14:schemeClr w14:val="tx1"/>
            </w14:solidFill>
          </w14:textFill>
        </w:rPr>
      </w:pPr>
      <w:r>
        <w:rPr>
          <w:rFonts w:ascii="宋体" w:hAnsi="宋体" w:cs="宋体" w:hint="eastAsia"/>
          <w:bCs/>
          <w:color w:val="000000" w:themeColor="text1"/>
          <w:kern w:val="0"/>
          <w:szCs w:val="24"/>
          <w:lang w:val="en-US" w:eastAsia="zh-CN"/>
          <w14:textFill>
            <w14:solidFill>
              <w14:schemeClr w14:val="tx1"/>
            </w14:solidFill>
          </w14:textFill>
        </w:rPr>
        <w:t>从本质上来看，固定资产管理是一个长期的过程。所以，在本文里面，固定资产的具体定义为：企业用相关的有效管理活动，来有力的提升资产使用效率，最大程度的降低资产的浪费，发挥出资产的最大效能的一类活动。</w:t>
      </w:r>
      <w:r>
        <w:rPr>
          <w:rFonts w:ascii="宋体" w:hAnsi="宋体" w:cs="宋体" w:hint="default"/>
          <w:bCs/>
          <w:color w:val="000000" w:themeColor="text1"/>
          <w:kern w:val="0"/>
          <w:szCs w:val="24"/>
          <w14:textFill>
            <w14:solidFill>
              <w14:schemeClr w14:val="tx1"/>
            </w14:solidFill>
          </w14:textFill>
        </w:rPr>
        <w:br/>
      </w:r>
      <w:r>
        <w:rPr>
          <w:rFonts w:ascii="宋体" w:hAnsi="宋体" w:cs="宋体" w:hint="default"/>
          <w:bCs/>
          <w:color w:val="000000" w:themeColor="text1"/>
          <w:kern w:val="0"/>
          <w:szCs w:val="24"/>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https://d.book118.com/125144014222011102</w:t>
        </w:r>
      </w:hyperlink>
    </w:p>
    <w:p>
      <w:pPr>
        <w:widowControl/>
        <w:spacing w:line="460" w:lineRule="exact"/>
        <w:ind w:firstLine="480" w:firstLineChars="200"/>
        <w:rPr>
          <w:rFonts w:ascii="宋体" w:hAnsi="宋体" w:cs="宋体" w:hint="default"/>
          <w:bCs/>
          <w:color w:val="000000" w:themeColor="text1"/>
          <w:kern w:val="0"/>
          <w:szCs w:val="24"/>
          <w14:textFill>
            <w14:solidFill>
              <w14:schemeClr w14:val="tx1"/>
            </w14:solidFill>
          </w14:textFill>
        </w:rPr>
      </w:pPr>
    </w:p>
    <w:sectPr>
      <w:headerReference w:type="default" r:id="rId35"/>
      <w:footerReference w:type="default" r:id="rId36"/>
      <w:type w:val="nextPage"/>
      <w:pgSz w:w="11906" w:h="16838"/>
      <w:pgMar w:top="1417" w:right="1418" w:bottom="1417" w:left="1559" w:header="851" w:footer="992" w:gutter="0"/>
      <w:pgNumType w:start="10"/>
      <w:cols w:num="1" w:space="0"/>
      <w:titlePg w:val="0"/>
      <w:docGrid w:type="lines" w:linePitch="33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1"/>
    <w:family w:val="auto"/>
    <w:pitch w:val="default"/>
    <w:sig w:usb0="E0002EFF" w:usb1="C000785B" w:usb2="00000009" w:usb3="00000000" w:csb0="4008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49" type="#_x0000_t202" style="width:2in;height:2in;margin-top:0;margin-left:0;mso-height-relative:page;mso-position-horizontal:center;mso-position-horizontal-relative:margin;mso-width-relative:page;mso-wrap-style:none;position:absolute;z-index:251658240"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0" type="#_x0000_t202" style="width:2in;height:2in;margin-top:0;margin-left:0;mso-height-relative:page;mso-position-horizontal:center;mso-position-horizontal-relative:margin;mso-width-relative:page;mso-wrap-style:none;position:absolute;z-index:251659264"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1" type="#_x0000_t202" style="width:2in;height:2in;margin-top:0;margin-left:0;mso-height-relative:page;mso-position-horizontal:center;mso-position-horizontal-relative:margin;mso-width-relative:page;mso-wrap-style:none;position:absolute;z-index:251660288"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2" type="#_x0000_t202" style="width:2in;height:2in;margin-top:0;margin-left:0;mso-height-relative:page;mso-position-horizontal:center;mso-position-horizontal-relative:margin;mso-width-relative:page;mso-wrap-style:none;position:absolute;z-index:251661312"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3" type="#_x0000_t202" style="width:2in;height:2in;margin-top:0;margin-left:0;mso-height-relative:page;mso-position-horizontal:center;mso-position-horizontal-relative:margin;mso-width-relative:page;mso-wrap-style:none;position:absolute;z-index:251662336"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4" type="#_x0000_t202" style="width:2in;height:2in;margin-top:0;margin-left:0;mso-height-relative:page;mso-position-horizontal:center;mso-position-horizontal-relative:margin;mso-width-relative:page;mso-wrap-style:none;position:absolute;z-index:251663360"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5" type="#_x0000_t202" style="width:2in;height:2in;margin-top:0;margin-left:0;mso-height-relative:page;mso-position-horizontal:center;mso-position-horizontal-relative:margin;mso-width-relative:page;mso-wrap-style:none;position:absolute;z-index:251664384"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6" type="#_x0000_t202" style="width:2in;height:2in;margin-top:0;margin-left:0;mso-height-relative:page;mso-position-horizontal:center;mso-position-horizontal-relative:margin;mso-width-relative:page;mso-wrap-style:none;position:absolute;z-index:251665408"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7" type="#_x0000_t202" style="width:2in;height:2in;margin-top:0;margin-left:0;mso-height-relative:page;mso-position-horizontal:center;mso-position-horizontal-relative:margin;mso-width-relative:page;mso-wrap-style:none;position:absolute;z-index:251666432"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8" type="#_x0000_t202" style="width:2in;height:2in;margin-top:0;margin-left:0;mso-height-relative:page;mso-position-horizontal:center;mso-position-horizontal-relative:margin;mso-width-relative:page;mso-wrap-style:none;position:absolute;z-index:251667456" coordsize="21600,21600" filled="f" stroked="f">
          <v:stroke joinstyle="miter"/>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r>
      <w:rPr>
        <w:rFonts w:ascii="Times New Roman" w:hAnsi="Times New Roman" w:cs="Times New Roman" w:hint="eastAsia"/>
      </w:rPr>
      <w:t>1</w:t>
    </w:r>
    <w:r>
      <w:rPr>
        <w:rFonts w:ascii="Times New Roman" w:hAnsi="Times New Roman" w:cs="Times New Roman"/>
      </w:rPr>
      <w:t xml:space="preserve"> </w:t>
    </w:r>
    <w:r>
      <w:rPr>
        <w:rFonts w:ascii="Times New Roman" w:hAnsi="Times New Roman" w:cs="Times New Roman" w:hint="eastAsia"/>
      </w:rPr>
      <w:t>绪论</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r>
      <w:rPr>
        <w:rFonts w:ascii="Times New Roman" w:hAnsi="Times New Roman" w:cs="Times New Roman" w:hint="eastAsia"/>
      </w:rPr>
      <w:t>1</w:t>
    </w:r>
    <w:r>
      <w:rPr>
        <w:rFonts w:ascii="Times New Roman" w:hAnsi="Times New Roman" w:cs="Times New Roman"/>
      </w:rPr>
      <w:t xml:space="preserve"> </w:t>
    </w:r>
    <w:r>
      <w:rPr>
        <w:rFonts w:ascii="Times New Roman" w:hAnsi="Times New Roman" w:cs="Times New Roman" w:hint="eastAsia"/>
      </w:rPr>
      <w:t>绪论</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r>
      <w:rPr>
        <w:rFonts w:ascii="Times New Roman" w:hAnsi="Times New Roman" w:cs="Times New Roman" w:hint="eastAsia"/>
      </w:rPr>
      <w:t>1</w:t>
    </w:r>
    <w:r>
      <w:rPr>
        <w:rFonts w:ascii="Times New Roman" w:hAnsi="Times New Roman" w:cs="Times New Roman"/>
      </w:rPr>
      <w:t xml:space="preserve"> </w:t>
    </w:r>
    <w:r>
      <w:rPr>
        <w:rFonts w:ascii="Times New Roman" w:hAnsi="Times New Roman" w:cs="Times New Roman" w:hint="eastAsia"/>
      </w:rPr>
      <w:t>绪论</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r>
      <w:rPr>
        <w:rFonts w:ascii="Times New Roman" w:hAnsi="Times New Roman" w:cs="Times New Roman" w:hint="eastAsia"/>
      </w:rPr>
      <w:t>1</w:t>
    </w:r>
    <w:r>
      <w:rPr>
        <w:rFonts w:ascii="Times New Roman" w:hAnsi="Times New Roman" w:cs="Times New Roman"/>
      </w:rPr>
      <w:t xml:space="preserve"> </w:t>
    </w:r>
    <w:r>
      <w:rPr>
        <w:rFonts w:ascii="Times New Roman" w:hAnsi="Times New Roman" w:cs="Times New Roman" w:hint="eastAsia"/>
      </w:rPr>
      <w:t>绪论</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r>
      <w:rPr>
        <w:rFonts w:ascii="Times New Roman" w:hAnsi="Times New Roman" w:cs="Times New Roman" w:hint="eastAsia"/>
      </w:rPr>
      <w:t>1</w:t>
    </w:r>
    <w:r>
      <w:rPr>
        <w:rFonts w:ascii="Times New Roman" w:hAnsi="Times New Roman" w:cs="Times New Roman"/>
      </w:rPr>
      <w:t xml:space="preserve"> </w:t>
    </w:r>
    <w:r>
      <w:rPr>
        <w:rFonts w:ascii="Times New Roman" w:hAnsi="Times New Roman" w:cs="Times New Roman" w:hint="eastAsia"/>
      </w:rPr>
      <w:t>绪论</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r>
      <w:rPr>
        <w:rFonts w:ascii="Times New Roman" w:hAnsi="Times New Roman" w:cs="Times New Roman" w:hint="eastAsia"/>
      </w:rPr>
      <w:t>1</w:t>
    </w:r>
    <w:r>
      <w:rPr>
        <w:rFonts w:ascii="Times New Roman" w:hAnsi="Times New Roman" w:cs="Times New Roman"/>
      </w:rPr>
      <w:t xml:space="preserve"> </w:t>
    </w:r>
    <w:r>
      <w:rPr>
        <w:rFonts w:ascii="Times New Roman" w:hAnsi="Times New Roman" w:cs="Times New Roman" w:hint="eastAsia"/>
      </w:rPr>
      <w:t>绪论</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ascii="Times New Roman" w:hAnsi="Times New Roman" w:cs="Times New Roman"/>
      </w:rPr>
      <w:t>2</w:t>
    </w:r>
    <w:r>
      <w:rPr>
        <w:rFonts w:ascii="Times New Roman" w:hAnsi="Times New Roman" w:cs="Times New Roman" w:hint="eastAsia"/>
      </w:rPr>
      <w:t xml:space="preserve"> </w:t>
    </w:r>
    <w:r>
      <w:rPr>
        <w:rFonts w:hint="eastAsia"/>
      </w:rPr>
      <w:t>文献综述与相关概念</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ascii="Times New Roman" w:hAnsi="Times New Roman" w:cs="Times New Roman"/>
      </w:rPr>
      <w:t>2</w:t>
    </w:r>
    <w:r>
      <w:rPr>
        <w:rFonts w:ascii="Times New Roman" w:hAnsi="Times New Roman" w:cs="Times New Roman" w:hint="eastAsia"/>
      </w:rPr>
      <w:t xml:space="preserve"> </w:t>
    </w:r>
    <w:r>
      <w:rPr>
        <w:rFonts w:hint="eastAsia"/>
      </w:rPr>
      <w:t>文献综述与相关概念</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ascii="Times New Roman" w:hAnsi="Times New Roman" w:cs="Times New Roman"/>
      </w:rPr>
      <w:t>2</w:t>
    </w:r>
    <w:r>
      <w:rPr>
        <w:rFonts w:ascii="Times New Roman" w:hAnsi="Times New Roman" w:cs="Times New Roman" w:hint="eastAsia"/>
      </w:rPr>
      <w:t xml:space="preserve"> </w:t>
    </w:r>
    <w:r>
      <w:rPr>
        <w:rFonts w:hint="eastAsia"/>
      </w:rPr>
      <w:t>文献综述与相关概念</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ascii="Times New Roman" w:hAnsi="Times New Roman" w:cs="Times New Roman"/>
      </w:rPr>
      <w:t>2</w:t>
    </w:r>
    <w:r>
      <w:rPr>
        <w:rFonts w:ascii="Times New Roman" w:hAnsi="Times New Roman" w:cs="Times New Roman" w:hint="eastAsia"/>
      </w:rPr>
      <w:t xml:space="preserve"> </w:t>
    </w:r>
    <w:r>
      <w:rPr>
        <w:rFonts w:hint="eastAsia"/>
      </w:rPr>
      <w:t>文献综述与相关概念</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E82EA87"/>
    <w:multiLevelType w:val="singleLevel"/>
    <w:tmpl w:val="1E82EA87"/>
    <w:lvl w:ilvl="0">
      <w:start w:val="3"/>
      <w:numFmt w:val="chineseCounting"/>
      <w:suff w:val="nothing"/>
      <w:lvlText w:val="（%1）"/>
      <w:lvlJc w:val="left"/>
      <w:rPr>
        <w:rFonts w:hint="eastAsia"/>
      </w:rPr>
    </w:lvl>
  </w:abstractNum>
  <w:abstractNum w:abstractNumId="1">
    <w:nsid w:val="3E8EEBD4"/>
    <w:multiLevelType w:val="singleLevel"/>
    <w:tmpl w:val="3E8EEBD4"/>
    <w:lvl w:ilvl="0">
      <w:start w:val="5"/>
      <w:numFmt w:val="chineseCounting"/>
      <w:suff w:val="nothing"/>
      <w:lvlText w:val="（%1）"/>
      <w:lvlJc w:val="left"/>
      <w:rPr>
        <w:rFonts w:hint="eastAsia"/>
      </w:rPr>
    </w:lvl>
  </w:abstractNum>
  <w:abstractNum w:abstractNumId="2">
    <w:nsid w:val="4B69F441"/>
    <w:multiLevelType w:val="singleLevel"/>
    <w:tmpl w:val="4B69F441"/>
    <w:lvl w:ilvl="0">
      <w:start w:val="3"/>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bordersDoNotSurroundHeader/>
  <w:bordersDoNotSurroundFooter/>
  <w:defaultTabStop w:val="420"/>
  <w:drawingGridHorizontalSpacing w:val="120"/>
  <w:drawingGridVerticalSpacing w:val="16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3D91"/>
    <w:rsid w:val="000011CF"/>
    <w:rsid w:val="0001586C"/>
    <w:rsid w:val="00015C95"/>
    <w:rsid w:val="00023E05"/>
    <w:rsid w:val="00024721"/>
    <w:rsid w:val="0002743D"/>
    <w:rsid w:val="000344C3"/>
    <w:rsid w:val="00037AC0"/>
    <w:rsid w:val="000424A1"/>
    <w:rsid w:val="0005402A"/>
    <w:rsid w:val="0006137B"/>
    <w:rsid w:val="00061745"/>
    <w:rsid w:val="0006431E"/>
    <w:rsid w:val="00064AF4"/>
    <w:rsid w:val="00065327"/>
    <w:rsid w:val="00074EF7"/>
    <w:rsid w:val="0008326D"/>
    <w:rsid w:val="00083B23"/>
    <w:rsid w:val="0008440B"/>
    <w:rsid w:val="00086E6A"/>
    <w:rsid w:val="00090C44"/>
    <w:rsid w:val="00097749"/>
    <w:rsid w:val="00097D63"/>
    <w:rsid w:val="000A2735"/>
    <w:rsid w:val="000A5B60"/>
    <w:rsid w:val="000A6143"/>
    <w:rsid w:val="000A7C41"/>
    <w:rsid w:val="000B591C"/>
    <w:rsid w:val="000B5BE3"/>
    <w:rsid w:val="000D1946"/>
    <w:rsid w:val="000D7C41"/>
    <w:rsid w:val="000F5E51"/>
    <w:rsid w:val="001227A4"/>
    <w:rsid w:val="00124548"/>
    <w:rsid w:val="00127F20"/>
    <w:rsid w:val="001404BB"/>
    <w:rsid w:val="00147B70"/>
    <w:rsid w:val="00155422"/>
    <w:rsid w:val="001648C2"/>
    <w:rsid w:val="001676CB"/>
    <w:rsid w:val="00173CA4"/>
    <w:rsid w:val="00182AA9"/>
    <w:rsid w:val="001A1A1E"/>
    <w:rsid w:val="001A5558"/>
    <w:rsid w:val="001A6D92"/>
    <w:rsid w:val="001C072A"/>
    <w:rsid w:val="001D024F"/>
    <w:rsid w:val="001D1E1E"/>
    <w:rsid w:val="001D32D2"/>
    <w:rsid w:val="001D3F2F"/>
    <w:rsid w:val="001D5479"/>
    <w:rsid w:val="001E4444"/>
    <w:rsid w:val="00212B2F"/>
    <w:rsid w:val="0021315D"/>
    <w:rsid w:val="00227F66"/>
    <w:rsid w:val="00233089"/>
    <w:rsid w:val="0023639B"/>
    <w:rsid w:val="00237F0A"/>
    <w:rsid w:val="00254858"/>
    <w:rsid w:val="0027139C"/>
    <w:rsid w:val="0027282E"/>
    <w:rsid w:val="0028041C"/>
    <w:rsid w:val="00293AC4"/>
    <w:rsid w:val="002943D0"/>
    <w:rsid w:val="00295EEF"/>
    <w:rsid w:val="002A15F4"/>
    <w:rsid w:val="002B6A27"/>
    <w:rsid w:val="002D0E40"/>
    <w:rsid w:val="002D1E64"/>
    <w:rsid w:val="002E011E"/>
    <w:rsid w:val="002E5A31"/>
    <w:rsid w:val="002F0E07"/>
    <w:rsid w:val="002F182C"/>
    <w:rsid w:val="002F6FB4"/>
    <w:rsid w:val="003065DC"/>
    <w:rsid w:val="003077FF"/>
    <w:rsid w:val="0031268E"/>
    <w:rsid w:val="00320CBF"/>
    <w:rsid w:val="00320DB0"/>
    <w:rsid w:val="00325873"/>
    <w:rsid w:val="00325D7C"/>
    <w:rsid w:val="0033112F"/>
    <w:rsid w:val="003336AB"/>
    <w:rsid w:val="00334748"/>
    <w:rsid w:val="00344C14"/>
    <w:rsid w:val="00367C06"/>
    <w:rsid w:val="00382B73"/>
    <w:rsid w:val="00384130"/>
    <w:rsid w:val="003847A3"/>
    <w:rsid w:val="00386189"/>
    <w:rsid w:val="00387DC6"/>
    <w:rsid w:val="003939B9"/>
    <w:rsid w:val="00397F17"/>
    <w:rsid w:val="003B0801"/>
    <w:rsid w:val="003B2EDA"/>
    <w:rsid w:val="003C0EDD"/>
    <w:rsid w:val="003C0FE6"/>
    <w:rsid w:val="003C40AA"/>
    <w:rsid w:val="003F5375"/>
    <w:rsid w:val="00401867"/>
    <w:rsid w:val="00416B64"/>
    <w:rsid w:val="0042096F"/>
    <w:rsid w:val="0042166F"/>
    <w:rsid w:val="004226B8"/>
    <w:rsid w:val="004260B3"/>
    <w:rsid w:val="00430E76"/>
    <w:rsid w:val="00436A26"/>
    <w:rsid w:val="0043757E"/>
    <w:rsid w:val="00441320"/>
    <w:rsid w:val="004448F3"/>
    <w:rsid w:val="00451C3C"/>
    <w:rsid w:val="00464FA6"/>
    <w:rsid w:val="00480703"/>
    <w:rsid w:val="00487B6B"/>
    <w:rsid w:val="004A1BC2"/>
    <w:rsid w:val="004B1B15"/>
    <w:rsid w:val="004C2413"/>
    <w:rsid w:val="004D1547"/>
    <w:rsid w:val="004D4377"/>
    <w:rsid w:val="004D58AA"/>
    <w:rsid w:val="004D7E9D"/>
    <w:rsid w:val="004E6C55"/>
    <w:rsid w:val="004F2A49"/>
    <w:rsid w:val="004F54C7"/>
    <w:rsid w:val="00502836"/>
    <w:rsid w:val="00524BCD"/>
    <w:rsid w:val="00527198"/>
    <w:rsid w:val="005338D2"/>
    <w:rsid w:val="00535A09"/>
    <w:rsid w:val="0053696C"/>
    <w:rsid w:val="00537288"/>
    <w:rsid w:val="00537945"/>
    <w:rsid w:val="00547EBF"/>
    <w:rsid w:val="0055350D"/>
    <w:rsid w:val="00553FFF"/>
    <w:rsid w:val="00554EDA"/>
    <w:rsid w:val="00556B32"/>
    <w:rsid w:val="005940F1"/>
    <w:rsid w:val="005957C7"/>
    <w:rsid w:val="00596374"/>
    <w:rsid w:val="005A1D59"/>
    <w:rsid w:val="005A217D"/>
    <w:rsid w:val="005A6BAA"/>
    <w:rsid w:val="005B4518"/>
    <w:rsid w:val="005B4551"/>
    <w:rsid w:val="005C29BE"/>
    <w:rsid w:val="005D1E38"/>
    <w:rsid w:val="005D3E53"/>
    <w:rsid w:val="005D3EFF"/>
    <w:rsid w:val="005D691B"/>
    <w:rsid w:val="005E01D7"/>
    <w:rsid w:val="005E1833"/>
    <w:rsid w:val="005E623C"/>
    <w:rsid w:val="005E7BEC"/>
    <w:rsid w:val="005F027D"/>
    <w:rsid w:val="005F39F0"/>
    <w:rsid w:val="00600A88"/>
    <w:rsid w:val="0060662E"/>
    <w:rsid w:val="00620E35"/>
    <w:rsid w:val="00626119"/>
    <w:rsid w:val="00635D28"/>
    <w:rsid w:val="006423F4"/>
    <w:rsid w:val="00645D23"/>
    <w:rsid w:val="006529C7"/>
    <w:rsid w:val="006576AD"/>
    <w:rsid w:val="006664EA"/>
    <w:rsid w:val="00671A06"/>
    <w:rsid w:val="006763BA"/>
    <w:rsid w:val="00682118"/>
    <w:rsid w:val="006905A2"/>
    <w:rsid w:val="006A310E"/>
    <w:rsid w:val="006A31DD"/>
    <w:rsid w:val="006D10AB"/>
    <w:rsid w:val="006D1B22"/>
    <w:rsid w:val="006E0BCE"/>
    <w:rsid w:val="006E3C88"/>
    <w:rsid w:val="006E5F11"/>
    <w:rsid w:val="00703D91"/>
    <w:rsid w:val="00704694"/>
    <w:rsid w:val="00714151"/>
    <w:rsid w:val="00735142"/>
    <w:rsid w:val="00747F6D"/>
    <w:rsid w:val="00751EA7"/>
    <w:rsid w:val="007555FE"/>
    <w:rsid w:val="00772F88"/>
    <w:rsid w:val="00776361"/>
    <w:rsid w:val="00781A5A"/>
    <w:rsid w:val="00784CD8"/>
    <w:rsid w:val="007A6BE6"/>
    <w:rsid w:val="007B2165"/>
    <w:rsid w:val="007B41E3"/>
    <w:rsid w:val="007C1F29"/>
    <w:rsid w:val="007E16C2"/>
    <w:rsid w:val="007F0C8C"/>
    <w:rsid w:val="007F72C2"/>
    <w:rsid w:val="00800FC7"/>
    <w:rsid w:val="0080722D"/>
    <w:rsid w:val="00811FE5"/>
    <w:rsid w:val="008122F0"/>
    <w:rsid w:val="0081430C"/>
    <w:rsid w:val="0082187E"/>
    <w:rsid w:val="008437A0"/>
    <w:rsid w:val="00846BFF"/>
    <w:rsid w:val="00850E2E"/>
    <w:rsid w:val="0085321B"/>
    <w:rsid w:val="0085592D"/>
    <w:rsid w:val="00873AC3"/>
    <w:rsid w:val="008837B5"/>
    <w:rsid w:val="0088413D"/>
    <w:rsid w:val="008939A9"/>
    <w:rsid w:val="0089409A"/>
    <w:rsid w:val="008947E9"/>
    <w:rsid w:val="008A1817"/>
    <w:rsid w:val="008A3E40"/>
    <w:rsid w:val="008A5DCE"/>
    <w:rsid w:val="008A5DE3"/>
    <w:rsid w:val="008A6E22"/>
    <w:rsid w:val="008B49CF"/>
    <w:rsid w:val="008B7434"/>
    <w:rsid w:val="008F7905"/>
    <w:rsid w:val="009064C4"/>
    <w:rsid w:val="009073BE"/>
    <w:rsid w:val="00912641"/>
    <w:rsid w:val="00926385"/>
    <w:rsid w:val="00930C5A"/>
    <w:rsid w:val="009317CD"/>
    <w:rsid w:val="00944531"/>
    <w:rsid w:val="009460E4"/>
    <w:rsid w:val="009512BE"/>
    <w:rsid w:val="009724F5"/>
    <w:rsid w:val="00974D61"/>
    <w:rsid w:val="009A062A"/>
    <w:rsid w:val="009A6E19"/>
    <w:rsid w:val="009A796B"/>
    <w:rsid w:val="009B25A2"/>
    <w:rsid w:val="009C1377"/>
    <w:rsid w:val="009C4B89"/>
    <w:rsid w:val="009C51CC"/>
    <w:rsid w:val="009C738A"/>
    <w:rsid w:val="009D3894"/>
    <w:rsid w:val="009E04F7"/>
    <w:rsid w:val="009E45B7"/>
    <w:rsid w:val="009E48E0"/>
    <w:rsid w:val="009F648B"/>
    <w:rsid w:val="00A07EEE"/>
    <w:rsid w:val="00A11379"/>
    <w:rsid w:val="00A126DF"/>
    <w:rsid w:val="00A1680B"/>
    <w:rsid w:val="00A21278"/>
    <w:rsid w:val="00A47E3F"/>
    <w:rsid w:val="00A5431A"/>
    <w:rsid w:val="00A54B0A"/>
    <w:rsid w:val="00A624B7"/>
    <w:rsid w:val="00A625EE"/>
    <w:rsid w:val="00A77AC4"/>
    <w:rsid w:val="00A855B9"/>
    <w:rsid w:val="00A92922"/>
    <w:rsid w:val="00A93A2F"/>
    <w:rsid w:val="00A93F93"/>
    <w:rsid w:val="00A95ED4"/>
    <w:rsid w:val="00AB6F89"/>
    <w:rsid w:val="00AD301F"/>
    <w:rsid w:val="00AD331B"/>
    <w:rsid w:val="00AF1B71"/>
    <w:rsid w:val="00AF55CA"/>
    <w:rsid w:val="00B24CF4"/>
    <w:rsid w:val="00B34541"/>
    <w:rsid w:val="00B36057"/>
    <w:rsid w:val="00B42F12"/>
    <w:rsid w:val="00B52112"/>
    <w:rsid w:val="00B53C15"/>
    <w:rsid w:val="00B62038"/>
    <w:rsid w:val="00B66328"/>
    <w:rsid w:val="00B75B55"/>
    <w:rsid w:val="00B86EBE"/>
    <w:rsid w:val="00B94487"/>
    <w:rsid w:val="00B95E9F"/>
    <w:rsid w:val="00BC2F99"/>
    <w:rsid w:val="00BC3C7A"/>
    <w:rsid w:val="00BC4B43"/>
    <w:rsid w:val="00BC79D2"/>
    <w:rsid w:val="00BD249F"/>
    <w:rsid w:val="00BD3D41"/>
    <w:rsid w:val="00BD76B9"/>
    <w:rsid w:val="00BE0F4E"/>
    <w:rsid w:val="00BE2119"/>
    <w:rsid w:val="00BF1141"/>
    <w:rsid w:val="00BF647D"/>
    <w:rsid w:val="00C00B03"/>
    <w:rsid w:val="00C00FB5"/>
    <w:rsid w:val="00C05070"/>
    <w:rsid w:val="00C15BBE"/>
    <w:rsid w:val="00C2300C"/>
    <w:rsid w:val="00C24206"/>
    <w:rsid w:val="00C3448C"/>
    <w:rsid w:val="00C44A7E"/>
    <w:rsid w:val="00C4736E"/>
    <w:rsid w:val="00C537DD"/>
    <w:rsid w:val="00C5385F"/>
    <w:rsid w:val="00C76C61"/>
    <w:rsid w:val="00C77831"/>
    <w:rsid w:val="00C855E2"/>
    <w:rsid w:val="00C91B55"/>
    <w:rsid w:val="00CA0E80"/>
    <w:rsid w:val="00CA4902"/>
    <w:rsid w:val="00CC2C82"/>
    <w:rsid w:val="00CC4336"/>
    <w:rsid w:val="00CD31AA"/>
    <w:rsid w:val="00CD3232"/>
    <w:rsid w:val="00CD3F95"/>
    <w:rsid w:val="00CD70A3"/>
    <w:rsid w:val="00CF0109"/>
    <w:rsid w:val="00D04A11"/>
    <w:rsid w:val="00D1084A"/>
    <w:rsid w:val="00D15D8B"/>
    <w:rsid w:val="00D2328A"/>
    <w:rsid w:val="00D304DA"/>
    <w:rsid w:val="00D308E1"/>
    <w:rsid w:val="00D342B9"/>
    <w:rsid w:val="00D367E2"/>
    <w:rsid w:val="00D40FE5"/>
    <w:rsid w:val="00D41E85"/>
    <w:rsid w:val="00D46F8B"/>
    <w:rsid w:val="00D620F1"/>
    <w:rsid w:val="00D63D94"/>
    <w:rsid w:val="00D6549A"/>
    <w:rsid w:val="00D660F5"/>
    <w:rsid w:val="00DA77B7"/>
    <w:rsid w:val="00DB315D"/>
    <w:rsid w:val="00DB5415"/>
    <w:rsid w:val="00DC14C6"/>
    <w:rsid w:val="00DC7E9E"/>
    <w:rsid w:val="00DD457A"/>
    <w:rsid w:val="00DD4C99"/>
    <w:rsid w:val="00E038CF"/>
    <w:rsid w:val="00E15D76"/>
    <w:rsid w:val="00E15FC0"/>
    <w:rsid w:val="00E16161"/>
    <w:rsid w:val="00E177E1"/>
    <w:rsid w:val="00E22218"/>
    <w:rsid w:val="00E25B09"/>
    <w:rsid w:val="00E371EC"/>
    <w:rsid w:val="00E3736B"/>
    <w:rsid w:val="00E72EAB"/>
    <w:rsid w:val="00E82975"/>
    <w:rsid w:val="00E92CCE"/>
    <w:rsid w:val="00EA6067"/>
    <w:rsid w:val="00EB0214"/>
    <w:rsid w:val="00EB0B6E"/>
    <w:rsid w:val="00EC446E"/>
    <w:rsid w:val="00ED238A"/>
    <w:rsid w:val="00ED36B9"/>
    <w:rsid w:val="00ED4587"/>
    <w:rsid w:val="00ED568C"/>
    <w:rsid w:val="00ED6664"/>
    <w:rsid w:val="00EE09B2"/>
    <w:rsid w:val="00EE5B8A"/>
    <w:rsid w:val="00EE5DE6"/>
    <w:rsid w:val="00EF171B"/>
    <w:rsid w:val="00EF4E0C"/>
    <w:rsid w:val="00EF7369"/>
    <w:rsid w:val="00F044B8"/>
    <w:rsid w:val="00F0457E"/>
    <w:rsid w:val="00F26682"/>
    <w:rsid w:val="00F406AD"/>
    <w:rsid w:val="00F47D30"/>
    <w:rsid w:val="00F524DC"/>
    <w:rsid w:val="00F679C4"/>
    <w:rsid w:val="00F84111"/>
    <w:rsid w:val="00F912ED"/>
    <w:rsid w:val="00F93CDE"/>
    <w:rsid w:val="00F9705E"/>
    <w:rsid w:val="00FA4074"/>
    <w:rsid w:val="00FB21FB"/>
    <w:rsid w:val="00FD1676"/>
    <w:rsid w:val="00FD5891"/>
    <w:rsid w:val="00FD769D"/>
    <w:rsid w:val="00FF0F9E"/>
    <w:rsid w:val="00FF43B0"/>
    <w:rsid w:val="010648E1"/>
    <w:rsid w:val="010C4763"/>
    <w:rsid w:val="0120115B"/>
    <w:rsid w:val="01292F96"/>
    <w:rsid w:val="012A0ED1"/>
    <w:rsid w:val="012E228D"/>
    <w:rsid w:val="013079AA"/>
    <w:rsid w:val="014B6454"/>
    <w:rsid w:val="014D1197"/>
    <w:rsid w:val="015C6963"/>
    <w:rsid w:val="017E5E4F"/>
    <w:rsid w:val="0181377B"/>
    <w:rsid w:val="01950159"/>
    <w:rsid w:val="01AE2DCE"/>
    <w:rsid w:val="01E53CAC"/>
    <w:rsid w:val="01EB48DC"/>
    <w:rsid w:val="01F10672"/>
    <w:rsid w:val="01FD6A4F"/>
    <w:rsid w:val="020F54FB"/>
    <w:rsid w:val="022537BA"/>
    <w:rsid w:val="022E2C15"/>
    <w:rsid w:val="023346B4"/>
    <w:rsid w:val="0248606D"/>
    <w:rsid w:val="024F2F85"/>
    <w:rsid w:val="02601937"/>
    <w:rsid w:val="02641AD2"/>
    <w:rsid w:val="027A2AFD"/>
    <w:rsid w:val="028060D4"/>
    <w:rsid w:val="0285112F"/>
    <w:rsid w:val="029313AD"/>
    <w:rsid w:val="02A03EBC"/>
    <w:rsid w:val="02A90915"/>
    <w:rsid w:val="02EA0664"/>
    <w:rsid w:val="02EA5A0C"/>
    <w:rsid w:val="02ED1881"/>
    <w:rsid w:val="02EE0FD2"/>
    <w:rsid w:val="02EF7DA7"/>
    <w:rsid w:val="02F16200"/>
    <w:rsid w:val="0300430E"/>
    <w:rsid w:val="031007CA"/>
    <w:rsid w:val="0319786F"/>
    <w:rsid w:val="032B2495"/>
    <w:rsid w:val="032C3F73"/>
    <w:rsid w:val="032D7DA1"/>
    <w:rsid w:val="033F5FEC"/>
    <w:rsid w:val="035C0BDD"/>
    <w:rsid w:val="035E374A"/>
    <w:rsid w:val="037C5C7F"/>
    <w:rsid w:val="038D44EE"/>
    <w:rsid w:val="0392076B"/>
    <w:rsid w:val="03961367"/>
    <w:rsid w:val="03992D11"/>
    <w:rsid w:val="03A16190"/>
    <w:rsid w:val="03A5563A"/>
    <w:rsid w:val="03A75D5B"/>
    <w:rsid w:val="03BD5D34"/>
    <w:rsid w:val="03D57C81"/>
    <w:rsid w:val="03DF05D0"/>
    <w:rsid w:val="03E6433F"/>
    <w:rsid w:val="03E80698"/>
    <w:rsid w:val="03FA7634"/>
    <w:rsid w:val="04006EBD"/>
    <w:rsid w:val="041A3090"/>
    <w:rsid w:val="041B2CFA"/>
    <w:rsid w:val="042543B2"/>
    <w:rsid w:val="042A4670"/>
    <w:rsid w:val="04396A2B"/>
    <w:rsid w:val="043C02BE"/>
    <w:rsid w:val="04403FF8"/>
    <w:rsid w:val="04432CEA"/>
    <w:rsid w:val="044D2691"/>
    <w:rsid w:val="04547057"/>
    <w:rsid w:val="045B3CA6"/>
    <w:rsid w:val="04716558"/>
    <w:rsid w:val="04820D86"/>
    <w:rsid w:val="04940436"/>
    <w:rsid w:val="04A87D0D"/>
    <w:rsid w:val="04A9601B"/>
    <w:rsid w:val="04C77B1D"/>
    <w:rsid w:val="04CC4C4A"/>
    <w:rsid w:val="04D156C9"/>
    <w:rsid w:val="04D177A3"/>
    <w:rsid w:val="04EB66DB"/>
    <w:rsid w:val="04EE1E76"/>
    <w:rsid w:val="04F04BC1"/>
    <w:rsid w:val="04FD0EC2"/>
    <w:rsid w:val="050C38BB"/>
    <w:rsid w:val="050F5AD2"/>
    <w:rsid w:val="051C0F41"/>
    <w:rsid w:val="051C2B5F"/>
    <w:rsid w:val="0553265E"/>
    <w:rsid w:val="055E0783"/>
    <w:rsid w:val="0562751D"/>
    <w:rsid w:val="05636763"/>
    <w:rsid w:val="056970D6"/>
    <w:rsid w:val="05750EB8"/>
    <w:rsid w:val="057636E7"/>
    <w:rsid w:val="0581695E"/>
    <w:rsid w:val="05A23034"/>
    <w:rsid w:val="05E827F5"/>
    <w:rsid w:val="05FF2845"/>
    <w:rsid w:val="060B105D"/>
    <w:rsid w:val="060D1FDF"/>
    <w:rsid w:val="061272EE"/>
    <w:rsid w:val="0619241C"/>
    <w:rsid w:val="061B7A5B"/>
    <w:rsid w:val="06277607"/>
    <w:rsid w:val="062C0C48"/>
    <w:rsid w:val="0631223E"/>
    <w:rsid w:val="063E5A12"/>
    <w:rsid w:val="06703B08"/>
    <w:rsid w:val="068511F3"/>
    <w:rsid w:val="06872728"/>
    <w:rsid w:val="068E5BEF"/>
    <w:rsid w:val="069F5C3C"/>
    <w:rsid w:val="06A90AAA"/>
    <w:rsid w:val="06C3104C"/>
    <w:rsid w:val="06C7186A"/>
    <w:rsid w:val="06CE29E3"/>
    <w:rsid w:val="06CF74C5"/>
    <w:rsid w:val="06D8716A"/>
    <w:rsid w:val="06DD1EF5"/>
    <w:rsid w:val="06E829DB"/>
    <w:rsid w:val="06F41563"/>
    <w:rsid w:val="06FE42D9"/>
    <w:rsid w:val="06FE5F24"/>
    <w:rsid w:val="070C7D9F"/>
    <w:rsid w:val="071B1FB5"/>
    <w:rsid w:val="07340F4F"/>
    <w:rsid w:val="0736275D"/>
    <w:rsid w:val="074335E8"/>
    <w:rsid w:val="075B4B41"/>
    <w:rsid w:val="07642E1B"/>
    <w:rsid w:val="07666917"/>
    <w:rsid w:val="076A0A20"/>
    <w:rsid w:val="07883A04"/>
    <w:rsid w:val="07936642"/>
    <w:rsid w:val="07954FC6"/>
    <w:rsid w:val="07B74EA7"/>
    <w:rsid w:val="07B81560"/>
    <w:rsid w:val="07BA0C02"/>
    <w:rsid w:val="07D45A8A"/>
    <w:rsid w:val="07ED6ADD"/>
    <w:rsid w:val="07F64D92"/>
    <w:rsid w:val="080466B6"/>
    <w:rsid w:val="08146B75"/>
    <w:rsid w:val="08186B4A"/>
    <w:rsid w:val="081C0388"/>
    <w:rsid w:val="08283089"/>
    <w:rsid w:val="084B4DF7"/>
    <w:rsid w:val="085B0F11"/>
    <w:rsid w:val="08663E5A"/>
    <w:rsid w:val="0879063A"/>
    <w:rsid w:val="088958AD"/>
    <w:rsid w:val="089A396E"/>
    <w:rsid w:val="08B87890"/>
    <w:rsid w:val="08D52179"/>
    <w:rsid w:val="08D547D0"/>
    <w:rsid w:val="08DB57D4"/>
    <w:rsid w:val="08DB69E4"/>
    <w:rsid w:val="09065F15"/>
    <w:rsid w:val="0927002D"/>
    <w:rsid w:val="092A1B35"/>
    <w:rsid w:val="092A346B"/>
    <w:rsid w:val="092D6823"/>
    <w:rsid w:val="09360BBF"/>
    <w:rsid w:val="093C02A1"/>
    <w:rsid w:val="09410E51"/>
    <w:rsid w:val="0947301F"/>
    <w:rsid w:val="094C0C7B"/>
    <w:rsid w:val="094D71A2"/>
    <w:rsid w:val="09532A47"/>
    <w:rsid w:val="095D4E7E"/>
    <w:rsid w:val="096136D6"/>
    <w:rsid w:val="096C19F7"/>
    <w:rsid w:val="098862DE"/>
    <w:rsid w:val="09895E80"/>
    <w:rsid w:val="09937F6F"/>
    <w:rsid w:val="09964726"/>
    <w:rsid w:val="09991B58"/>
    <w:rsid w:val="09A92A60"/>
    <w:rsid w:val="09B95C31"/>
    <w:rsid w:val="09CF4C4F"/>
    <w:rsid w:val="09D06E8E"/>
    <w:rsid w:val="09D25B78"/>
    <w:rsid w:val="09FC07D1"/>
    <w:rsid w:val="0A013FAC"/>
    <w:rsid w:val="0A11196A"/>
    <w:rsid w:val="0A137AB3"/>
    <w:rsid w:val="0A33280B"/>
    <w:rsid w:val="0A4A0EA0"/>
    <w:rsid w:val="0A5E5622"/>
    <w:rsid w:val="0A610864"/>
    <w:rsid w:val="0A61503C"/>
    <w:rsid w:val="0A797A93"/>
    <w:rsid w:val="0A7C5194"/>
    <w:rsid w:val="0A927F7A"/>
    <w:rsid w:val="0A9B3054"/>
    <w:rsid w:val="0A9C3E60"/>
    <w:rsid w:val="0AA21495"/>
    <w:rsid w:val="0AD13549"/>
    <w:rsid w:val="0AD24DBA"/>
    <w:rsid w:val="0AD8787C"/>
    <w:rsid w:val="0ADB7D69"/>
    <w:rsid w:val="0AF85146"/>
    <w:rsid w:val="0AFF5D80"/>
    <w:rsid w:val="0B075A69"/>
    <w:rsid w:val="0B1E1701"/>
    <w:rsid w:val="0B27790E"/>
    <w:rsid w:val="0B283CD5"/>
    <w:rsid w:val="0B32736E"/>
    <w:rsid w:val="0B41352D"/>
    <w:rsid w:val="0B47485C"/>
    <w:rsid w:val="0B594008"/>
    <w:rsid w:val="0B931077"/>
    <w:rsid w:val="0B944729"/>
    <w:rsid w:val="0BB31688"/>
    <w:rsid w:val="0BB34F80"/>
    <w:rsid w:val="0BC931AD"/>
    <w:rsid w:val="0BDF7A39"/>
    <w:rsid w:val="0BEB72B4"/>
    <w:rsid w:val="0BFF7282"/>
    <w:rsid w:val="0C005203"/>
    <w:rsid w:val="0C0F668C"/>
    <w:rsid w:val="0C2D0277"/>
    <w:rsid w:val="0C3D2F21"/>
    <w:rsid w:val="0C454B08"/>
    <w:rsid w:val="0C480DD1"/>
    <w:rsid w:val="0C6C6E46"/>
    <w:rsid w:val="0C725F4B"/>
    <w:rsid w:val="0C73530A"/>
    <w:rsid w:val="0C7C0A6C"/>
    <w:rsid w:val="0C817F64"/>
    <w:rsid w:val="0CB35AD8"/>
    <w:rsid w:val="0CB74299"/>
    <w:rsid w:val="0CCA5FBC"/>
    <w:rsid w:val="0CCD3E13"/>
    <w:rsid w:val="0CDE2A45"/>
    <w:rsid w:val="0CDE7B73"/>
    <w:rsid w:val="0CE4521F"/>
    <w:rsid w:val="0CF73818"/>
    <w:rsid w:val="0D2C386E"/>
    <w:rsid w:val="0D3C0627"/>
    <w:rsid w:val="0D3F032D"/>
    <w:rsid w:val="0D4364EA"/>
    <w:rsid w:val="0D4A1773"/>
    <w:rsid w:val="0D5A5E95"/>
    <w:rsid w:val="0D647141"/>
    <w:rsid w:val="0D682E4C"/>
    <w:rsid w:val="0D6F3FFF"/>
    <w:rsid w:val="0D733C3D"/>
    <w:rsid w:val="0DB85298"/>
    <w:rsid w:val="0DC61371"/>
    <w:rsid w:val="0DC92ADC"/>
    <w:rsid w:val="0DCE1014"/>
    <w:rsid w:val="0DD73F3D"/>
    <w:rsid w:val="0DDA7E25"/>
    <w:rsid w:val="0DDD44A8"/>
    <w:rsid w:val="0DDF42DD"/>
    <w:rsid w:val="0DE33D21"/>
    <w:rsid w:val="0DF95ECB"/>
    <w:rsid w:val="0E106386"/>
    <w:rsid w:val="0E1E1040"/>
    <w:rsid w:val="0E207654"/>
    <w:rsid w:val="0E4529EE"/>
    <w:rsid w:val="0E4F2949"/>
    <w:rsid w:val="0E593C99"/>
    <w:rsid w:val="0E61589F"/>
    <w:rsid w:val="0E621655"/>
    <w:rsid w:val="0E6716C3"/>
    <w:rsid w:val="0E700555"/>
    <w:rsid w:val="0E797271"/>
    <w:rsid w:val="0E7B4675"/>
    <w:rsid w:val="0E813E89"/>
    <w:rsid w:val="0E8828CC"/>
    <w:rsid w:val="0EC16076"/>
    <w:rsid w:val="0ED02174"/>
    <w:rsid w:val="0ED12F48"/>
    <w:rsid w:val="0ED70413"/>
    <w:rsid w:val="0ED77DB9"/>
    <w:rsid w:val="0EFC7825"/>
    <w:rsid w:val="0F0531E9"/>
    <w:rsid w:val="0F0A1089"/>
    <w:rsid w:val="0F1872C9"/>
    <w:rsid w:val="0F2F15F1"/>
    <w:rsid w:val="0F383BDC"/>
    <w:rsid w:val="0F390346"/>
    <w:rsid w:val="0F50385E"/>
    <w:rsid w:val="0F635A30"/>
    <w:rsid w:val="0F6C6841"/>
    <w:rsid w:val="0F6F605B"/>
    <w:rsid w:val="0F812F42"/>
    <w:rsid w:val="0F8C43B9"/>
    <w:rsid w:val="0F950735"/>
    <w:rsid w:val="0F9D1BDB"/>
    <w:rsid w:val="0F9E3C05"/>
    <w:rsid w:val="0F9F099C"/>
    <w:rsid w:val="0FA00958"/>
    <w:rsid w:val="0FD71EB2"/>
    <w:rsid w:val="0FE0392E"/>
    <w:rsid w:val="0FEB1285"/>
    <w:rsid w:val="0FF81707"/>
    <w:rsid w:val="10163C59"/>
    <w:rsid w:val="101C3528"/>
    <w:rsid w:val="10291910"/>
    <w:rsid w:val="105A297E"/>
    <w:rsid w:val="10615CA0"/>
    <w:rsid w:val="106C09E3"/>
    <w:rsid w:val="108E39F9"/>
    <w:rsid w:val="10AC2D04"/>
    <w:rsid w:val="10B95081"/>
    <w:rsid w:val="10BD7D03"/>
    <w:rsid w:val="10D10A73"/>
    <w:rsid w:val="1102483A"/>
    <w:rsid w:val="110B64FD"/>
    <w:rsid w:val="111375F4"/>
    <w:rsid w:val="111556FA"/>
    <w:rsid w:val="111647F1"/>
    <w:rsid w:val="11211284"/>
    <w:rsid w:val="11244453"/>
    <w:rsid w:val="112A52BE"/>
    <w:rsid w:val="112E54A5"/>
    <w:rsid w:val="11363129"/>
    <w:rsid w:val="113B0611"/>
    <w:rsid w:val="113E1E32"/>
    <w:rsid w:val="11473981"/>
    <w:rsid w:val="114C0977"/>
    <w:rsid w:val="11590C6B"/>
    <w:rsid w:val="115E4C8E"/>
    <w:rsid w:val="11623029"/>
    <w:rsid w:val="11700B08"/>
    <w:rsid w:val="117F25BA"/>
    <w:rsid w:val="11877425"/>
    <w:rsid w:val="119711DD"/>
    <w:rsid w:val="11A20223"/>
    <w:rsid w:val="11AC0BF9"/>
    <w:rsid w:val="11B64D8A"/>
    <w:rsid w:val="11C42FA1"/>
    <w:rsid w:val="11E2593D"/>
    <w:rsid w:val="11E71A03"/>
    <w:rsid w:val="11EB23B6"/>
    <w:rsid w:val="121606E9"/>
    <w:rsid w:val="121625B7"/>
    <w:rsid w:val="121D6E4C"/>
    <w:rsid w:val="12276993"/>
    <w:rsid w:val="123D706F"/>
    <w:rsid w:val="12400811"/>
    <w:rsid w:val="124C6D97"/>
    <w:rsid w:val="126276ED"/>
    <w:rsid w:val="126565B8"/>
    <w:rsid w:val="127C7817"/>
    <w:rsid w:val="12834174"/>
    <w:rsid w:val="128B61AC"/>
    <w:rsid w:val="12A659E8"/>
    <w:rsid w:val="12A71EEF"/>
    <w:rsid w:val="12BB35B4"/>
    <w:rsid w:val="12C76054"/>
    <w:rsid w:val="12C95C3B"/>
    <w:rsid w:val="12CA7C12"/>
    <w:rsid w:val="12D07D6A"/>
    <w:rsid w:val="12D87128"/>
    <w:rsid w:val="12DC7AFE"/>
    <w:rsid w:val="12E5363A"/>
    <w:rsid w:val="12E82AB1"/>
    <w:rsid w:val="13047F42"/>
    <w:rsid w:val="130717EF"/>
    <w:rsid w:val="130C6C3A"/>
    <w:rsid w:val="1312797A"/>
    <w:rsid w:val="131373DF"/>
    <w:rsid w:val="131D2D75"/>
    <w:rsid w:val="13301923"/>
    <w:rsid w:val="1343259E"/>
    <w:rsid w:val="134440CA"/>
    <w:rsid w:val="13690D2F"/>
    <w:rsid w:val="13743502"/>
    <w:rsid w:val="13754DA0"/>
    <w:rsid w:val="13772234"/>
    <w:rsid w:val="13853C97"/>
    <w:rsid w:val="13927590"/>
    <w:rsid w:val="13962487"/>
    <w:rsid w:val="13A55DD3"/>
    <w:rsid w:val="13BA594D"/>
    <w:rsid w:val="13C95695"/>
    <w:rsid w:val="13CB334D"/>
    <w:rsid w:val="13DD592F"/>
    <w:rsid w:val="13E01385"/>
    <w:rsid w:val="13E9055C"/>
    <w:rsid w:val="13EC4FE8"/>
    <w:rsid w:val="140466DB"/>
    <w:rsid w:val="142A4C6D"/>
    <w:rsid w:val="1445123D"/>
    <w:rsid w:val="144E6215"/>
    <w:rsid w:val="1457320E"/>
    <w:rsid w:val="145C3C73"/>
    <w:rsid w:val="1477211A"/>
    <w:rsid w:val="147F32C2"/>
    <w:rsid w:val="14901B2C"/>
    <w:rsid w:val="14BF3BDD"/>
    <w:rsid w:val="14DB6CC1"/>
    <w:rsid w:val="14F16560"/>
    <w:rsid w:val="14F309C2"/>
    <w:rsid w:val="151D7DE9"/>
    <w:rsid w:val="151E209A"/>
    <w:rsid w:val="153558A9"/>
    <w:rsid w:val="153C661D"/>
    <w:rsid w:val="154E4FB3"/>
    <w:rsid w:val="155339C7"/>
    <w:rsid w:val="156334B0"/>
    <w:rsid w:val="156B4236"/>
    <w:rsid w:val="158766E8"/>
    <w:rsid w:val="158F1C53"/>
    <w:rsid w:val="15A712FD"/>
    <w:rsid w:val="15A74A32"/>
    <w:rsid w:val="15AC7378"/>
    <w:rsid w:val="15D0379A"/>
    <w:rsid w:val="15D112A3"/>
    <w:rsid w:val="15D25332"/>
    <w:rsid w:val="160E5933"/>
    <w:rsid w:val="16115BDA"/>
    <w:rsid w:val="1617451F"/>
    <w:rsid w:val="16203755"/>
    <w:rsid w:val="16235AE5"/>
    <w:rsid w:val="162817D4"/>
    <w:rsid w:val="1629766E"/>
    <w:rsid w:val="166D4177"/>
    <w:rsid w:val="16710D12"/>
    <w:rsid w:val="16874AD5"/>
    <w:rsid w:val="1687680D"/>
    <w:rsid w:val="16964E52"/>
    <w:rsid w:val="169D4171"/>
    <w:rsid w:val="16A91C5E"/>
    <w:rsid w:val="16AB6F95"/>
    <w:rsid w:val="16BA22F0"/>
    <w:rsid w:val="16BE1B0F"/>
    <w:rsid w:val="16C217FE"/>
    <w:rsid w:val="16C8153C"/>
    <w:rsid w:val="16E459E7"/>
    <w:rsid w:val="16E93108"/>
    <w:rsid w:val="16EF08FA"/>
    <w:rsid w:val="16F11FFB"/>
    <w:rsid w:val="16F56719"/>
    <w:rsid w:val="170D3AD9"/>
    <w:rsid w:val="171C74C1"/>
    <w:rsid w:val="17217FC5"/>
    <w:rsid w:val="172A1BB9"/>
    <w:rsid w:val="17386EB1"/>
    <w:rsid w:val="173F5698"/>
    <w:rsid w:val="17417E43"/>
    <w:rsid w:val="17464F64"/>
    <w:rsid w:val="174706E5"/>
    <w:rsid w:val="174E5CFF"/>
    <w:rsid w:val="17524AD7"/>
    <w:rsid w:val="176132BE"/>
    <w:rsid w:val="176351F8"/>
    <w:rsid w:val="17721A8A"/>
    <w:rsid w:val="17844E8F"/>
    <w:rsid w:val="17892826"/>
    <w:rsid w:val="179F4C05"/>
    <w:rsid w:val="17B756CB"/>
    <w:rsid w:val="17F10707"/>
    <w:rsid w:val="180C4593"/>
    <w:rsid w:val="180C641E"/>
    <w:rsid w:val="181A7BC7"/>
    <w:rsid w:val="18341D39"/>
    <w:rsid w:val="183421D4"/>
    <w:rsid w:val="18367D51"/>
    <w:rsid w:val="183D21BF"/>
    <w:rsid w:val="18524FA1"/>
    <w:rsid w:val="186B00C4"/>
    <w:rsid w:val="18740E87"/>
    <w:rsid w:val="187806F9"/>
    <w:rsid w:val="18791E14"/>
    <w:rsid w:val="188D197E"/>
    <w:rsid w:val="18927E5E"/>
    <w:rsid w:val="18AA322A"/>
    <w:rsid w:val="18B12465"/>
    <w:rsid w:val="18B668F3"/>
    <w:rsid w:val="18C24358"/>
    <w:rsid w:val="18C7631D"/>
    <w:rsid w:val="190A2675"/>
    <w:rsid w:val="19204E8E"/>
    <w:rsid w:val="19242598"/>
    <w:rsid w:val="193A11E0"/>
    <w:rsid w:val="193C36A0"/>
    <w:rsid w:val="193D069E"/>
    <w:rsid w:val="193D0C73"/>
    <w:rsid w:val="19414771"/>
    <w:rsid w:val="19490D9F"/>
    <w:rsid w:val="194B30D5"/>
    <w:rsid w:val="1958090E"/>
    <w:rsid w:val="196262F3"/>
    <w:rsid w:val="198777EB"/>
    <w:rsid w:val="19A15262"/>
    <w:rsid w:val="19AC5AAA"/>
    <w:rsid w:val="19B20C97"/>
    <w:rsid w:val="19C17C49"/>
    <w:rsid w:val="19D96F98"/>
    <w:rsid w:val="19F4363E"/>
    <w:rsid w:val="19F83AA9"/>
    <w:rsid w:val="1A036721"/>
    <w:rsid w:val="1A0830A2"/>
    <w:rsid w:val="1A203D6C"/>
    <w:rsid w:val="1A221EE0"/>
    <w:rsid w:val="1A3419D2"/>
    <w:rsid w:val="1A4E6DAC"/>
    <w:rsid w:val="1A502A8F"/>
    <w:rsid w:val="1A580AFB"/>
    <w:rsid w:val="1A6F38CB"/>
    <w:rsid w:val="1A786AE8"/>
    <w:rsid w:val="1A7C24ED"/>
    <w:rsid w:val="1A8C57F5"/>
    <w:rsid w:val="1AA54040"/>
    <w:rsid w:val="1AAF7849"/>
    <w:rsid w:val="1AD41C00"/>
    <w:rsid w:val="1ADF64C6"/>
    <w:rsid w:val="1AE64EB7"/>
    <w:rsid w:val="1AFC76B4"/>
    <w:rsid w:val="1B007069"/>
    <w:rsid w:val="1B0359E3"/>
    <w:rsid w:val="1B1D6BCA"/>
    <w:rsid w:val="1B344A27"/>
    <w:rsid w:val="1B392E63"/>
    <w:rsid w:val="1B5B1E51"/>
    <w:rsid w:val="1B5D2D45"/>
    <w:rsid w:val="1B5F60E8"/>
    <w:rsid w:val="1B60412C"/>
    <w:rsid w:val="1B605A0B"/>
    <w:rsid w:val="1B741892"/>
    <w:rsid w:val="1B802533"/>
    <w:rsid w:val="1B8560DB"/>
    <w:rsid w:val="1B905EC1"/>
    <w:rsid w:val="1B956B81"/>
    <w:rsid w:val="1B9C3D0E"/>
    <w:rsid w:val="1BA223F1"/>
    <w:rsid w:val="1BC521BA"/>
    <w:rsid w:val="1BD342E2"/>
    <w:rsid w:val="1BD50DD0"/>
    <w:rsid w:val="1BED0011"/>
    <w:rsid w:val="1C081061"/>
    <w:rsid w:val="1C2203D2"/>
    <w:rsid w:val="1C2E2E0F"/>
    <w:rsid w:val="1C3565EE"/>
    <w:rsid w:val="1C431BA4"/>
    <w:rsid w:val="1C472438"/>
    <w:rsid w:val="1C5C447B"/>
    <w:rsid w:val="1C765733"/>
    <w:rsid w:val="1C8050AD"/>
    <w:rsid w:val="1C816518"/>
    <w:rsid w:val="1C86693F"/>
    <w:rsid w:val="1C9A08CB"/>
    <w:rsid w:val="1CB33555"/>
    <w:rsid w:val="1CB7260D"/>
    <w:rsid w:val="1CC20791"/>
    <w:rsid w:val="1CCA3571"/>
    <w:rsid w:val="1CD30FB4"/>
    <w:rsid w:val="1CF37B0C"/>
    <w:rsid w:val="1CFC72CC"/>
    <w:rsid w:val="1D1F22E3"/>
    <w:rsid w:val="1D2327A4"/>
    <w:rsid w:val="1D242A9A"/>
    <w:rsid w:val="1D300802"/>
    <w:rsid w:val="1D3950A3"/>
    <w:rsid w:val="1D3C36FC"/>
    <w:rsid w:val="1D491C9A"/>
    <w:rsid w:val="1D4F044E"/>
    <w:rsid w:val="1D515AF7"/>
    <w:rsid w:val="1D526325"/>
    <w:rsid w:val="1D661BB4"/>
    <w:rsid w:val="1D907605"/>
    <w:rsid w:val="1D9746F2"/>
    <w:rsid w:val="1DA4103E"/>
    <w:rsid w:val="1DB545B7"/>
    <w:rsid w:val="1DBB7BEE"/>
    <w:rsid w:val="1DBD45B5"/>
    <w:rsid w:val="1DC216D3"/>
    <w:rsid w:val="1DC52F4F"/>
    <w:rsid w:val="1DCC5B6F"/>
    <w:rsid w:val="1DD2790C"/>
    <w:rsid w:val="1DE0352F"/>
    <w:rsid w:val="1DE416F6"/>
    <w:rsid w:val="1DE51E2F"/>
    <w:rsid w:val="1DEC5E05"/>
    <w:rsid w:val="1DED7800"/>
    <w:rsid w:val="1DFF70D2"/>
    <w:rsid w:val="1E05502A"/>
    <w:rsid w:val="1E16096B"/>
    <w:rsid w:val="1E324293"/>
    <w:rsid w:val="1E4F7A4F"/>
    <w:rsid w:val="1E653B3E"/>
    <w:rsid w:val="1E6E00FA"/>
    <w:rsid w:val="1E781910"/>
    <w:rsid w:val="1E8A0D40"/>
    <w:rsid w:val="1E9622D2"/>
    <w:rsid w:val="1EAB18B9"/>
    <w:rsid w:val="1ED334B2"/>
    <w:rsid w:val="1ED45644"/>
    <w:rsid w:val="1ED54D4D"/>
    <w:rsid w:val="1EE05E5C"/>
    <w:rsid w:val="1EEB65E1"/>
    <w:rsid w:val="1EF64AD0"/>
    <w:rsid w:val="1EF721A3"/>
    <w:rsid w:val="1F162915"/>
    <w:rsid w:val="1F191178"/>
    <w:rsid w:val="1F2022CD"/>
    <w:rsid w:val="1F211913"/>
    <w:rsid w:val="1F2A7F18"/>
    <w:rsid w:val="1F341DE5"/>
    <w:rsid w:val="1F3C5B43"/>
    <w:rsid w:val="1F3D2451"/>
    <w:rsid w:val="1F420402"/>
    <w:rsid w:val="1F4A1225"/>
    <w:rsid w:val="1F66111A"/>
    <w:rsid w:val="1F6F5C38"/>
    <w:rsid w:val="1F981E2E"/>
    <w:rsid w:val="1FB16A43"/>
    <w:rsid w:val="1FC64995"/>
    <w:rsid w:val="1FCC22AF"/>
    <w:rsid w:val="1FCC3CBC"/>
    <w:rsid w:val="1FCD021C"/>
    <w:rsid w:val="1FD12AE5"/>
    <w:rsid w:val="201740B7"/>
    <w:rsid w:val="2024777A"/>
    <w:rsid w:val="202A56C8"/>
    <w:rsid w:val="206A642B"/>
    <w:rsid w:val="209958EB"/>
    <w:rsid w:val="209B33F8"/>
    <w:rsid w:val="20A2439F"/>
    <w:rsid w:val="20A41C0E"/>
    <w:rsid w:val="20C0246B"/>
    <w:rsid w:val="20DD0A3D"/>
    <w:rsid w:val="20DE259C"/>
    <w:rsid w:val="20DE6D71"/>
    <w:rsid w:val="20E4051C"/>
    <w:rsid w:val="20EB4534"/>
    <w:rsid w:val="20F45F83"/>
    <w:rsid w:val="20F635B9"/>
    <w:rsid w:val="210333B4"/>
    <w:rsid w:val="211C5B28"/>
    <w:rsid w:val="211F7938"/>
    <w:rsid w:val="212040BC"/>
    <w:rsid w:val="21251535"/>
    <w:rsid w:val="21262CE5"/>
    <w:rsid w:val="212751B4"/>
    <w:rsid w:val="21307D81"/>
    <w:rsid w:val="21341A95"/>
    <w:rsid w:val="21414D96"/>
    <w:rsid w:val="21456F79"/>
    <w:rsid w:val="214A3ADF"/>
    <w:rsid w:val="21531ABC"/>
    <w:rsid w:val="21606C20"/>
    <w:rsid w:val="217C5480"/>
    <w:rsid w:val="217D7823"/>
    <w:rsid w:val="218D52F1"/>
    <w:rsid w:val="21B26876"/>
    <w:rsid w:val="21C01B6B"/>
    <w:rsid w:val="21F539A6"/>
    <w:rsid w:val="21FB553E"/>
    <w:rsid w:val="221E1A45"/>
    <w:rsid w:val="22221DFD"/>
    <w:rsid w:val="2233051C"/>
    <w:rsid w:val="22404301"/>
    <w:rsid w:val="22446AEF"/>
    <w:rsid w:val="22450260"/>
    <w:rsid w:val="224B08C9"/>
    <w:rsid w:val="22563C56"/>
    <w:rsid w:val="226C3032"/>
    <w:rsid w:val="22730020"/>
    <w:rsid w:val="227B2545"/>
    <w:rsid w:val="22947172"/>
    <w:rsid w:val="22983D6B"/>
    <w:rsid w:val="22AA2B19"/>
    <w:rsid w:val="22B94EE7"/>
    <w:rsid w:val="22C57228"/>
    <w:rsid w:val="22CB6DBB"/>
    <w:rsid w:val="23097DB8"/>
    <w:rsid w:val="23106135"/>
    <w:rsid w:val="23132644"/>
    <w:rsid w:val="233C0003"/>
    <w:rsid w:val="234252FD"/>
    <w:rsid w:val="234379CB"/>
    <w:rsid w:val="234C50EB"/>
    <w:rsid w:val="235A651C"/>
    <w:rsid w:val="235A7FFF"/>
    <w:rsid w:val="23667485"/>
    <w:rsid w:val="236949D0"/>
    <w:rsid w:val="2379307E"/>
    <w:rsid w:val="237C4076"/>
    <w:rsid w:val="237E63AE"/>
    <w:rsid w:val="2380020D"/>
    <w:rsid w:val="23861052"/>
    <w:rsid w:val="238A4207"/>
    <w:rsid w:val="23A50D66"/>
    <w:rsid w:val="23AC5E4B"/>
    <w:rsid w:val="23E6493A"/>
    <w:rsid w:val="23F61C7C"/>
    <w:rsid w:val="240A7EDD"/>
    <w:rsid w:val="24105DC0"/>
    <w:rsid w:val="241C6BB7"/>
    <w:rsid w:val="24271070"/>
    <w:rsid w:val="2428643D"/>
    <w:rsid w:val="242C4C86"/>
    <w:rsid w:val="242F0B49"/>
    <w:rsid w:val="243C05F3"/>
    <w:rsid w:val="244A6D72"/>
    <w:rsid w:val="245623DE"/>
    <w:rsid w:val="246420C5"/>
    <w:rsid w:val="24656D91"/>
    <w:rsid w:val="24713D41"/>
    <w:rsid w:val="247178C1"/>
    <w:rsid w:val="24776E15"/>
    <w:rsid w:val="24777869"/>
    <w:rsid w:val="24834174"/>
    <w:rsid w:val="248E2C17"/>
    <w:rsid w:val="24933B88"/>
    <w:rsid w:val="249E77A8"/>
    <w:rsid w:val="24A56435"/>
    <w:rsid w:val="24AD537B"/>
    <w:rsid w:val="24B16547"/>
    <w:rsid w:val="24CB78DA"/>
    <w:rsid w:val="24D65F46"/>
    <w:rsid w:val="24F323AE"/>
    <w:rsid w:val="24F50CCC"/>
    <w:rsid w:val="25024517"/>
    <w:rsid w:val="25080AF0"/>
    <w:rsid w:val="250C5CC0"/>
    <w:rsid w:val="25275410"/>
    <w:rsid w:val="25366BF2"/>
    <w:rsid w:val="25506526"/>
    <w:rsid w:val="255527DC"/>
    <w:rsid w:val="255C3876"/>
    <w:rsid w:val="25626432"/>
    <w:rsid w:val="256F32AA"/>
    <w:rsid w:val="257517DD"/>
    <w:rsid w:val="257E5BED"/>
    <w:rsid w:val="257F2F2F"/>
    <w:rsid w:val="2582092F"/>
    <w:rsid w:val="25881189"/>
    <w:rsid w:val="259B28BB"/>
    <w:rsid w:val="25C15259"/>
    <w:rsid w:val="25CC6773"/>
    <w:rsid w:val="25F63D9D"/>
    <w:rsid w:val="26053A58"/>
    <w:rsid w:val="260B3FC1"/>
    <w:rsid w:val="262F5758"/>
    <w:rsid w:val="263770AF"/>
    <w:rsid w:val="264A519E"/>
    <w:rsid w:val="265D789C"/>
    <w:rsid w:val="26713601"/>
    <w:rsid w:val="2673440B"/>
    <w:rsid w:val="268E2700"/>
    <w:rsid w:val="269151A9"/>
    <w:rsid w:val="26935209"/>
    <w:rsid w:val="269A7644"/>
    <w:rsid w:val="26A73B8E"/>
    <w:rsid w:val="26AE705F"/>
    <w:rsid w:val="26BE7355"/>
    <w:rsid w:val="26C10ACD"/>
    <w:rsid w:val="26C37CB4"/>
    <w:rsid w:val="26C91309"/>
    <w:rsid w:val="26E96BE4"/>
    <w:rsid w:val="26FC659B"/>
    <w:rsid w:val="270D54EB"/>
    <w:rsid w:val="27102297"/>
    <w:rsid w:val="27212FEA"/>
    <w:rsid w:val="2729052B"/>
    <w:rsid w:val="273B75B8"/>
    <w:rsid w:val="27442676"/>
    <w:rsid w:val="27610A53"/>
    <w:rsid w:val="277A6695"/>
    <w:rsid w:val="277E4476"/>
    <w:rsid w:val="277E49D1"/>
    <w:rsid w:val="2799733B"/>
    <w:rsid w:val="27A11B97"/>
    <w:rsid w:val="27AA6717"/>
    <w:rsid w:val="27C80251"/>
    <w:rsid w:val="27CA08F3"/>
    <w:rsid w:val="27CD2DE6"/>
    <w:rsid w:val="27D663D7"/>
    <w:rsid w:val="27DD4C83"/>
    <w:rsid w:val="27DF026F"/>
    <w:rsid w:val="27E0459C"/>
    <w:rsid w:val="27FB41CB"/>
    <w:rsid w:val="280716F1"/>
    <w:rsid w:val="280C1D5F"/>
    <w:rsid w:val="280E6866"/>
    <w:rsid w:val="282E2569"/>
    <w:rsid w:val="283A1A95"/>
    <w:rsid w:val="283D77CF"/>
    <w:rsid w:val="2847662D"/>
    <w:rsid w:val="2848125C"/>
    <w:rsid w:val="28587FF4"/>
    <w:rsid w:val="28621338"/>
    <w:rsid w:val="2865763A"/>
    <w:rsid w:val="286B172D"/>
    <w:rsid w:val="28775403"/>
    <w:rsid w:val="288F38DE"/>
    <w:rsid w:val="28A36D50"/>
    <w:rsid w:val="28BE4FCD"/>
    <w:rsid w:val="28BE7A2F"/>
    <w:rsid w:val="28CA08DD"/>
    <w:rsid w:val="28E51EF6"/>
    <w:rsid w:val="28F7057D"/>
    <w:rsid w:val="28FF00D0"/>
    <w:rsid w:val="291D70DC"/>
    <w:rsid w:val="29227400"/>
    <w:rsid w:val="293A43CD"/>
    <w:rsid w:val="293C4FD4"/>
    <w:rsid w:val="294A1931"/>
    <w:rsid w:val="294F2F5B"/>
    <w:rsid w:val="29594DED"/>
    <w:rsid w:val="295B6FE6"/>
    <w:rsid w:val="295E4A5A"/>
    <w:rsid w:val="295E61C4"/>
    <w:rsid w:val="29653D0C"/>
    <w:rsid w:val="296B721A"/>
    <w:rsid w:val="297A6078"/>
    <w:rsid w:val="29944484"/>
    <w:rsid w:val="29B42820"/>
    <w:rsid w:val="29C15639"/>
    <w:rsid w:val="29C526C3"/>
    <w:rsid w:val="29CF2A24"/>
    <w:rsid w:val="29DA5AFA"/>
    <w:rsid w:val="29DF7CA8"/>
    <w:rsid w:val="2A0D217B"/>
    <w:rsid w:val="2A0E19F0"/>
    <w:rsid w:val="2A111AAD"/>
    <w:rsid w:val="2A160A77"/>
    <w:rsid w:val="2A1B6736"/>
    <w:rsid w:val="2A1D5687"/>
    <w:rsid w:val="2A1F6EB5"/>
    <w:rsid w:val="2A206BDD"/>
    <w:rsid w:val="2A216D96"/>
    <w:rsid w:val="2A2545E7"/>
    <w:rsid w:val="2A2571B9"/>
    <w:rsid w:val="2A327101"/>
    <w:rsid w:val="2A4559E6"/>
    <w:rsid w:val="2A4A6AA2"/>
    <w:rsid w:val="2A4A7041"/>
    <w:rsid w:val="2A500C7A"/>
    <w:rsid w:val="2A530CF9"/>
    <w:rsid w:val="2A533E88"/>
    <w:rsid w:val="2A5655E9"/>
    <w:rsid w:val="2A5A7FB8"/>
    <w:rsid w:val="2A5C59CF"/>
    <w:rsid w:val="2A6026E6"/>
    <w:rsid w:val="2A60689A"/>
    <w:rsid w:val="2A7845A0"/>
    <w:rsid w:val="2A7917B7"/>
    <w:rsid w:val="2A811768"/>
    <w:rsid w:val="2ABA731E"/>
    <w:rsid w:val="2AC47156"/>
    <w:rsid w:val="2AC85C57"/>
    <w:rsid w:val="2ADA50AB"/>
    <w:rsid w:val="2AEC4557"/>
    <w:rsid w:val="2AFC0481"/>
    <w:rsid w:val="2B1805CB"/>
    <w:rsid w:val="2B24022E"/>
    <w:rsid w:val="2B44735D"/>
    <w:rsid w:val="2B4B01D3"/>
    <w:rsid w:val="2B5971B7"/>
    <w:rsid w:val="2B6B0D82"/>
    <w:rsid w:val="2B76570F"/>
    <w:rsid w:val="2B93393D"/>
    <w:rsid w:val="2BA641DA"/>
    <w:rsid w:val="2BB14FA4"/>
    <w:rsid w:val="2BB4709E"/>
    <w:rsid w:val="2BCA15A5"/>
    <w:rsid w:val="2BDC4523"/>
    <w:rsid w:val="2BF83E06"/>
    <w:rsid w:val="2BFA3BCA"/>
    <w:rsid w:val="2C061803"/>
    <w:rsid w:val="2C102192"/>
    <w:rsid w:val="2C1A4587"/>
    <w:rsid w:val="2C1C1055"/>
    <w:rsid w:val="2C43124B"/>
    <w:rsid w:val="2C4A1036"/>
    <w:rsid w:val="2C4B728F"/>
    <w:rsid w:val="2C5219C0"/>
    <w:rsid w:val="2C556938"/>
    <w:rsid w:val="2C5D1B73"/>
    <w:rsid w:val="2C61315C"/>
    <w:rsid w:val="2C6E725E"/>
    <w:rsid w:val="2C717E13"/>
    <w:rsid w:val="2C8171E8"/>
    <w:rsid w:val="2C841CBA"/>
    <w:rsid w:val="2C8E4E17"/>
    <w:rsid w:val="2C9365E5"/>
    <w:rsid w:val="2CB1540D"/>
    <w:rsid w:val="2CB802DF"/>
    <w:rsid w:val="2CBB0707"/>
    <w:rsid w:val="2CE66B7A"/>
    <w:rsid w:val="2CF64774"/>
    <w:rsid w:val="2CFD398B"/>
    <w:rsid w:val="2CFE1788"/>
    <w:rsid w:val="2D1D2772"/>
    <w:rsid w:val="2D1F0822"/>
    <w:rsid w:val="2D2025DA"/>
    <w:rsid w:val="2D37079D"/>
    <w:rsid w:val="2D3842F7"/>
    <w:rsid w:val="2D3E0920"/>
    <w:rsid w:val="2D4A0BEE"/>
    <w:rsid w:val="2D4D3398"/>
    <w:rsid w:val="2D50034F"/>
    <w:rsid w:val="2D534C40"/>
    <w:rsid w:val="2D587A09"/>
    <w:rsid w:val="2D6406B5"/>
    <w:rsid w:val="2D6D03F9"/>
    <w:rsid w:val="2D9009CF"/>
    <w:rsid w:val="2D91204B"/>
    <w:rsid w:val="2D920858"/>
    <w:rsid w:val="2D970AB6"/>
    <w:rsid w:val="2DAC6B19"/>
    <w:rsid w:val="2DB004FA"/>
    <w:rsid w:val="2DB55F86"/>
    <w:rsid w:val="2DBF0ABA"/>
    <w:rsid w:val="2DC44961"/>
    <w:rsid w:val="2DCA3650"/>
    <w:rsid w:val="2DD17F98"/>
    <w:rsid w:val="2DDC01DD"/>
    <w:rsid w:val="2DE30C10"/>
    <w:rsid w:val="2DF001B8"/>
    <w:rsid w:val="2DF03EAA"/>
    <w:rsid w:val="2DF276A2"/>
    <w:rsid w:val="2E2D45BB"/>
    <w:rsid w:val="2E3500BB"/>
    <w:rsid w:val="2E5C229A"/>
    <w:rsid w:val="2E623424"/>
    <w:rsid w:val="2E6629F9"/>
    <w:rsid w:val="2E6C0F54"/>
    <w:rsid w:val="2E6D78CF"/>
    <w:rsid w:val="2E724E3E"/>
    <w:rsid w:val="2E7417C3"/>
    <w:rsid w:val="2E7B3A5A"/>
    <w:rsid w:val="2E7C5768"/>
    <w:rsid w:val="2E80176C"/>
    <w:rsid w:val="2E9057DA"/>
    <w:rsid w:val="2E9F3106"/>
    <w:rsid w:val="2EA61C57"/>
    <w:rsid w:val="2EAD6E6A"/>
    <w:rsid w:val="2EBE4168"/>
    <w:rsid w:val="2EBE7F1F"/>
    <w:rsid w:val="2ECF4A6C"/>
    <w:rsid w:val="2EDE52F4"/>
    <w:rsid w:val="2EEC38FE"/>
    <w:rsid w:val="2EF069EC"/>
    <w:rsid w:val="2EF71655"/>
    <w:rsid w:val="2EFF4A8A"/>
    <w:rsid w:val="2F086B47"/>
    <w:rsid w:val="2F15110F"/>
    <w:rsid w:val="2F5A03FD"/>
    <w:rsid w:val="2F5B6658"/>
    <w:rsid w:val="2F6A372B"/>
    <w:rsid w:val="2F714853"/>
    <w:rsid w:val="2F717301"/>
    <w:rsid w:val="2F7E5675"/>
    <w:rsid w:val="2F8339EC"/>
    <w:rsid w:val="2F8B1548"/>
    <w:rsid w:val="2F916B66"/>
    <w:rsid w:val="2FAF176C"/>
    <w:rsid w:val="2FB452E1"/>
    <w:rsid w:val="2FB90EEB"/>
    <w:rsid w:val="2FBF4C83"/>
    <w:rsid w:val="2FC66FEF"/>
    <w:rsid w:val="2FD01A2A"/>
    <w:rsid w:val="2FD11399"/>
    <w:rsid w:val="2FE3314D"/>
    <w:rsid w:val="2FF94921"/>
    <w:rsid w:val="2FFD1B5D"/>
    <w:rsid w:val="30175255"/>
    <w:rsid w:val="301B6C48"/>
    <w:rsid w:val="3029598A"/>
    <w:rsid w:val="302F1FDA"/>
    <w:rsid w:val="30332D8E"/>
    <w:rsid w:val="3040432D"/>
    <w:rsid w:val="305575ED"/>
    <w:rsid w:val="30587E5A"/>
    <w:rsid w:val="305A2182"/>
    <w:rsid w:val="305B36C6"/>
    <w:rsid w:val="305B71FD"/>
    <w:rsid w:val="305F1192"/>
    <w:rsid w:val="30682C59"/>
    <w:rsid w:val="30682EDF"/>
    <w:rsid w:val="30974AA0"/>
    <w:rsid w:val="30A91EDF"/>
    <w:rsid w:val="30AC3884"/>
    <w:rsid w:val="30AE7E86"/>
    <w:rsid w:val="30BF6E3B"/>
    <w:rsid w:val="30C04D84"/>
    <w:rsid w:val="30C92BC7"/>
    <w:rsid w:val="30D13292"/>
    <w:rsid w:val="30D13E2A"/>
    <w:rsid w:val="30DB2C97"/>
    <w:rsid w:val="30EF5380"/>
    <w:rsid w:val="30EF7886"/>
    <w:rsid w:val="31003EC1"/>
    <w:rsid w:val="31181DA8"/>
    <w:rsid w:val="31187B71"/>
    <w:rsid w:val="31202A69"/>
    <w:rsid w:val="312E6986"/>
    <w:rsid w:val="31391447"/>
    <w:rsid w:val="31404660"/>
    <w:rsid w:val="314621D0"/>
    <w:rsid w:val="31471B55"/>
    <w:rsid w:val="31474CC9"/>
    <w:rsid w:val="31495AB6"/>
    <w:rsid w:val="31701445"/>
    <w:rsid w:val="317E764C"/>
    <w:rsid w:val="31A24118"/>
    <w:rsid w:val="31A54D4E"/>
    <w:rsid w:val="31A63C9D"/>
    <w:rsid w:val="31AB16F9"/>
    <w:rsid w:val="31C7027A"/>
    <w:rsid w:val="31E43B71"/>
    <w:rsid w:val="31FD3844"/>
    <w:rsid w:val="31FE513F"/>
    <w:rsid w:val="321F5366"/>
    <w:rsid w:val="321F53EF"/>
    <w:rsid w:val="3231380F"/>
    <w:rsid w:val="324A6043"/>
    <w:rsid w:val="325627D6"/>
    <w:rsid w:val="326121AC"/>
    <w:rsid w:val="3288055E"/>
    <w:rsid w:val="328A048A"/>
    <w:rsid w:val="328B269D"/>
    <w:rsid w:val="32AF00BC"/>
    <w:rsid w:val="32D57A74"/>
    <w:rsid w:val="32E320F2"/>
    <w:rsid w:val="32F93460"/>
    <w:rsid w:val="33001853"/>
    <w:rsid w:val="33040C06"/>
    <w:rsid w:val="33076DC5"/>
    <w:rsid w:val="33157959"/>
    <w:rsid w:val="331E6980"/>
    <w:rsid w:val="332671E8"/>
    <w:rsid w:val="332A4BFC"/>
    <w:rsid w:val="333A075C"/>
    <w:rsid w:val="3355548C"/>
    <w:rsid w:val="33693FBB"/>
    <w:rsid w:val="338E5374"/>
    <w:rsid w:val="338E6A40"/>
    <w:rsid w:val="33A345C3"/>
    <w:rsid w:val="33B47F22"/>
    <w:rsid w:val="33B60702"/>
    <w:rsid w:val="33BE59F5"/>
    <w:rsid w:val="33C02FB0"/>
    <w:rsid w:val="33D00AE1"/>
    <w:rsid w:val="33D93247"/>
    <w:rsid w:val="33DD5C60"/>
    <w:rsid w:val="33E81781"/>
    <w:rsid w:val="340916F0"/>
    <w:rsid w:val="34207097"/>
    <w:rsid w:val="342752D1"/>
    <w:rsid w:val="34347323"/>
    <w:rsid w:val="34417D95"/>
    <w:rsid w:val="34426347"/>
    <w:rsid w:val="34514919"/>
    <w:rsid w:val="345177E6"/>
    <w:rsid w:val="34734E9A"/>
    <w:rsid w:val="34A4641B"/>
    <w:rsid w:val="34A831A1"/>
    <w:rsid w:val="34B65895"/>
    <w:rsid w:val="34CA6B5F"/>
    <w:rsid w:val="34EF1000"/>
    <w:rsid w:val="34F3520C"/>
    <w:rsid w:val="34F9397F"/>
    <w:rsid w:val="351372D2"/>
    <w:rsid w:val="351C6AE7"/>
    <w:rsid w:val="351F5A63"/>
    <w:rsid w:val="35464CD3"/>
    <w:rsid w:val="355A65CA"/>
    <w:rsid w:val="355C6518"/>
    <w:rsid w:val="356D1BE5"/>
    <w:rsid w:val="358277A7"/>
    <w:rsid w:val="35A3025E"/>
    <w:rsid w:val="35A34E95"/>
    <w:rsid w:val="35AD485B"/>
    <w:rsid w:val="35B05C57"/>
    <w:rsid w:val="35B554B4"/>
    <w:rsid w:val="35B630F6"/>
    <w:rsid w:val="35BA7C43"/>
    <w:rsid w:val="35C057D6"/>
    <w:rsid w:val="35C332AA"/>
    <w:rsid w:val="35D727B7"/>
    <w:rsid w:val="35EB2E17"/>
    <w:rsid w:val="35F40B89"/>
    <w:rsid w:val="35F908F8"/>
    <w:rsid w:val="36027E22"/>
    <w:rsid w:val="36070593"/>
    <w:rsid w:val="360B5377"/>
    <w:rsid w:val="362102C6"/>
    <w:rsid w:val="36254AE5"/>
    <w:rsid w:val="362557D4"/>
    <w:rsid w:val="362B4553"/>
    <w:rsid w:val="36330FA7"/>
    <w:rsid w:val="36452478"/>
    <w:rsid w:val="3647614B"/>
    <w:rsid w:val="364D1BD8"/>
    <w:rsid w:val="364E772D"/>
    <w:rsid w:val="36505485"/>
    <w:rsid w:val="3663194C"/>
    <w:rsid w:val="36704924"/>
    <w:rsid w:val="36722A38"/>
    <w:rsid w:val="3679186B"/>
    <w:rsid w:val="367E6750"/>
    <w:rsid w:val="3688268D"/>
    <w:rsid w:val="36990C97"/>
    <w:rsid w:val="369F2C7D"/>
    <w:rsid w:val="369F4381"/>
    <w:rsid w:val="36A67F19"/>
    <w:rsid w:val="36AC7CDF"/>
    <w:rsid w:val="36BC57EC"/>
    <w:rsid w:val="36D7257F"/>
    <w:rsid w:val="36D97C9C"/>
    <w:rsid w:val="36EA2FAD"/>
    <w:rsid w:val="36FB6087"/>
    <w:rsid w:val="37001450"/>
    <w:rsid w:val="370263DF"/>
    <w:rsid w:val="37085FEB"/>
    <w:rsid w:val="370C38CF"/>
    <w:rsid w:val="370F5928"/>
    <w:rsid w:val="371014B7"/>
    <w:rsid w:val="371A2B5E"/>
    <w:rsid w:val="37332569"/>
    <w:rsid w:val="37336A83"/>
    <w:rsid w:val="37361F5C"/>
    <w:rsid w:val="374868D9"/>
    <w:rsid w:val="37701298"/>
    <w:rsid w:val="37826EDE"/>
    <w:rsid w:val="378735D1"/>
    <w:rsid w:val="378B1C6A"/>
    <w:rsid w:val="379B5DCB"/>
    <w:rsid w:val="379C50B3"/>
    <w:rsid w:val="37A14DE8"/>
    <w:rsid w:val="37BF2ED3"/>
    <w:rsid w:val="37C90888"/>
    <w:rsid w:val="37C9414D"/>
    <w:rsid w:val="37CB00D7"/>
    <w:rsid w:val="37DB034A"/>
    <w:rsid w:val="37E674F5"/>
    <w:rsid w:val="37F70245"/>
    <w:rsid w:val="380E0E78"/>
    <w:rsid w:val="380E628C"/>
    <w:rsid w:val="381A2C51"/>
    <w:rsid w:val="382C70D5"/>
    <w:rsid w:val="383021EB"/>
    <w:rsid w:val="383E63E4"/>
    <w:rsid w:val="38423270"/>
    <w:rsid w:val="3845709D"/>
    <w:rsid w:val="3849507A"/>
    <w:rsid w:val="384A6522"/>
    <w:rsid w:val="387B07DD"/>
    <w:rsid w:val="389462E5"/>
    <w:rsid w:val="389C4825"/>
    <w:rsid w:val="389F752A"/>
    <w:rsid w:val="38B36CCE"/>
    <w:rsid w:val="38BA2B82"/>
    <w:rsid w:val="38D75A8B"/>
    <w:rsid w:val="38DC0382"/>
    <w:rsid w:val="38F932E6"/>
    <w:rsid w:val="38FC5BB4"/>
    <w:rsid w:val="390277F3"/>
    <w:rsid w:val="39056919"/>
    <w:rsid w:val="392230C3"/>
    <w:rsid w:val="392B7805"/>
    <w:rsid w:val="392E5A0E"/>
    <w:rsid w:val="39361516"/>
    <w:rsid w:val="393A39E3"/>
    <w:rsid w:val="39492CE3"/>
    <w:rsid w:val="3962381A"/>
    <w:rsid w:val="396D3F09"/>
    <w:rsid w:val="396D7670"/>
    <w:rsid w:val="39742E5F"/>
    <w:rsid w:val="397D310E"/>
    <w:rsid w:val="398D6F6A"/>
    <w:rsid w:val="39952FD2"/>
    <w:rsid w:val="39BA5BC3"/>
    <w:rsid w:val="39D049B1"/>
    <w:rsid w:val="39DA72E3"/>
    <w:rsid w:val="39E515ED"/>
    <w:rsid w:val="39E5726D"/>
    <w:rsid w:val="39E63F9B"/>
    <w:rsid w:val="39F55A61"/>
    <w:rsid w:val="39F84A1E"/>
    <w:rsid w:val="3A1D2CC8"/>
    <w:rsid w:val="3A1D7296"/>
    <w:rsid w:val="3A281EB8"/>
    <w:rsid w:val="3A377CC6"/>
    <w:rsid w:val="3A3C3EF9"/>
    <w:rsid w:val="3A3E5CA9"/>
    <w:rsid w:val="3A483F0C"/>
    <w:rsid w:val="3A490015"/>
    <w:rsid w:val="3A5D5BBC"/>
    <w:rsid w:val="3A644F7E"/>
    <w:rsid w:val="3A79489C"/>
    <w:rsid w:val="3A7F75D5"/>
    <w:rsid w:val="3A813247"/>
    <w:rsid w:val="3A871E3B"/>
    <w:rsid w:val="3A932293"/>
    <w:rsid w:val="3AA11EF1"/>
    <w:rsid w:val="3ABB1E18"/>
    <w:rsid w:val="3AC333FB"/>
    <w:rsid w:val="3AD363C0"/>
    <w:rsid w:val="3ADB635E"/>
    <w:rsid w:val="3ADE2DBD"/>
    <w:rsid w:val="3AF66040"/>
    <w:rsid w:val="3AFE3CB6"/>
    <w:rsid w:val="3B034316"/>
    <w:rsid w:val="3B110613"/>
    <w:rsid w:val="3B2C7F13"/>
    <w:rsid w:val="3B353032"/>
    <w:rsid w:val="3B363AE2"/>
    <w:rsid w:val="3B415DBC"/>
    <w:rsid w:val="3B4D65D7"/>
    <w:rsid w:val="3B525B31"/>
    <w:rsid w:val="3B746073"/>
    <w:rsid w:val="3B7D3174"/>
    <w:rsid w:val="3B8B4C2A"/>
    <w:rsid w:val="3B954ADE"/>
    <w:rsid w:val="3BB12E79"/>
    <w:rsid w:val="3BB53CA6"/>
    <w:rsid w:val="3BBC0829"/>
    <w:rsid w:val="3BC03E36"/>
    <w:rsid w:val="3BC86626"/>
    <w:rsid w:val="3BCB39F7"/>
    <w:rsid w:val="3BCE35C4"/>
    <w:rsid w:val="3BD249DA"/>
    <w:rsid w:val="3BD46576"/>
    <w:rsid w:val="3BE122F8"/>
    <w:rsid w:val="3C00758D"/>
    <w:rsid w:val="3C1B2BD9"/>
    <w:rsid w:val="3C2D7265"/>
    <w:rsid w:val="3C3A70FD"/>
    <w:rsid w:val="3C4233CF"/>
    <w:rsid w:val="3C842EE1"/>
    <w:rsid w:val="3CAF239E"/>
    <w:rsid w:val="3CB007A2"/>
    <w:rsid w:val="3CBF1123"/>
    <w:rsid w:val="3CC704DC"/>
    <w:rsid w:val="3CC81B02"/>
    <w:rsid w:val="3CD4181D"/>
    <w:rsid w:val="3CF4422B"/>
    <w:rsid w:val="3D065BB3"/>
    <w:rsid w:val="3D3B2BE2"/>
    <w:rsid w:val="3D40022A"/>
    <w:rsid w:val="3D403F91"/>
    <w:rsid w:val="3D4C055B"/>
    <w:rsid w:val="3D4F35CF"/>
    <w:rsid w:val="3D5A2373"/>
    <w:rsid w:val="3D5E462D"/>
    <w:rsid w:val="3D6D13A9"/>
    <w:rsid w:val="3D765E77"/>
    <w:rsid w:val="3D8B21A4"/>
    <w:rsid w:val="3D8D2F1E"/>
    <w:rsid w:val="3D9C164A"/>
    <w:rsid w:val="3D9F7219"/>
    <w:rsid w:val="3DA27628"/>
    <w:rsid w:val="3DB413CF"/>
    <w:rsid w:val="3DC426F0"/>
    <w:rsid w:val="3DCB0669"/>
    <w:rsid w:val="3DCD5D0D"/>
    <w:rsid w:val="3DD57FEA"/>
    <w:rsid w:val="3DD85E55"/>
    <w:rsid w:val="3DE20405"/>
    <w:rsid w:val="3DEB5E46"/>
    <w:rsid w:val="3E0F49E6"/>
    <w:rsid w:val="3E2713EE"/>
    <w:rsid w:val="3E2A187D"/>
    <w:rsid w:val="3E4327A0"/>
    <w:rsid w:val="3E491EF3"/>
    <w:rsid w:val="3E517359"/>
    <w:rsid w:val="3E524A3E"/>
    <w:rsid w:val="3E5D22B7"/>
    <w:rsid w:val="3E667BD9"/>
    <w:rsid w:val="3E676677"/>
    <w:rsid w:val="3E6957A4"/>
    <w:rsid w:val="3E800063"/>
    <w:rsid w:val="3E927F07"/>
    <w:rsid w:val="3E933A2B"/>
    <w:rsid w:val="3EB2077C"/>
    <w:rsid w:val="3EB76153"/>
    <w:rsid w:val="3ECA51C6"/>
    <w:rsid w:val="3EE7744B"/>
    <w:rsid w:val="3F020CE7"/>
    <w:rsid w:val="3F044E2D"/>
    <w:rsid w:val="3F09735C"/>
    <w:rsid w:val="3F205151"/>
    <w:rsid w:val="3F3A2FFD"/>
    <w:rsid w:val="3F3F10DD"/>
    <w:rsid w:val="3F4E6496"/>
    <w:rsid w:val="3F5966BC"/>
    <w:rsid w:val="3F62589D"/>
    <w:rsid w:val="3F7F0B17"/>
    <w:rsid w:val="3F824ACB"/>
    <w:rsid w:val="3F8C7C34"/>
    <w:rsid w:val="3F91522E"/>
    <w:rsid w:val="3F9B4ADD"/>
    <w:rsid w:val="3FA77900"/>
    <w:rsid w:val="3FAD5FF5"/>
    <w:rsid w:val="3FB21406"/>
    <w:rsid w:val="3FD56158"/>
    <w:rsid w:val="3FDD5CB8"/>
    <w:rsid w:val="3FEA54E6"/>
    <w:rsid w:val="3FEC3F29"/>
    <w:rsid w:val="3FF03FD4"/>
    <w:rsid w:val="3FF92A0C"/>
    <w:rsid w:val="40361611"/>
    <w:rsid w:val="403D7F9D"/>
    <w:rsid w:val="4047104D"/>
    <w:rsid w:val="405F2622"/>
    <w:rsid w:val="406015A9"/>
    <w:rsid w:val="4060362A"/>
    <w:rsid w:val="40A85AF3"/>
    <w:rsid w:val="40B0699B"/>
    <w:rsid w:val="40BD5222"/>
    <w:rsid w:val="40C17377"/>
    <w:rsid w:val="40F43BBA"/>
    <w:rsid w:val="40F5558E"/>
    <w:rsid w:val="41014AD8"/>
    <w:rsid w:val="41081D0B"/>
    <w:rsid w:val="411B1CA2"/>
    <w:rsid w:val="41271D46"/>
    <w:rsid w:val="414C1544"/>
    <w:rsid w:val="4161403B"/>
    <w:rsid w:val="416C57F8"/>
    <w:rsid w:val="4170371C"/>
    <w:rsid w:val="4172559A"/>
    <w:rsid w:val="41993EA4"/>
    <w:rsid w:val="41A47212"/>
    <w:rsid w:val="41A96A10"/>
    <w:rsid w:val="41C61D44"/>
    <w:rsid w:val="41E24DAA"/>
    <w:rsid w:val="41F45D69"/>
    <w:rsid w:val="42024B4E"/>
    <w:rsid w:val="422E5C68"/>
    <w:rsid w:val="422F339C"/>
    <w:rsid w:val="42590210"/>
    <w:rsid w:val="42635FD2"/>
    <w:rsid w:val="426442E0"/>
    <w:rsid w:val="42670698"/>
    <w:rsid w:val="42695279"/>
    <w:rsid w:val="426A4D0F"/>
    <w:rsid w:val="427016A0"/>
    <w:rsid w:val="427E3BF0"/>
    <w:rsid w:val="428C5607"/>
    <w:rsid w:val="429B2096"/>
    <w:rsid w:val="429C3606"/>
    <w:rsid w:val="429F4075"/>
    <w:rsid w:val="42A20D64"/>
    <w:rsid w:val="42B56D43"/>
    <w:rsid w:val="42BE3C06"/>
    <w:rsid w:val="42C51527"/>
    <w:rsid w:val="42C53D07"/>
    <w:rsid w:val="42CB530E"/>
    <w:rsid w:val="42D73417"/>
    <w:rsid w:val="42DD3B19"/>
    <w:rsid w:val="42F7245C"/>
    <w:rsid w:val="43014F99"/>
    <w:rsid w:val="43145FF0"/>
    <w:rsid w:val="43225D58"/>
    <w:rsid w:val="43277710"/>
    <w:rsid w:val="4332201B"/>
    <w:rsid w:val="43460E3D"/>
    <w:rsid w:val="43511C29"/>
    <w:rsid w:val="4356740D"/>
    <w:rsid w:val="43620174"/>
    <w:rsid w:val="43917692"/>
    <w:rsid w:val="43B46F66"/>
    <w:rsid w:val="43CE130A"/>
    <w:rsid w:val="43CF5499"/>
    <w:rsid w:val="43D204D8"/>
    <w:rsid w:val="43E75A47"/>
    <w:rsid w:val="43F92433"/>
    <w:rsid w:val="44056802"/>
    <w:rsid w:val="4405680F"/>
    <w:rsid w:val="440712E6"/>
    <w:rsid w:val="44225A28"/>
    <w:rsid w:val="442D0802"/>
    <w:rsid w:val="443163FD"/>
    <w:rsid w:val="445823C2"/>
    <w:rsid w:val="44590A5C"/>
    <w:rsid w:val="447A5467"/>
    <w:rsid w:val="448057F2"/>
    <w:rsid w:val="44944F79"/>
    <w:rsid w:val="44A10C9D"/>
    <w:rsid w:val="44A270AB"/>
    <w:rsid w:val="44B16755"/>
    <w:rsid w:val="44B71729"/>
    <w:rsid w:val="44BE30AC"/>
    <w:rsid w:val="44C27E1A"/>
    <w:rsid w:val="44CE5CC7"/>
    <w:rsid w:val="44D84E92"/>
    <w:rsid w:val="44E71184"/>
    <w:rsid w:val="44E74572"/>
    <w:rsid w:val="44EA0122"/>
    <w:rsid w:val="44EF105E"/>
    <w:rsid w:val="44F8152B"/>
    <w:rsid w:val="44F902C8"/>
    <w:rsid w:val="44F95FC4"/>
    <w:rsid w:val="44F96FA5"/>
    <w:rsid w:val="44FE1247"/>
    <w:rsid w:val="45033917"/>
    <w:rsid w:val="45073D52"/>
    <w:rsid w:val="450A6256"/>
    <w:rsid w:val="451025E3"/>
    <w:rsid w:val="451C3C2D"/>
    <w:rsid w:val="451D69DC"/>
    <w:rsid w:val="453D4F23"/>
    <w:rsid w:val="455B669B"/>
    <w:rsid w:val="455D7FAC"/>
    <w:rsid w:val="45701034"/>
    <w:rsid w:val="457152E6"/>
    <w:rsid w:val="45840904"/>
    <w:rsid w:val="4589734A"/>
    <w:rsid w:val="458A381B"/>
    <w:rsid w:val="459C4F1E"/>
    <w:rsid w:val="45AC45EF"/>
    <w:rsid w:val="45AE4949"/>
    <w:rsid w:val="45C23CE2"/>
    <w:rsid w:val="45CE00A4"/>
    <w:rsid w:val="45D10D19"/>
    <w:rsid w:val="45D16E2B"/>
    <w:rsid w:val="45E0259F"/>
    <w:rsid w:val="45F5026A"/>
    <w:rsid w:val="46060528"/>
    <w:rsid w:val="46271D75"/>
    <w:rsid w:val="46307312"/>
    <w:rsid w:val="463137EE"/>
    <w:rsid w:val="463A74EA"/>
    <w:rsid w:val="46413BC1"/>
    <w:rsid w:val="466A0431"/>
    <w:rsid w:val="467C0C03"/>
    <w:rsid w:val="46843CDB"/>
    <w:rsid w:val="46904CDD"/>
    <w:rsid w:val="469318AC"/>
    <w:rsid w:val="469A2567"/>
    <w:rsid w:val="46A16A11"/>
    <w:rsid w:val="46AC6725"/>
    <w:rsid w:val="46AD593F"/>
    <w:rsid w:val="46AF14A2"/>
    <w:rsid w:val="46B23C56"/>
    <w:rsid w:val="46B82F56"/>
    <w:rsid w:val="46BE2EAA"/>
    <w:rsid w:val="46D44941"/>
    <w:rsid w:val="46DB49DB"/>
    <w:rsid w:val="46E27D6C"/>
    <w:rsid w:val="46F2378A"/>
    <w:rsid w:val="46FD52BC"/>
    <w:rsid w:val="470E13CE"/>
    <w:rsid w:val="471B0B23"/>
    <w:rsid w:val="473F429D"/>
    <w:rsid w:val="4746237E"/>
    <w:rsid w:val="4760587B"/>
    <w:rsid w:val="4762060F"/>
    <w:rsid w:val="47695102"/>
    <w:rsid w:val="476F320C"/>
    <w:rsid w:val="478C3C56"/>
    <w:rsid w:val="47A847DB"/>
    <w:rsid w:val="47AD2A9B"/>
    <w:rsid w:val="47AE4F66"/>
    <w:rsid w:val="47B73810"/>
    <w:rsid w:val="47BD6340"/>
    <w:rsid w:val="47CD24D9"/>
    <w:rsid w:val="47D03495"/>
    <w:rsid w:val="47DA4988"/>
    <w:rsid w:val="47DF6141"/>
    <w:rsid w:val="47F96F0D"/>
    <w:rsid w:val="48024436"/>
    <w:rsid w:val="48113D22"/>
    <w:rsid w:val="48114295"/>
    <w:rsid w:val="48470CBB"/>
    <w:rsid w:val="48494CAD"/>
    <w:rsid w:val="484C71E3"/>
    <w:rsid w:val="485B6C2D"/>
    <w:rsid w:val="486C2B2E"/>
    <w:rsid w:val="48733226"/>
    <w:rsid w:val="487C5B2F"/>
    <w:rsid w:val="489D5AB4"/>
    <w:rsid w:val="489F3755"/>
    <w:rsid w:val="48AB6DAC"/>
    <w:rsid w:val="48BC57F7"/>
    <w:rsid w:val="48C45A7F"/>
    <w:rsid w:val="48C7129E"/>
    <w:rsid w:val="48D24373"/>
    <w:rsid w:val="48DA1C9A"/>
    <w:rsid w:val="48E33C01"/>
    <w:rsid w:val="48E56C4B"/>
    <w:rsid w:val="49145985"/>
    <w:rsid w:val="49246A6A"/>
    <w:rsid w:val="492D06B5"/>
    <w:rsid w:val="49390BA7"/>
    <w:rsid w:val="494B0835"/>
    <w:rsid w:val="49540ECF"/>
    <w:rsid w:val="495C7907"/>
    <w:rsid w:val="49770479"/>
    <w:rsid w:val="49814A51"/>
    <w:rsid w:val="498774E8"/>
    <w:rsid w:val="498C4A22"/>
    <w:rsid w:val="49C7073A"/>
    <w:rsid w:val="49E2792D"/>
    <w:rsid w:val="49E56859"/>
    <w:rsid w:val="49F36A04"/>
    <w:rsid w:val="4A0F3696"/>
    <w:rsid w:val="4A144F6F"/>
    <w:rsid w:val="4A2C6CF0"/>
    <w:rsid w:val="4A3B7D8E"/>
    <w:rsid w:val="4A483682"/>
    <w:rsid w:val="4A4E6905"/>
    <w:rsid w:val="4A6E66E5"/>
    <w:rsid w:val="4A725BC6"/>
    <w:rsid w:val="4A7A54BC"/>
    <w:rsid w:val="4A7C776D"/>
    <w:rsid w:val="4A822D97"/>
    <w:rsid w:val="4A897160"/>
    <w:rsid w:val="4A9F71AF"/>
    <w:rsid w:val="4AA72D54"/>
    <w:rsid w:val="4AAB100E"/>
    <w:rsid w:val="4AAC7D5F"/>
    <w:rsid w:val="4AB46C65"/>
    <w:rsid w:val="4AB5599A"/>
    <w:rsid w:val="4AD64F0F"/>
    <w:rsid w:val="4AEC0C23"/>
    <w:rsid w:val="4AF46E84"/>
    <w:rsid w:val="4B097566"/>
    <w:rsid w:val="4B1C0DF0"/>
    <w:rsid w:val="4B213B54"/>
    <w:rsid w:val="4B410BAA"/>
    <w:rsid w:val="4B431027"/>
    <w:rsid w:val="4B507F48"/>
    <w:rsid w:val="4B6830DE"/>
    <w:rsid w:val="4B696833"/>
    <w:rsid w:val="4B7B56D4"/>
    <w:rsid w:val="4B8267AD"/>
    <w:rsid w:val="4B88322A"/>
    <w:rsid w:val="4BA833E2"/>
    <w:rsid w:val="4BA9510A"/>
    <w:rsid w:val="4BB370B4"/>
    <w:rsid w:val="4BCE0B6E"/>
    <w:rsid w:val="4BCF6D38"/>
    <w:rsid w:val="4BD47B81"/>
    <w:rsid w:val="4BE60998"/>
    <w:rsid w:val="4BF85852"/>
    <w:rsid w:val="4BF9057B"/>
    <w:rsid w:val="4BFF4ECE"/>
    <w:rsid w:val="4BFF5D87"/>
    <w:rsid w:val="4C0018AD"/>
    <w:rsid w:val="4C083D83"/>
    <w:rsid w:val="4C0C65C4"/>
    <w:rsid w:val="4C167A24"/>
    <w:rsid w:val="4C2B3527"/>
    <w:rsid w:val="4C307DFF"/>
    <w:rsid w:val="4C531561"/>
    <w:rsid w:val="4C622272"/>
    <w:rsid w:val="4C691241"/>
    <w:rsid w:val="4C6B63CB"/>
    <w:rsid w:val="4C724F99"/>
    <w:rsid w:val="4C7F63C4"/>
    <w:rsid w:val="4CA23C0E"/>
    <w:rsid w:val="4CA40D45"/>
    <w:rsid w:val="4CA55C06"/>
    <w:rsid w:val="4CAC5BA6"/>
    <w:rsid w:val="4CC051A3"/>
    <w:rsid w:val="4CCF7CDB"/>
    <w:rsid w:val="4CDC13A0"/>
    <w:rsid w:val="4CEE7B93"/>
    <w:rsid w:val="4D02106A"/>
    <w:rsid w:val="4D0573DC"/>
    <w:rsid w:val="4D057758"/>
    <w:rsid w:val="4D083683"/>
    <w:rsid w:val="4D1C2A9B"/>
    <w:rsid w:val="4D346BA8"/>
    <w:rsid w:val="4D4D6FF6"/>
    <w:rsid w:val="4D4F75E1"/>
    <w:rsid w:val="4D8A3719"/>
    <w:rsid w:val="4D945FDB"/>
    <w:rsid w:val="4D9801A1"/>
    <w:rsid w:val="4D9C58DB"/>
    <w:rsid w:val="4DDB6DB1"/>
    <w:rsid w:val="4DE13970"/>
    <w:rsid w:val="4DE300C9"/>
    <w:rsid w:val="4DF01638"/>
    <w:rsid w:val="4DF84F32"/>
    <w:rsid w:val="4E1866CE"/>
    <w:rsid w:val="4E213E28"/>
    <w:rsid w:val="4E2567BE"/>
    <w:rsid w:val="4E292C78"/>
    <w:rsid w:val="4E363DE5"/>
    <w:rsid w:val="4E390E95"/>
    <w:rsid w:val="4E441A0B"/>
    <w:rsid w:val="4E470216"/>
    <w:rsid w:val="4E5120CB"/>
    <w:rsid w:val="4E761081"/>
    <w:rsid w:val="4E7875AC"/>
    <w:rsid w:val="4E9A74D1"/>
    <w:rsid w:val="4EA239EA"/>
    <w:rsid w:val="4EB0237F"/>
    <w:rsid w:val="4EB119B9"/>
    <w:rsid w:val="4EBB6E5C"/>
    <w:rsid w:val="4ECA075C"/>
    <w:rsid w:val="4EDC16EE"/>
    <w:rsid w:val="4EF26650"/>
    <w:rsid w:val="4EF53474"/>
    <w:rsid w:val="4EF90C62"/>
    <w:rsid w:val="4EFB7E7E"/>
    <w:rsid w:val="4F0641D7"/>
    <w:rsid w:val="4F0A14A9"/>
    <w:rsid w:val="4F0E1E69"/>
    <w:rsid w:val="4F2201BE"/>
    <w:rsid w:val="4F226C30"/>
    <w:rsid w:val="4F2659D8"/>
    <w:rsid w:val="4F43337A"/>
    <w:rsid w:val="4F532210"/>
    <w:rsid w:val="4F555135"/>
    <w:rsid w:val="4F581B4E"/>
    <w:rsid w:val="4F5E278B"/>
    <w:rsid w:val="4F712F64"/>
    <w:rsid w:val="4F8E0710"/>
    <w:rsid w:val="4F977140"/>
    <w:rsid w:val="4FA607FF"/>
    <w:rsid w:val="4FA67B25"/>
    <w:rsid w:val="4FA74F58"/>
    <w:rsid w:val="4FBB654A"/>
    <w:rsid w:val="4FDF2B38"/>
    <w:rsid w:val="4FDF6CC1"/>
    <w:rsid w:val="4FE71C22"/>
    <w:rsid w:val="4FE9027B"/>
    <w:rsid w:val="4FF67130"/>
    <w:rsid w:val="5007530E"/>
    <w:rsid w:val="5007741A"/>
    <w:rsid w:val="500D0840"/>
    <w:rsid w:val="503316B4"/>
    <w:rsid w:val="50363F31"/>
    <w:rsid w:val="50383454"/>
    <w:rsid w:val="503B1FA3"/>
    <w:rsid w:val="503E5744"/>
    <w:rsid w:val="504300E2"/>
    <w:rsid w:val="50472D4D"/>
    <w:rsid w:val="50531F83"/>
    <w:rsid w:val="507B5404"/>
    <w:rsid w:val="5087450C"/>
    <w:rsid w:val="509031C7"/>
    <w:rsid w:val="50956059"/>
    <w:rsid w:val="509B4594"/>
    <w:rsid w:val="509C69AE"/>
    <w:rsid w:val="50B80657"/>
    <w:rsid w:val="50C518A1"/>
    <w:rsid w:val="50C905D1"/>
    <w:rsid w:val="50CF4F47"/>
    <w:rsid w:val="50D1767C"/>
    <w:rsid w:val="50DB6D0B"/>
    <w:rsid w:val="50EA448D"/>
    <w:rsid w:val="50EB64D1"/>
    <w:rsid w:val="50EE7B0E"/>
    <w:rsid w:val="50FB579A"/>
    <w:rsid w:val="50FC2FEA"/>
    <w:rsid w:val="51150960"/>
    <w:rsid w:val="51162DF2"/>
    <w:rsid w:val="512F0977"/>
    <w:rsid w:val="513D5A50"/>
    <w:rsid w:val="51552A2A"/>
    <w:rsid w:val="51653B89"/>
    <w:rsid w:val="516C42FC"/>
    <w:rsid w:val="517D2CB7"/>
    <w:rsid w:val="51A7444D"/>
    <w:rsid w:val="51AA11C2"/>
    <w:rsid w:val="51AB569B"/>
    <w:rsid w:val="51AD7F19"/>
    <w:rsid w:val="51B55817"/>
    <w:rsid w:val="51C43800"/>
    <w:rsid w:val="51C9715F"/>
    <w:rsid w:val="51C97C41"/>
    <w:rsid w:val="51DD5E9C"/>
    <w:rsid w:val="51E23106"/>
    <w:rsid w:val="51F35D1F"/>
    <w:rsid w:val="51FC4A19"/>
    <w:rsid w:val="5209011C"/>
    <w:rsid w:val="52091AAD"/>
    <w:rsid w:val="52096B6D"/>
    <w:rsid w:val="52156F3C"/>
    <w:rsid w:val="52172D7E"/>
    <w:rsid w:val="52227BC0"/>
    <w:rsid w:val="5227604E"/>
    <w:rsid w:val="52476069"/>
    <w:rsid w:val="524A58DA"/>
    <w:rsid w:val="52533ABC"/>
    <w:rsid w:val="526665DA"/>
    <w:rsid w:val="526F4BA1"/>
    <w:rsid w:val="527B30CA"/>
    <w:rsid w:val="528D0E4B"/>
    <w:rsid w:val="529D02DE"/>
    <w:rsid w:val="52A1475B"/>
    <w:rsid w:val="52AA386D"/>
    <w:rsid w:val="52AF45B4"/>
    <w:rsid w:val="52C00DBF"/>
    <w:rsid w:val="52C47564"/>
    <w:rsid w:val="52F12B01"/>
    <w:rsid w:val="53016963"/>
    <w:rsid w:val="53051A79"/>
    <w:rsid w:val="53244EB9"/>
    <w:rsid w:val="53294438"/>
    <w:rsid w:val="53336B0B"/>
    <w:rsid w:val="533B1D1D"/>
    <w:rsid w:val="53492FCD"/>
    <w:rsid w:val="535D0155"/>
    <w:rsid w:val="536578EE"/>
    <w:rsid w:val="536719E1"/>
    <w:rsid w:val="53741307"/>
    <w:rsid w:val="537E0B00"/>
    <w:rsid w:val="53914A82"/>
    <w:rsid w:val="539B4F9C"/>
    <w:rsid w:val="539B7466"/>
    <w:rsid w:val="53B24DC1"/>
    <w:rsid w:val="53CA3B1A"/>
    <w:rsid w:val="53E00D7B"/>
    <w:rsid w:val="53E54D10"/>
    <w:rsid w:val="53F36D5F"/>
    <w:rsid w:val="54005BEB"/>
    <w:rsid w:val="541E23A9"/>
    <w:rsid w:val="541E58D5"/>
    <w:rsid w:val="54230E7A"/>
    <w:rsid w:val="54285E15"/>
    <w:rsid w:val="542E02AC"/>
    <w:rsid w:val="545E537A"/>
    <w:rsid w:val="546A74DF"/>
    <w:rsid w:val="546B7720"/>
    <w:rsid w:val="54860CF0"/>
    <w:rsid w:val="548E15D3"/>
    <w:rsid w:val="54B918D8"/>
    <w:rsid w:val="54B92654"/>
    <w:rsid w:val="54CC137A"/>
    <w:rsid w:val="54D72857"/>
    <w:rsid w:val="54E21617"/>
    <w:rsid w:val="54E82702"/>
    <w:rsid w:val="54E86EC7"/>
    <w:rsid w:val="54F60775"/>
    <w:rsid w:val="54FA4020"/>
    <w:rsid w:val="54FE0345"/>
    <w:rsid w:val="550B7F19"/>
    <w:rsid w:val="551465DF"/>
    <w:rsid w:val="553379B2"/>
    <w:rsid w:val="55382210"/>
    <w:rsid w:val="553D725F"/>
    <w:rsid w:val="553F174A"/>
    <w:rsid w:val="55404640"/>
    <w:rsid w:val="554E426E"/>
    <w:rsid w:val="554F47D2"/>
    <w:rsid w:val="555A4856"/>
    <w:rsid w:val="555C7B5A"/>
    <w:rsid w:val="5560016C"/>
    <w:rsid w:val="557C3F6D"/>
    <w:rsid w:val="55820C6E"/>
    <w:rsid w:val="5598651F"/>
    <w:rsid w:val="55AA25DE"/>
    <w:rsid w:val="55B021EB"/>
    <w:rsid w:val="55BF7668"/>
    <w:rsid w:val="55C36058"/>
    <w:rsid w:val="55CC0741"/>
    <w:rsid w:val="55CD4B06"/>
    <w:rsid w:val="55E34D35"/>
    <w:rsid w:val="55E46B63"/>
    <w:rsid w:val="55EA6D3B"/>
    <w:rsid w:val="55F86A5B"/>
    <w:rsid w:val="56075B93"/>
    <w:rsid w:val="560A4920"/>
    <w:rsid w:val="561536F5"/>
    <w:rsid w:val="561A53BC"/>
    <w:rsid w:val="56411A61"/>
    <w:rsid w:val="56565A9D"/>
    <w:rsid w:val="5662199F"/>
    <w:rsid w:val="56696EE2"/>
    <w:rsid w:val="567653C8"/>
    <w:rsid w:val="56781B3F"/>
    <w:rsid w:val="567D3E98"/>
    <w:rsid w:val="5690414C"/>
    <w:rsid w:val="56A0711F"/>
    <w:rsid w:val="56B61149"/>
    <w:rsid w:val="56C11E3A"/>
    <w:rsid w:val="56CB7C8B"/>
    <w:rsid w:val="56D663FB"/>
    <w:rsid w:val="56E15159"/>
    <w:rsid w:val="56E90E9F"/>
    <w:rsid w:val="56F0466A"/>
    <w:rsid w:val="57046EF9"/>
    <w:rsid w:val="573325D4"/>
    <w:rsid w:val="573F00BF"/>
    <w:rsid w:val="57462DF8"/>
    <w:rsid w:val="57485123"/>
    <w:rsid w:val="57611722"/>
    <w:rsid w:val="57784DCC"/>
    <w:rsid w:val="57865B94"/>
    <w:rsid w:val="579125E6"/>
    <w:rsid w:val="57944EF6"/>
    <w:rsid w:val="579A305F"/>
    <w:rsid w:val="57A13528"/>
    <w:rsid w:val="57A20707"/>
    <w:rsid w:val="57B009B1"/>
    <w:rsid w:val="57DC5896"/>
    <w:rsid w:val="57DC69B7"/>
    <w:rsid w:val="57E27F04"/>
    <w:rsid w:val="57E86EF7"/>
    <w:rsid w:val="58027B99"/>
    <w:rsid w:val="5837342E"/>
    <w:rsid w:val="58394A58"/>
    <w:rsid w:val="583E521B"/>
    <w:rsid w:val="583E78BD"/>
    <w:rsid w:val="5841215E"/>
    <w:rsid w:val="585A57EF"/>
    <w:rsid w:val="58821130"/>
    <w:rsid w:val="58824B21"/>
    <w:rsid w:val="588C67E0"/>
    <w:rsid w:val="58A85659"/>
    <w:rsid w:val="58C606C1"/>
    <w:rsid w:val="58CB2B7D"/>
    <w:rsid w:val="58D51615"/>
    <w:rsid w:val="58D9435A"/>
    <w:rsid w:val="58E50EE0"/>
    <w:rsid w:val="58E551D0"/>
    <w:rsid w:val="58ED5019"/>
    <w:rsid w:val="58F30833"/>
    <w:rsid w:val="58F5317B"/>
    <w:rsid w:val="58F76DA2"/>
    <w:rsid w:val="59064E79"/>
    <w:rsid w:val="59083498"/>
    <w:rsid w:val="59185EE1"/>
    <w:rsid w:val="592364E3"/>
    <w:rsid w:val="59266E88"/>
    <w:rsid w:val="59305C2C"/>
    <w:rsid w:val="593311D6"/>
    <w:rsid w:val="594F5625"/>
    <w:rsid w:val="59545A4D"/>
    <w:rsid w:val="59606EF3"/>
    <w:rsid w:val="596827FD"/>
    <w:rsid w:val="597E1D31"/>
    <w:rsid w:val="59852FC3"/>
    <w:rsid w:val="598923B7"/>
    <w:rsid w:val="59892AF0"/>
    <w:rsid w:val="598E68B5"/>
    <w:rsid w:val="59B063F4"/>
    <w:rsid w:val="59BD7A98"/>
    <w:rsid w:val="59D54631"/>
    <w:rsid w:val="59E96BE8"/>
    <w:rsid w:val="59EB5EE2"/>
    <w:rsid w:val="59FE2DF7"/>
    <w:rsid w:val="5A1D5941"/>
    <w:rsid w:val="5A2513EF"/>
    <w:rsid w:val="5A355F0F"/>
    <w:rsid w:val="5A3B71CD"/>
    <w:rsid w:val="5A401C09"/>
    <w:rsid w:val="5A4024F3"/>
    <w:rsid w:val="5A405E12"/>
    <w:rsid w:val="5A4B2DFF"/>
    <w:rsid w:val="5A5712CC"/>
    <w:rsid w:val="5A5F7F54"/>
    <w:rsid w:val="5A681DB7"/>
    <w:rsid w:val="5A78734A"/>
    <w:rsid w:val="5A7E0236"/>
    <w:rsid w:val="5A8812D1"/>
    <w:rsid w:val="5A8E383A"/>
    <w:rsid w:val="5AA73FDF"/>
    <w:rsid w:val="5AB44D30"/>
    <w:rsid w:val="5AC623EE"/>
    <w:rsid w:val="5AC842F4"/>
    <w:rsid w:val="5AD02E76"/>
    <w:rsid w:val="5AD30716"/>
    <w:rsid w:val="5AD64F4E"/>
    <w:rsid w:val="5AD70110"/>
    <w:rsid w:val="5AF235E8"/>
    <w:rsid w:val="5AFF4480"/>
    <w:rsid w:val="5B3B7388"/>
    <w:rsid w:val="5B872F4D"/>
    <w:rsid w:val="5BA65E5E"/>
    <w:rsid w:val="5BAD52F6"/>
    <w:rsid w:val="5BB03F7A"/>
    <w:rsid w:val="5BC2076F"/>
    <w:rsid w:val="5BC25D35"/>
    <w:rsid w:val="5BD35766"/>
    <w:rsid w:val="5BEB71E0"/>
    <w:rsid w:val="5C0118B5"/>
    <w:rsid w:val="5C016682"/>
    <w:rsid w:val="5C156A96"/>
    <w:rsid w:val="5C20463F"/>
    <w:rsid w:val="5C280292"/>
    <w:rsid w:val="5C2B7BA5"/>
    <w:rsid w:val="5C4E3270"/>
    <w:rsid w:val="5C5054B0"/>
    <w:rsid w:val="5C5B68BA"/>
    <w:rsid w:val="5C5C468F"/>
    <w:rsid w:val="5C686EF4"/>
    <w:rsid w:val="5C70777B"/>
    <w:rsid w:val="5C774101"/>
    <w:rsid w:val="5C883656"/>
    <w:rsid w:val="5C8D3E31"/>
    <w:rsid w:val="5CA558F4"/>
    <w:rsid w:val="5CAA2725"/>
    <w:rsid w:val="5CC30337"/>
    <w:rsid w:val="5CC41E86"/>
    <w:rsid w:val="5CCD3927"/>
    <w:rsid w:val="5CCE7CD7"/>
    <w:rsid w:val="5CD477DC"/>
    <w:rsid w:val="5CE968E5"/>
    <w:rsid w:val="5CEC349C"/>
    <w:rsid w:val="5D067524"/>
    <w:rsid w:val="5D1517E3"/>
    <w:rsid w:val="5D1A2744"/>
    <w:rsid w:val="5D1D00EA"/>
    <w:rsid w:val="5D1F4F84"/>
    <w:rsid w:val="5D2436FC"/>
    <w:rsid w:val="5D2E640B"/>
    <w:rsid w:val="5D4C2959"/>
    <w:rsid w:val="5D531D1E"/>
    <w:rsid w:val="5D5E0A20"/>
    <w:rsid w:val="5D6F058E"/>
    <w:rsid w:val="5D731A13"/>
    <w:rsid w:val="5D744053"/>
    <w:rsid w:val="5D782F73"/>
    <w:rsid w:val="5D80193F"/>
    <w:rsid w:val="5D94364C"/>
    <w:rsid w:val="5DAF551C"/>
    <w:rsid w:val="5DBE0046"/>
    <w:rsid w:val="5DC73107"/>
    <w:rsid w:val="5DC96356"/>
    <w:rsid w:val="5DDD090F"/>
    <w:rsid w:val="5DEC6512"/>
    <w:rsid w:val="5DEF1548"/>
    <w:rsid w:val="5DF10BCC"/>
    <w:rsid w:val="5DF93667"/>
    <w:rsid w:val="5DFA0E0B"/>
    <w:rsid w:val="5E077F24"/>
    <w:rsid w:val="5E0F7ABA"/>
    <w:rsid w:val="5E120467"/>
    <w:rsid w:val="5E240A74"/>
    <w:rsid w:val="5E310652"/>
    <w:rsid w:val="5E325D11"/>
    <w:rsid w:val="5E487AC6"/>
    <w:rsid w:val="5E627E3A"/>
    <w:rsid w:val="5E6E3887"/>
    <w:rsid w:val="5E830736"/>
    <w:rsid w:val="5E993915"/>
    <w:rsid w:val="5EAB4A42"/>
    <w:rsid w:val="5EBE4DAC"/>
    <w:rsid w:val="5ED41C86"/>
    <w:rsid w:val="5EDC255B"/>
    <w:rsid w:val="5EE772B1"/>
    <w:rsid w:val="5EED5577"/>
    <w:rsid w:val="5F130809"/>
    <w:rsid w:val="5F350C19"/>
    <w:rsid w:val="5F37310E"/>
    <w:rsid w:val="5F43725D"/>
    <w:rsid w:val="5F473974"/>
    <w:rsid w:val="5F4A2DF5"/>
    <w:rsid w:val="5F5B244A"/>
    <w:rsid w:val="5F682F31"/>
    <w:rsid w:val="5F7F6E4F"/>
    <w:rsid w:val="5F8D45FB"/>
    <w:rsid w:val="5F9A4C0E"/>
    <w:rsid w:val="5FA27234"/>
    <w:rsid w:val="5FA42722"/>
    <w:rsid w:val="5FB2511C"/>
    <w:rsid w:val="5FB63D6A"/>
    <w:rsid w:val="5FBC4512"/>
    <w:rsid w:val="5FC665E4"/>
    <w:rsid w:val="5FEE4E38"/>
    <w:rsid w:val="5FF217B8"/>
    <w:rsid w:val="6002261C"/>
    <w:rsid w:val="60094B23"/>
    <w:rsid w:val="600C3244"/>
    <w:rsid w:val="601E74F0"/>
    <w:rsid w:val="60375B42"/>
    <w:rsid w:val="60384301"/>
    <w:rsid w:val="60404520"/>
    <w:rsid w:val="60422C17"/>
    <w:rsid w:val="604C6565"/>
    <w:rsid w:val="604C7B9B"/>
    <w:rsid w:val="605C4A4F"/>
    <w:rsid w:val="606020EE"/>
    <w:rsid w:val="60653638"/>
    <w:rsid w:val="60804341"/>
    <w:rsid w:val="608C2BB9"/>
    <w:rsid w:val="609949ED"/>
    <w:rsid w:val="609B1FE0"/>
    <w:rsid w:val="60A344AF"/>
    <w:rsid w:val="60A93670"/>
    <w:rsid w:val="60CA4135"/>
    <w:rsid w:val="60DA2B50"/>
    <w:rsid w:val="610015FB"/>
    <w:rsid w:val="610D05E7"/>
    <w:rsid w:val="611D40CC"/>
    <w:rsid w:val="61214656"/>
    <w:rsid w:val="612806E6"/>
    <w:rsid w:val="613B1EF0"/>
    <w:rsid w:val="614A5401"/>
    <w:rsid w:val="614F6855"/>
    <w:rsid w:val="61564802"/>
    <w:rsid w:val="61616D4D"/>
    <w:rsid w:val="61676C9F"/>
    <w:rsid w:val="61687CE3"/>
    <w:rsid w:val="61704482"/>
    <w:rsid w:val="619F0BB7"/>
    <w:rsid w:val="61A03037"/>
    <w:rsid w:val="61C94EB5"/>
    <w:rsid w:val="61EE25F1"/>
    <w:rsid w:val="61F82AFA"/>
    <w:rsid w:val="61F95538"/>
    <w:rsid w:val="62040EE8"/>
    <w:rsid w:val="620A39AE"/>
    <w:rsid w:val="6226454D"/>
    <w:rsid w:val="622E1317"/>
    <w:rsid w:val="622F6DF6"/>
    <w:rsid w:val="6237789A"/>
    <w:rsid w:val="62387D3A"/>
    <w:rsid w:val="62417728"/>
    <w:rsid w:val="624E0E08"/>
    <w:rsid w:val="625D0D80"/>
    <w:rsid w:val="625F44EA"/>
    <w:rsid w:val="62617BD5"/>
    <w:rsid w:val="62886886"/>
    <w:rsid w:val="62891CB3"/>
    <w:rsid w:val="629773D9"/>
    <w:rsid w:val="629E5CFA"/>
    <w:rsid w:val="62A641F4"/>
    <w:rsid w:val="62B56692"/>
    <w:rsid w:val="62CA1785"/>
    <w:rsid w:val="62CB1C0C"/>
    <w:rsid w:val="62CD420D"/>
    <w:rsid w:val="62CF4D31"/>
    <w:rsid w:val="62DF496E"/>
    <w:rsid w:val="62E37673"/>
    <w:rsid w:val="62EA2C4E"/>
    <w:rsid w:val="62F037B6"/>
    <w:rsid w:val="631B1DCE"/>
    <w:rsid w:val="631F1551"/>
    <w:rsid w:val="632C5681"/>
    <w:rsid w:val="63442E4D"/>
    <w:rsid w:val="6353200E"/>
    <w:rsid w:val="635F3ED9"/>
    <w:rsid w:val="639A0888"/>
    <w:rsid w:val="639A5A76"/>
    <w:rsid w:val="63B05074"/>
    <w:rsid w:val="63B20CAE"/>
    <w:rsid w:val="63C4167B"/>
    <w:rsid w:val="63C47815"/>
    <w:rsid w:val="63E22922"/>
    <w:rsid w:val="64171AC3"/>
    <w:rsid w:val="64183D51"/>
    <w:rsid w:val="643456B6"/>
    <w:rsid w:val="643B028B"/>
    <w:rsid w:val="645B5E42"/>
    <w:rsid w:val="645E78D2"/>
    <w:rsid w:val="646471F3"/>
    <w:rsid w:val="64697A56"/>
    <w:rsid w:val="646E28F4"/>
    <w:rsid w:val="648A051C"/>
    <w:rsid w:val="64A40254"/>
    <w:rsid w:val="64B25292"/>
    <w:rsid w:val="64B3650A"/>
    <w:rsid w:val="64CB0266"/>
    <w:rsid w:val="64D620DC"/>
    <w:rsid w:val="64E74214"/>
    <w:rsid w:val="64EA1A22"/>
    <w:rsid w:val="64ED1B2E"/>
    <w:rsid w:val="64F660A9"/>
    <w:rsid w:val="64FE2B7C"/>
    <w:rsid w:val="64FE4B65"/>
    <w:rsid w:val="65025E18"/>
    <w:rsid w:val="65040AD6"/>
    <w:rsid w:val="65080BA6"/>
    <w:rsid w:val="650817C8"/>
    <w:rsid w:val="65160CF2"/>
    <w:rsid w:val="651761F0"/>
    <w:rsid w:val="65243EA1"/>
    <w:rsid w:val="65275BFB"/>
    <w:rsid w:val="652B4800"/>
    <w:rsid w:val="652C2C79"/>
    <w:rsid w:val="65342555"/>
    <w:rsid w:val="653B1F1A"/>
    <w:rsid w:val="65415DC9"/>
    <w:rsid w:val="65662960"/>
    <w:rsid w:val="657A1ED5"/>
    <w:rsid w:val="65862E90"/>
    <w:rsid w:val="659F2B9D"/>
    <w:rsid w:val="65AB1579"/>
    <w:rsid w:val="65B142AB"/>
    <w:rsid w:val="65BD634A"/>
    <w:rsid w:val="65BF5A65"/>
    <w:rsid w:val="65C23E14"/>
    <w:rsid w:val="65C81C0A"/>
    <w:rsid w:val="65CA129E"/>
    <w:rsid w:val="65E53CBC"/>
    <w:rsid w:val="65F15B4E"/>
    <w:rsid w:val="66074A6A"/>
    <w:rsid w:val="66244621"/>
    <w:rsid w:val="662D2D2B"/>
    <w:rsid w:val="66387D57"/>
    <w:rsid w:val="663A3D67"/>
    <w:rsid w:val="663D3C95"/>
    <w:rsid w:val="663F38EB"/>
    <w:rsid w:val="6641575F"/>
    <w:rsid w:val="6659713F"/>
    <w:rsid w:val="666E3486"/>
    <w:rsid w:val="66705EA3"/>
    <w:rsid w:val="667B5D4C"/>
    <w:rsid w:val="66CE71CA"/>
    <w:rsid w:val="66D6176B"/>
    <w:rsid w:val="66DF47AF"/>
    <w:rsid w:val="66E5188F"/>
    <w:rsid w:val="66F42217"/>
    <w:rsid w:val="66FB0CCC"/>
    <w:rsid w:val="6728131A"/>
    <w:rsid w:val="672B0F08"/>
    <w:rsid w:val="672C4910"/>
    <w:rsid w:val="672E39F0"/>
    <w:rsid w:val="673A3D47"/>
    <w:rsid w:val="6742067D"/>
    <w:rsid w:val="67464409"/>
    <w:rsid w:val="6746497E"/>
    <w:rsid w:val="67583E3E"/>
    <w:rsid w:val="676B54DF"/>
    <w:rsid w:val="67725953"/>
    <w:rsid w:val="67775262"/>
    <w:rsid w:val="67B40D51"/>
    <w:rsid w:val="67BF5AA2"/>
    <w:rsid w:val="67D935C4"/>
    <w:rsid w:val="68050D5B"/>
    <w:rsid w:val="68144DE9"/>
    <w:rsid w:val="6818238E"/>
    <w:rsid w:val="681D12E1"/>
    <w:rsid w:val="684D1611"/>
    <w:rsid w:val="684F3C1D"/>
    <w:rsid w:val="68687695"/>
    <w:rsid w:val="68760387"/>
    <w:rsid w:val="687865B3"/>
    <w:rsid w:val="687D5ABF"/>
    <w:rsid w:val="68803EC5"/>
    <w:rsid w:val="689860CB"/>
    <w:rsid w:val="68B1372D"/>
    <w:rsid w:val="68C234DB"/>
    <w:rsid w:val="68C3093D"/>
    <w:rsid w:val="68DC66AE"/>
    <w:rsid w:val="68E06F04"/>
    <w:rsid w:val="68E4458E"/>
    <w:rsid w:val="68F50C75"/>
    <w:rsid w:val="68F94DFE"/>
    <w:rsid w:val="68FC3929"/>
    <w:rsid w:val="690B5196"/>
    <w:rsid w:val="691A26C4"/>
    <w:rsid w:val="692D23FB"/>
    <w:rsid w:val="69432EB2"/>
    <w:rsid w:val="694C30D4"/>
    <w:rsid w:val="695E4760"/>
    <w:rsid w:val="696330D7"/>
    <w:rsid w:val="696D238D"/>
    <w:rsid w:val="69785554"/>
    <w:rsid w:val="697B6E60"/>
    <w:rsid w:val="6985197D"/>
    <w:rsid w:val="698800CB"/>
    <w:rsid w:val="69913D2F"/>
    <w:rsid w:val="69980B6A"/>
    <w:rsid w:val="69A44B60"/>
    <w:rsid w:val="69A65B75"/>
    <w:rsid w:val="69A838F0"/>
    <w:rsid w:val="69B14195"/>
    <w:rsid w:val="69BB4E16"/>
    <w:rsid w:val="69BD74EF"/>
    <w:rsid w:val="69D2318F"/>
    <w:rsid w:val="69D879CC"/>
    <w:rsid w:val="69DC567D"/>
    <w:rsid w:val="69DF07F6"/>
    <w:rsid w:val="69E65A62"/>
    <w:rsid w:val="69ED07E4"/>
    <w:rsid w:val="69FB34C6"/>
    <w:rsid w:val="6A0126B1"/>
    <w:rsid w:val="6A012D07"/>
    <w:rsid w:val="6A0A5F47"/>
    <w:rsid w:val="6A1848C3"/>
    <w:rsid w:val="6A1E6949"/>
    <w:rsid w:val="6A325DEE"/>
    <w:rsid w:val="6A534884"/>
    <w:rsid w:val="6A575E24"/>
    <w:rsid w:val="6A576529"/>
    <w:rsid w:val="6A5E0865"/>
    <w:rsid w:val="6A6729F4"/>
    <w:rsid w:val="6A7004A0"/>
    <w:rsid w:val="6A814E57"/>
    <w:rsid w:val="6A942C27"/>
    <w:rsid w:val="6AA10551"/>
    <w:rsid w:val="6AB6089E"/>
    <w:rsid w:val="6AC771A0"/>
    <w:rsid w:val="6AC94DF9"/>
    <w:rsid w:val="6AD3638D"/>
    <w:rsid w:val="6AF552F6"/>
    <w:rsid w:val="6B0D1E1A"/>
    <w:rsid w:val="6B1214F0"/>
    <w:rsid w:val="6B185578"/>
    <w:rsid w:val="6B343967"/>
    <w:rsid w:val="6B3651BA"/>
    <w:rsid w:val="6B3B33BC"/>
    <w:rsid w:val="6B4F4222"/>
    <w:rsid w:val="6B575A78"/>
    <w:rsid w:val="6B5E7BB0"/>
    <w:rsid w:val="6B6709DE"/>
    <w:rsid w:val="6B7A6B98"/>
    <w:rsid w:val="6B8C1B32"/>
    <w:rsid w:val="6B94320B"/>
    <w:rsid w:val="6B9A3375"/>
    <w:rsid w:val="6BB26E23"/>
    <w:rsid w:val="6BB44B53"/>
    <w:rsid w:val="6BCB276E"/>
    <w:rsid w:val="6BCD59E6"/>
    <w:rsid w:val="6BD600BA"/>
    <w:rsid w:val="6BE42258"/>
    <w:rsid w:val="6BFB5674"/>
    <w:rsid w:val="6C016DD2"/>
    <w:rsid w:val="6C154C43"/>
    <w:rsid w:val="6C161B69"/>
    <w:rsid w:val="6C1A2DD5"/>
    <w:rsid w:val="6C344928"/>
    <w:rsid w:val="6C3F0B6F"/>
    <w:rsid w:val="6C450577"/>
    <w:rsid w:val="6C522A5B"/>
    <w:rsid w:val="6C7A3F7C"/>
    <w:rsid w:val="6C930939"/>
    <w:rsid w:val="6CA20AC8"/>
    <w:rsid w:val="6CAE6210"/>
    <w:rsid w:val="6CB42A34"/>
    <w:rsid w:val="6CD457C9"/>
    <w:rsid w:val="6CD61BB8"/>
    <w:rsid w:val="6CE54151"/>
    <w:rsid w:val="6CE80A87"/>
    <w:rsid w:val="6CEF1C3E"/>
    <w:rsid w:val="6CF14ED2"/>
    <w:rsid w:val="6CFC6F83"/>
    <w:rsid w:val="6D0143EE"/>
    <w:rsid w:val="6D076103"/>
    <w:rsid w:val="6D1B3D44"/>
    <w:rsid w:val="6D1D61E2"/>
    <w:rsid w:val="6D306B60"/>
    <w:rsid w:val="6D380FFD"/>
    <w:rsid w:val="6D441A4C"/>
    <w:rsid w:val="6D4F0CB1"/>
    <w:rsid w:val="6D5666D8"/>
    <w:rsid w:val="6D5E56E5"/>
    <w:rsid w:val="6D724BD2"/>
    <w:rsid w:val="6D856F8B"/>
    <w:rsid w:val="6D9807EE"/>
    <w:rsid w:val="6D981192"/>
    <w:rsid w:val="6DC0616F"/>
    <w:rsid w:val="6E27195E"/>
    <w:rsid w:val="6E2D647F"/>
    <w:rsid w:val="6E3E5AB4"/>
    <w:rsid w:val="6E413CE7"/>
    <w:rsid w:val="6E4255C6"/>
    <w:rsid w:val="6E7F0CD5"/>
    <w:rsid w:val="6E80346B"/>
    <w:rsid w:val="6E8F64E8"/>
    <w:rsid w:val="6EA66EB9"/>
    <w:rsid w:val="6EAA2BC6"/>
    <w:rsid w:val="6EB426CA"/>
    <w:rsid w:val="6EBB4984"/>
    <w:rsid w:val="6EBC62CD"/>
    <w:rsid w:val="6EBF206C"/>
    <w:rsid w:val="6EC478F4"/>
    <w:rsid w:val="6ECF60CA"/>
    <w:rsid w:val="6EDB25F8"/>
    <w:rsid w:val="6EE71B77"/>
    <w:rsid w:val="6EED7BBB"/>
    <w:rsid w:val="6F1B0224"/>
    <w:rsid w:val="6F28722B"/>
    <w:rsid w:val="6F2F5BC1"/>
    <w:rsid w:val="6F8B7979"/>
    <w:rsid w:val="6F9A2F7B"/>
    <w:rsid w:val="6FA2255C"/>
    <w:rsid w:val="6FA24722"/>
    <w:rsid w:val="6FBF56FB"/>
    <w:rsid w:val="6FD505C5"/>
    <w:rsid w:val="6FD62925"/>
    <w:rsid w:val="6FEA04D5"/>
    <w:rsid w:val="6FF87440"/>
    <w:rsid w:val="70010B96"/>
    <w:rsid w:val="70102692"/>
    <w:rsid w:val="702D7176"/>
    <w:rsid w:val="702F7FF6"/>
    <w:rsid w:val="70313CE7"/>
    <w:rsid w:val="7033677D"/>
    <w:rsid w:val="70383017"/>
    <w:rsid w:val="703A543D"/>
    <w:rsid w:val="70457C95"/>
    <w:rsid w:val="705315CB"/>
    <w:rsid w:val="70576DD0"/>
    <w:rsid w:val="706377E8"/>
    <w:rsid w:val="708B6DDF"/>
    <w:rsid w:val="708F086D"/>
    <w:rsid w:val="708F3831"/>
    <w:rsid w:val="70D17D5F"/>
    <w:rsid w:val="70DB76E1"/>
    <w:rsid w:val="70DC1ACD"/>
    <w:rsid w:val="70DF36C1"/>
    <w:rsid w:val="70F72280"/>
    <w:rsid w:val="70FB50A7"/>
    <w:rsid w:val="70FE5EBC"/>
    <w:rsid w:val="71011DAF"/>
    <w:rsid w:val="711F633F"/>
    <w:rsid w:val="711F65FA"/>
    <w:rsid w:val="7122160D"/>
    <w:rsid w:val="7127112C"/>
    <w:rsid w:val="71301BCC"/>
    <w:rsid w:val="71360018"/>
    <w:rsid w:val="713F476C"/>
    <w:rsid w:val="715522F2"/>
    <w:rsid w:val="71643F5E"/>
    <w:rsid w:val="71696315"/>
    <w:rsid w:val="71747D59"/>
    <w:rsid w:val="719835B5"/>
    <w:rsid w:val="71994FED"/>
    <w:rsid w:val="71997B26"/>
    <w:rsid w:val="71BC29F8"/>
    <w:rsid w:val="71BF6680"/>
    <w:rsid w:val="71C51F58"/>
    <w:rsid w:val="71F87AFB"/>
    <w:rsid w:val="72005466"/>
    <w:rsid w:val="72030337"/>
    <w:rsid w:val="720F357C"/>
    <w:rsid w:val="72193BB2"/>
    <w:rsid w:val="721A0F26"/>
    <w:rsid w:val="72254AE1"/>
    <w:rsid w:val="722D76DB"/>
    <w:rsid w:val="724C595A"/>
    <w:rsid w:val="724F3306"/>
    <w:rsid w:val="725A3318"/>
    <w:rsid w:val="72692730"/>
    <w:rsid w:val="726C532C"/>
    <w:rsid w:val="72731E75"/>
    <w:rsid w:val="729C528A"/>
    <w:rsid w:val="72B770FF"/>
    <w:rsid w:val="72FE0A84"/>
    <w:rsid w:val="7319229F"/>
    <w:rsid w:val="732003F8"/>
    <w:rsid w:val="732252FE"/>
    <w:rsid w:val="7334654D"/>
    <w:rsid w:val="73354487"/>
    <w:rsid w:val="73372333"/>
    <w:rsid w:val="734776A1"/>
    <w:rsid w:val="734C1AC3"/>
    <w:rsid w:val="73635DEE"/>
    <w:rsid w:val="736B0BCF"/>
    <w:rsid w:val="736C61A4"/>
    <w:rsid w:val="736E2CCE"/>
    <w:rsid w:val="73742C2C"/>
    <w:rsid w:val="737E614D"/>
    <w:rsid w:val="73874FF1"/>
    <w:rsid w:val="73941C4E"/>
    <w:rsid w:val="73996DEC"/>
    <w:rsid w:val="73CE5F51"/>
    <w:rsid w:val="73E77478"/>
    <w:rsid w:val="740443DF"/>
    <w:rsid w:val="74072A3F"/>
    <w:rsid w:val="74125345"/>
    <w:rsid w:val="741427CE"/>
    <w:rsid w:val="742274FA"/>
    <w:rsid w:val="743015E4"/>
    <w:rsid w:val="74322C65"/>
    <w:rsid w:val="743A27A2"/>
    <w:rsid w:val="74402074"/>
    <w:rsid w:val="74454897"/>
    <w:rsid w:val="744724AF"/>
    <w:rsid w:val="74490A33"/>
    <w:rsid w:val="74904D06"/>
    <w:rsid w:val="749128A8"/>
    <w:rsid w:val="74B1114E"/>
    <w:rsid w:val="74B4291A"/>
    <w:rsid w:val="74B85ACD"/>
    <w:rsid w:val="74C04B70"/>
    <w:rsid w:val="74D07F84"/>
    <w:rsid w:val="74DA7AC6"/>
    <w:rsid w:val="74E90A5A"/>
    <w:rsid w:val="74F27D07"/>
    <w:rsid w:val="751126B3"/>
    <w:rsid w:val="75171FD7"/>
    <w:rsid w:val="75197A1D"/>
    <w:rsid w:val="753A1869"/>
    <w:rsid w:val="75414B31"/>
    <w:rsid w:val="755608C3"/>
    <w:rsid w:val="755F66C2"/>
    <w:rsid w:val="7563157B"/>
    <w:rsid w:val="75643507"/>
    <w:rsid w:val="756A158B"/>
    <w:rsid w:val="757F22D3"/>
    <w:rsid w:val="758D70E1"/>
    <w:rsid w:val="75933C2F"/>
    <w:rsid w:val="75A253C5"/>
    <w:rsid w:val="75AE3FE5"/>
    <w:rsid w:val="75B05018"/>
    <w:rsid w:val="75BC3832"/>
    <w:rsid w:val="75D061B2"/>
    <w:rsid w:val="75E10A1E"/>
    <w:rsid w:val="75E12E53"/>
    <w:rsid w:val="75E32D7C"/>
    <w:rsid w:val="75E47BB8"/>
    <w:rsid w:val="75E62F44"/>
    <w:rsid w:val="75ED5FF5"/>
    <w:rsid w:val="75F85029"/>
    <w:rsid w:val="760472F1"/>
    <w:rsid w:val="76066178"/>
    <w:rsid w:val="76085532"/>
    <w:rsid w:val="760D063C"/>
    <w:rsid w:val="76113062"/>
    <w:rsid w:val="76144C63"/>
    <w:rsid w:val="7634780F"/>
    <w:rsid w:val="7644039A"/>
    <w:rsid w:val="765F239B"/>
    <w:rsid w:val="766A3123"/>
    <w:rsid w:val="767A7AFB"/>
    <w:rsid w:val="767D1C8E"/>
    <w:rsid w:val="76854648"/>
    <w:rsid w:val="769165FE"/>
    <w:rsid w:val="7698363E"/>
    <w:rsid w:val="76992A3F"/>
    <w:rsid w:val="769A1B02"/>
    <w:rsid w:val="769B415E"/>
    <w:rsid w:val="76A11DC0"/>
    <w:rsid w:val="76A80917"/>
    <w:rsid w:val="76AD6278"/>
    <w:rsid w:val="76B02324"/>
    <w:rsid w:val="76C1147C"/>
    <w:rsid w:val="76C56D71"/>
    <w:rsid w:val="76D01D05"/>
    <w:rsid w:val="76D86E7F"/>
    <w:rsid w:val="76DC484D"/>
    <w:rsid w:val="76DE50DC"/>
    <w:rsid w:val="76E6267E"/>
    <w:rsid w:val="76EB2F0F"/>
    <w:rsid w:val="76F17D80"/>
    <w:rsid w:val="77196BBF"/>
    <w:rsid w:val="77361A9C"/>
    <w:rsid w:val="774554C0"/>
    <w:rsid w:val="77482097"/>
    <w:rsid w:val="774C0D72"/>
    <w:rsid w:val="77594DF4"/>
    <w:rsid w:val="776531D7"/>
    <w:rsid w:val="77747C3C"/>
    <w:rsid w:val="77792362"/>
    <w:rsid w:val="77837FCA"/>
    <w:rsid w:val="778C7119"/>
    <w:rsid w:val="77937585"/>
    <w:rsid w:val="77C73F15"/>
    <w:rsid w:val="77D64EDD"/>
    <w:rsid w:val="77D803E1"/>
    <w:rsid w:val="77E15068"/>
    <w:rsid w:val="77EC6BD1"/>
    <w:rsid w:val="78202009"/>
    <w:rsid w:val="78306054"/>
    <w:rsid w:val="783648CF"/>
    <w:rsid w:val="78392246"/>
    <w:rsid w:val="7856635B"/>
    <w:rsid w:val="78751D79"/>
    <w:rsid w:val="78753B15"/>
    <w:rsid w:val="787B5C65"/>
    <w:rsid w:val="78891846"/>
    <w:rsid w:val="78AC2F00"/>
    <w:rsid w:val="78AF1D62"/>
    <w:rsid w:val="78C24A6E"/>
    <w:rsid w:val="78C312A9"/>
    <w:rsid w:val="78C36BDB"/>
    <w:rsid w:val="78CE3929"/>
    <w:rsid w:val="78D118FF"/>
    <w:rsid w:val="78F00C0F"/>
    <w:rsid w:val="78F431C9"/>
    <w:rsid w:val="78F43B35"/>
    <w:rsid w:val="79051E2B"/>
    <w:rsid w:val="793F7F0B"/>
    <w:rsid w:val="79561B00"/>
    <w:rsid w:val="795E02EF"/>
    <w:rsid w:val="796D0F47"/>
    <w:rsid w:val="796E0472"/>
    <w:rsid w:val="79912D9C"/>
    <w:rsid w:val="79985E25"/>
    <w:rsid w:val="79AE3A57"/>
    <w:rsid w:val="79B50906"/>
    <w:rsid w:val="79F622D6"/>
    <w:rsid w:val="7A150F21"/>
    <w:rsid w:val="7A164082"/>
    <w:rsid w:val="7A220EB1"/>
    <w:rsid w:val="7A331DBE"/>
    <w:rsid w:val="7A452D18"/>
    <w:rsid w:val="7A462B5A"/>
    <w:rsid w:val="7A564A07"/>
    <w:rsid w:val="7A5938A9"/>
    <w:rsid w:val="7A7615FF"/>
    <w:rsid w:val="7A815070"/>
    <w:rsid w:val="7A85153C"/>
    <w:rsid w:val="7A8E7670"/>
    <w:rsid w:val="7AB642EC"/>
    <w:rsid w:val="7AC64096"/>
    <w:rsid w:val="7AD37658"/>
    <w:rsid w:val="7AD702B7"/>
    <w:rsid w:val="7AD86C00"/>
    <w:rsid w:val="7AF567BB"/>
    <w:rsid w:val="7AF57B70"/>
    <w:rsid w:val="7AF902E6"/>
    <w:rsid w:val="7B032B78"/>
    <w:rsid w:val="7B0F73F7"/>
    <w:rsid w:val="7B2835F8"/>
    <w:rsid w:val="7B322831"/>
    <w:rsid w:val="7B332EE5"/>
    <w:rsid w:val="7B3D0933"/>
    <w:rsid w:val="7B422429"/>
    <w:rsid w:val="7B4D6B69"/>
    <w:rsid w:val="7B54765E"/>
    <w:rsid w:val="7B5736D1"/>
    <w:rsid w:val="7B5A744E"/>
    <w:rsid w:val="7B6E2536"/>
    <w:rsid w:val="7B731F24"/>
    <w:rsid w:val="7B815B72"/>
    <w:rsid w:val="7B8A68D7"/>
    <w:rsid w:val="7B95338A"/>
    <w:rsid w:val="7B954292"/>
    <w:rsid w:val="7B9E5DBE"/>
    <w:rsid w:val="7BA64BD1"/>
    <w:rsid w:val="7BB86C04"/>
    <w:rsid w:val="7BC45A0B"/>
    <w:rsid w:val="7BC76071"/>
    <w:rsid w:val="7BCE7D1F"/>
    <w:rsid w:val="7BD6689C"/>
    <w:rsid w:val="7BD97D3E"/>
    <w:rsid w:val="7BF459C8"/>
    <w:rsid w:val="7BFE7B80"/>
    <w:rsid w:val="7C016F28"/>
    <w:rsid w:val="7C0178BF"/>
    <w:rsid w:val="7C235C27"/>
    <w:rsid w:val="7C24301C"/>
    <w:rsid w:val="7C4A3E7A"/>
    <w:rsid w:val="7C5E3CBA"/>
    <w:rsid w:val="7C617B9B"/>
    <w:rsid w:val="7C685932"/>
    <w:rsid w:val="7C743977"/>
    <w:rsid w:val="7C920614"/>
    <w:rsid w:val="7C960612"/>
    <w:rsid w:val="7C9A7D00"/>
    <w:rsid w:val="7CA15A3F"/>
    <w:rsid w:val="7CA26C11"/>
    <w:rsid w:val="7CAE2251"/>
    <w:rsid w:val="7CB67B73"/>
    <w:rsid w:val="7CB710CD"/>
    <w:rsid w:val="7CC44D02"/>
    <w:rsid w:val="7CC6401A"/>
    <w:rsid w:val="7CEB237D"/>
    <w:rsid w:val="7CF0452A"/>
    <w:rsid w:val="7D020261"/>
    <w:rsid w:val="7D0E00EB"/>
    <w:rsid w:val="7D0F5827"/>
    <w:rsid w:val="7D1E3601"/>
    <w:rsid w:val="7D282901"/>
    <w:rsid w:val="7D2A67A3"/>
    <w:rsid w:val="7D2E7F9E"/>
    <w:rsid w:val="7D567E0C"/>
    <w:rsid w:val="7D5D18E2"/>
    <w:rsid w:val="7D5E2306"/>
    <w:rsid w:val="7D72130B"/>
    <w:rsid w:val="7D7C74AF"/>
    <w:rsid w:val="7D81211E"/>
    <w:rsid w:val="7D896C27"/>
    <w:rsid w:val="7DA646D8"/>
    <w:rsid w:val="7DAD71D7"/>
    <w:rsid w:val="7DD332E0"/>
    <w:rsid w:val="7DD8409B"/>
    <w:rsid w:val="7DE446AE"/>
    <w:rsid w:val="7DE47E8F"/>
    <w:rsid w:val="7DE95ECE"/>
    <w:rsid w:val="7E1D0748"/>
    <w:rsid w:val="7E212A3C"/>
    <w:rsid w:val="7E2A16FB"/>
    <w:rsid w:val="7E2A38E0"/>
    <w:rsid w:val="7E2F6FFF"/>
    <w:rsid w:val="7E3B5D91"/>
    <w:rsid w:val="7E3F6D66"/>
    <w:rsid w:val="7E4A4A01"/>
    <w:rsid w:val="7E697545"/>
    <w:rsid w:val="7E6B462F"/>
    <w:rsid w:val="7E6C2C62"/>
    <w:rsid w:val="7E851987"/>
    <w:rsid w:val="7EA67561"/>
    <w:rsid w:val="7EAF57CA"/>
    <w:rsid w:val="7EB40448"/>
    <w:rsid w:val="7EC7748C"/>
    <w:rsid w:val="7ED75BE9"/>
    <w:rsid w:val="7EE567A5"/>
    <w:rsid w:val="7EF05DA7"/>
    <w:rsid w:val="7EF328F3"/>
    <w:rsid w:val="7EFB20EE"/>
    <w:rsid w:val="7F026AEE"/>
    <w:rsid w:val="7F1A249C"/>
    <w:rsid w:val="7F1E6F7E"/>
    <w:rsid w:val="7F244D78"/>
    <w:rsid w:val="7F2B07B4"/>
    <w:rsid w:val="7F316219"/>
    <w:rsid w:val="7F38640E"/>
    <w:rsid w:val="7F3E2314"/>
    <w:rsid w:val="7F417BF0"/>
    <w:rsid w:val="7F585D30"/>
    <w:rsid w:val="7F7757FB"/>
    <w:rsid w:val="7F7C064F"/>
    <w:rsid w:val="7F820F8D"/>
    <w:rsid w:val="7F82488F"/>
    <w:rsid w:val="7F8E1938"/>
    <w:rsid w:val="7F915272"/>
    <w:rsid w:val="7F947A4D"/>
    <w:rsid w:val="7F9A1CD1"/>
    <w:rsid w:val="7FBD0663"/>
    <w:rsid w:val="7FCC3D3F"/>
    <w:rsid w:val="7FEB2B63"/>
    <w:rsid w:val="7FFC715C"/>
  </w:rsids>
  <w:docVars>
    <w:docVar w:name="commondata" w:val="eyJoZGlkIjoiYmJkMzFlZDU1MGY3MWIxY2MyMjhkMTlhNGVhMDBjOT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qFormat="1"/>
    <w:lsdException w:name="annotation text" w:semiHidden="0" w:qFormat="1"/>
    <w:lsdException w:name="header" w:semiHidden="0" w:qFormat="1"/>
    <w:lsdException w:name="footer" w:semiHidden="0" w:unhideWhenUsed="0" w:qFormat="1"/>
    <w:lsdException w:name="index heading"/>
    <w:lsdException w:name="caption" w:semiHidden="0" w:uiPriority="35" w:qFormat="1"/>
    <w:lsdException w:name="table of figures" w:semiHidden="0" w:qFormat="1"/>
    <w:lsdException w:name="envelope address"/>
    <w:lsdException w:name="envelope return"/>
    <w:lsdException w:name="footnote reference" w:qFormat="1"/>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qFormat="1"/>
    <w:lsdException w:name="HTML Address"/>
    <w:lsdException w:name="HTML Cite" w:qFormat="1"/>
    <w:lsdException w:name="HTML Code" w:qFormat="1"/>
    <w:lsdException w:name="HTML Definition" w:qFormat="1"/>
    <w:lsdException w:name="HTML Keyboard"/>
    <w:lsdException w:name="HTML Preformatted" w:qFormat="1"/>
    <w:lsdException w:name="HTML Sample"/>
    <w:lsdException w:name="HTML Typewriter"/>
    <w:lsdException w:name="HTML Variable" w:qFormat="1"/>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qFormat="1"/>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黑体"/>
      <w:kern w:val="2"/>
      <w:sz w:val="24"/>
      <w:szCs w:val="22"/>
      <w:lang w:val="en-US" w:eastAsia="zh-CN" w:bidi="ar-SA"/>
    </w:rPr>
  </w:style>
  <w:style w:type="paragraph" w:styleId="Heading1">
    <w:name w:val="heading 1"/>
    <w:basedOn w:val="Normal"/>
    <w:next w:val="Normal"/>
    <w:link w:val="1Char"/>
    <w:uiPriority w:val="9"/>
    <w:qFormat/>
    <w:pPr>
      <w:keepNext/>
      <w:keepLines/>
      <w:spacing w:after="10"/>
      <w:jc w:val="center"/>
      <w:outlineLvl w:val="0"/>
    </w:pPr>
    <w:rPr>
      <w:rFonts w:eastAsia="黑体" w:asciiTheme="minorHAnsi" w:hAnsiTheme="minorHAnsi" w:cstheme="minorBidi"/>
      <w:bCs/>
      <w:kern w:val="44"/>
      <w:sz w:val="30"/>
      <w:szCs w:val="44"/>
    </w:rPr>
  </w:style>
  <w:style w:type="paragraph" w:styleId="Heading2">
    <w:name w:val="heading 2"/>
    <w:basedOn w:val="Normal"/>
    <w:next w:val="Normal"/>
    <w:link w:val="2Char"/>
    <w:uiPriority w:val="9"/>
    <w:unhideWhenUsed/>
    <w:qFormat/>
    <w:pPr>
      <w:keepNext/>
      <w:keepLines/>
      <w:spacing w:before="10" w:after="10"/>
      <w:jc w:val="left"/>
      <w:outlineLvl w:val="1"/>
    </w:pPr>
    <w:rPr>
      <w:rFonts w:asciiTheme="majorHAnsi" w:eastAsiaTheme="majorEastAsia" w:hAnsiTheme="majorHAnsi" w:cstheme="majorBidi"/>
      <w:b/>
      <w:bCs/>
      <w:sz w:val="28"/>
      <w:szCs w:val="32"/>
    </w:rPr>
  </w:style>
  <w:style w:type="paragraph" w:styleId="Heading3">
    <w:name w:val="heading 3"/>
    <w:basedOn w:val="Normal"/>
    <w:next w:val="Normal"/>
    <w:link w:val="3Char"/>
    <w:autoRedefine/>
    <w:uiPriority w:val="9"/>
    <w:unhideWhenUsed/>
    <w:qFormat/>
    <w:pPr>
      <w:keepNext/>
      <w:keepLines/>
      <w:spacing w:beforeLines="50" w:afterLines="50"/>
      <w:ind w:firstLine="482" w:firstLineChars="200"/>
      <w:outlineLvl w:val="2"/>
    </w:pPr>
    <w:rPr>
      <w:rFonts w:ascii="Times New Roman" w:hAnsi="Times New Roman" w:cstheme="minorBidi"/>
      <w:b/>
      <w:bCs/>
      <w:szCs w:val="32"/>
    </w:rPr>
  </w:style>
  <w:style w:type="paragraph" w:styleId="Heading4">
    <w:name w:val="heading 4"/>
    <w:basedOn w:val="Normal"/>
    <w:next w:val="Normal"/>
    <w:link w:val="4Char"/>
    <w:autoRedefine/>
    <w:uiPriority w:val="9"/>
    <w:unhideWhenUsed/>
    <w:qFormat/>
    <w:pPr>
      <w:keepNext/>
      <w:keepLines/>
      <w:spacing w:beforeLines="50" w:afterLines="50"/>
      <w:ind w:firstLine="400" w:firstLineChars="400"/>
      <w:outlineLvl w:val="3"/>
    </w:pPr>
    <w:rPr>
      <w:rFonts w:asciiTheme="majorHAnsi" w:eastAsiaTheme="majorEastAsia" w:hAnsiTheme="majorHAnsi" w:cstheme="majorBidi"/>
      <w:bCs/>
      <w:sz w:val="21"/>
      <w:szCs w:val="28"/>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aption">
    <w:name w:val="caption"/>
    <w:basedOn w:val="Normal"/>
    <w:next w:val="Normal"/>
    <w:autoRedefine/>
    <w:uiPriority w:val="35"/>
    <w:unhideWhenUsed/>
    <w:qFormat/>
    <w:rPr>
      <w:rFonts w:eastAsia="黑体" w:asciiTheme="majorHAnsi" w:hAnsiTheme="majorHAnsi" w:cstheme="majorBidi"/>
      <w:sz w:val="20"/>
      <w:szCs w:val="20"/>
    </w:rPr>
  </w:style>
  <w:style w:type="paragraph" w:styleId="CommentText">
    <w:name w:val="annotation text"/>
    <w:basedOn w:val="Normal"/>
    <w:link w:val="Char1"/>
    <w:autoRedefine/>
    <w:uiPriority w:val="99"/>
    <w:unhideWhenUsed/>
    <w:qFormat/>
    <w:pPr>
      <w:jc w:val="left"/>
    </w:pPr>
    <w:rPr>
      <w:rFonts w:cs="Times New Roman"/>
    </w:rPr>
  </w:style>
  <w:style w:type="paragraph" w:styleId="TOC3">
    <w:name w:val="toc 3"/>
    <w:basedOn w:val="Normal"/>
    <w:next w:val="Normal"/>
    <w:autoRedefine/>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BalloonText">
    <w:name w:val="Balloon Text"/>
    <w:basedOn w:val="Normal"/>
    <w:link w:val="Char0"/>
    <w:autoRedefine/>
    <w:uiPriority w:val="99"/>
    <w:semiHidden/>
    <w:unhideWhenUsed/>
    <w:qFormat/>
    <w:rPr>
      <w:sz w:val="18"/>
      <w:szCs w:val="18"/>
    </w:rPr>
  </w:style>
  <w:style w:type="paragraph" w:styleId="Footer">
    <w:name w:val="footer"/>
    <w:basedOn w:val="Normal"/>
    <w:link w:val="Char"/>
    <w:autoRedefine/>
    <w:uiPriority w:val="99"/>
    <w:qFormat/>
    <w:pPr>
      <w:tabs>
        <w:tab w:val="center" w:pos="4153"/>
        <w:tab w:val="right" w:pos="8306"/>
      </w:tabs>
      <w:snapToGrid w:val="0"/>
      <w:jc w:val="left"/>
    </w:pPr>
    <w:rPr>
      <w:rFonts w:ascii="Times New Roman" w:hAnsi="Times New Roman" w:cs="Times New Roman"/>
      <w:sz w:val="18"/>
      <w:szCs w:val="18"/>
    </w:rPr>
  </w:style>
  <w:style w:type="paragraph" w:styleId="Header">
    <w:name w:val="header"/>
    <w:basedOn w:val="Normal"/>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widowControl/>
      <w:tabs>
        <w:tab w:val="right" w:leader="dot" w:pos="8919"/>
      </w:tabs>
      <w:spacing w:after="100" w:line="276" w:lineRule="auto"/>
      <w:jc w:val="left"/>
    </w:pPr>
    <w:rPr>
      <w:rFonts w:ascii="Times New Roman" w:hAnsi="Times New Roman" w:eastAsiaTheme="minorEastAsia" w:cstheme="minorBidi"/>
      <w:kern w:val="0"/>
      <w:sz w:val="22"/>
    </w:rPr>
  </w:style>
  <w:style w:type="paragraph" w:styleId="FootnoteText">
    <w:name w:val="footnote text"/>
    <w:basedOn w:val="Normal"/>
    <w:link w:val="Char3"/>
    <w:autoRedefine/>
    <w:uiPriority w:val="99"/>
    <w:semiHidden/>
    <w:unhideWhenUsed/>
    <w:qFormat/>
    <w:pPr>
      <w:snapToGrid w:val="0"/>
      <w:jc w:val="left"/>
    </w:pPr>
    <w:rPr>
      <w:sz w:val="18"/>
      <w:szCs w:val="18"/>
    </w:rPr>
  </w:style>
  <w:style w:type="paragraph" w:styleId="TableofFigures">
    <w:name w:val="table of figures"/>
    <w:basedOn w:val="Normal"/>
    <w:next w:val="Normal"/>
    <w:autoRedefine/>
    <w:uiPriority w:val="99"/>
    <w:unhideWhenUsed/>
    <w:qFormat/>
    <w:pPr>
      <w:ind w:left="200" w:hanging="200" w:leftChars="200" w:hangingChars="200"/>
    </w:pPr>
  </w:style>
  <w:style w:type="paragraph" w:styleId="TOC2">
    <w:name w:val="toc 2"/>
    <w:basedOn w:val="Normal"/>
    <w:next w:val="Normal"/>
    <w:autoRedefine/>
    <w:uiPriority w:val="39"/>
    <w:unhideWhenUsed/>
    <w:qFormat/>
    <w:pPr>
      <w:widowControl/>
      <w:spacing w:after="100" w:line="276" w:lineRule="auto"/>
      <w:ind w:left="220"/>
      <w:jc w:val="left"/>
    </w:pPr>
    <w:rPr>
      <w:rFonts w:asciiTheme="minorHAnsi" w:eastAsiaTheme="minorEastAsia" w:hAnsiTheme="minorHAnsi" w:cstheme="minorBidi"/>
      <w:kern w:val="0"/>
      <w:sz w:val="22"/>
    </w:rPr>
  </w:style>
  <w:style w:type="paragraph" w:styleId="HTMLPreformatted">
    <w:name w:val="HTML Preformatted"/>
    <w:basedOn w:val="Normal"/>
    <w:autoRedefine/>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hint="eastAsia"/>
      <w:kern w:val="0"/>
      <w:szCs w:val="24"/>
    </w:rPr>
  </w:style>
  <w:style w:type="paragraph" w:styleId="NormalWeb">
    <w:name w:val="Normal (Web)"/>
    <w:basedOn w:val="Normal"/>
    <w:autoRedefine/>
    <w:uiPriority w:val="99"/>
    <w:unhideWhenUsed/>
    <w:qFormat/>
    <w:pPr>
      <w:widowControl/>
      <w:spacing w:before="100" w:beforeAutospacing="1" w:after="100" w:afterAutospacing="1"/>
      <w:jc w:val="left"/>
    </w:pPr>
    <w:rPr>
      <w:rFonts w:ascii="宋体" w:hAnsi="宋体" w:cs="宋体"/>
      <w:kern w:val="0"/>
      <w:szCs w:val="24"/>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1Accent6">
    <w:name w:val="Medium Shading 1 Accent 6"/>
    <w:basedOn w:val="TableNormal"/>
    <w:autoRedefine/>
    <w:uiPriority w:val="63"/>
    <w:qFormat/>
    <w:tblPr>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character" w:styleId="FollowedHyperlink">
    <w:name w:val="FollowedHyperlink"/>
    <w:basedOn w:val="DefaultParagraphFont"/>
    <w:autoRedefine/>
    <w:uiPriority w:val="99"/>
    <w:semiHidden/>
    <w:unhideWhenUsed/>
    <w:qFormat/>
    <w:rPr>
      <w:color w:val="800080"/>
      <w:u w:val="none"/>
    </w:rPr>
  </w:style>
  <w:style w:type="character" w:styleId="Emphasis">
    <w:name w:val="Emphasis"/>
    <w:basedOn w:val="DefaultParagraphFont"/>
    <w:autoRedefine/>
    <w:uiPriority w:val="20"/>
    <w:qFormat/>
  </w:style>
  <w:style w:type="character" w:styleId="HTMLDefinition">
    <w:name w:val="HTML Definition"/>
    <w:basedOn w:val="DefaultParagraphFont"/>
    <w:autoRedefine/>
    <w:uiPriority w:val="99"/>
    <w:semiHidden/>
    <w:unhideWhenUsed/>
    <w:qFormat/>
  </w:style>
  <w:style w:type="character" w:styleId="HTMLAcronym">
    <w:name w:val="HTML Acronym"/>
    <w:basedOn w:val="DefaultParagraphFont"/>
    <w:autoRedefine/>
    <w:uiPriority w:val="99"/>
    <w:semiHidden/>
    <w:unhideWhenUsed/>
    <w:qFormat/>
  </w:style>
  <w:style w:type="character" w:styleId="HTMLVariable">
    <w:name w:val="HTML Variable"/>
    <w:basedOn w:val="DefaultParagraphFont"/>
    <w:autoRedefine/>
    <w:uiPriority w:val="99"/>
    <w:semiHidden/>
    <w:unhideWhenUsed/>
    <w:qFormat/>
  </w:style>
  <w:style w:type="character" w:styleId="Hyperlink">
    <w:name w:val="Hyperlink"/>
    <w:basedOn w:val="DefaultParagraphFont"/>
    <w:autoRedefine/>
    <w:uiPriority w:val="99"/>
    <w:unhideWhenUsed/>
    <w:qFormat/>
    <w:rPr>
      <w:color w:val="0000FF" w:themeColor="hyperlink"/>
      <w:u w:val="single"/>
    </w:rPr>
  </w:style>
  <w:style w:type="character" w:styleId="HTMLCode">
    <w:name w:val="HTML Code"/>
    <w:basedOn w:val="DefaultParagraphFont"/>
    <w:autoRedefine/>
    <w:uiPriority w:val="99"/>
    <w:semiHidden/>
    <w:unhideWhenUsed/>
    <w:qFormat/>
    <w:rPr>
      <w:rFonts w:ascii="Courier New" w:hAnsi="Courier New"/>
      <w:sz w:val="20"/>
    </w:rPr>
  </w:style>
  <w:style w:type="character" w:styleId="CommentReference">
    <w:name w:val="annotation reference"/>
    <w:basedOn w:val="DefaultParagraphFont"/>
    <w:autoRedefine/>
    <w:uiPriority w:val="99"/>
    <w:semiHidden/>
    <w:unhideWhenUsed/>
    <w:qFormat/>
    <w:rPr>
      <w:sz w:val="21"/>
      <w:szCs w:val="21"/>
    </w:rPr>
  </w:style>
  <w:style w:type="character" w:styleId="HTMLCite">
    <w:name w:val="HTML Cite"/>
    <w:basedOn w:val="DefaultParagraphFont"/>
    <w:autoRedefine/>
    <w:uiPriority w:val="99"/>
    <w:semiHidden/>
    <w:unhideWhenUsed/>
    <w:qFormat/>
  </w:style>
  <w:style w:type="character" w:styleId="FootnoteReference">
    <w:name w:val="footnote reference"/>
    <w:basedOn w:val="DefaultParagraphFont"/>
    <w:autoRedefine/>
    <w:uiPriority w:val="99"/>
    <w:semiHidden/>
    <w:unhideWhenUsed/>
    <w:qFormat/>
    <w:rPr>
      <w:vertAlign w:val="superscript"/>
    </w:rPr>
  </w:style>
  <w:style w:type="character" w:customStyle="1" w:styleId="1Char">
    <w:name w:val="标题 1 Char"/>
    <w:basedOn w:val="DefaultParagraphFont"/>
    <w:link w:val="Heading1"/>
    <w:autoRedefine/>
    <w:uiPriority w:val="9"/>
    <w:qFormat/>
    <w:rPr>
      <w:rFonts w:eastAsia="黑体" w:asciiTheme="minorHAnsi" w:hAnsiTheme="minorHAnsi"/>
      <w:bCs/>
      <w:kern w:val="44"/>
      <w:sz w:val="30"/>
      <w:szCs w:val="44"/>
    </w:rPr>
  </w:style>
  <w:style w:type="character" w:customStyle="1" w:styleId="3Char">
    <w:name w:val="标题 3 Char"/>
    <w:basedOn w:val="DefaultParagraphFont"/>
    <w:link w:val="Heading3"/>
    <w:autoRedefine/>
    <w:uiPriority w:val="9"/>
    <w:qFormat/>
    <w:rPr>
      <w:rFonts w:ascii="Times New Roman" w:eastAsia="宋体" w:hAnsi="Times New Roman"/>
      <w:b/>
      <w:bCs/>
      <w:sz w:val="24"/>
      <w:szCs w:val="32"/>
    </w:rPr>
  </w:style>
  <w:style w:type="character" w:customStyle="1" w:styleId="2Char">
    <w:name w:val="标题 2 Char"/>
    <w:basedOn w:val="DefaultParagraphFont"/>
    <w:link w:val="Heading2"/>
    <w:autoRedefine/>
    <w:uiPriority w:val="9"/>
    <w:qFormat/>
    <w:rPr>
      <w:rFonts w:asciiTheme="majorHAnsi" w:eastAsiaTheme="majorEastAsia" w:hAnsiTheme="majorHAnsi" w:cstheme="majorBidi"/>
      <w:b/>
      <w:bCs/>
      <w:kern w:val="2"/>
      <w:sz w:val="28"/>
      <w:szCs w:val="32"/>
    </w:rPr>
  </w:style>
  <w:style w:type="table" w:customStyle="1" w:styleId="1">
    <w:name w:val="浅色底纹1"/>
    <w:basedOn w:val="TableNormal"/>
    <w:autoRedefine/>
    <w:uiPriority w:val="60"/>
    <w:qFormat/>
    <w:rPr>
      <w:color w:val="000000" w:themeColor="text1" w:themeShade="BF"/>
    </w:rPr>
    <w:tblPr>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customStyle="1" w:styleId="21">
    <w:name w:val="中等深浅底纹 21"/>
    <w:basedOn w:val="TableNormal"/>
    <w:autoRedefine/>
    <w:uiPriority w:val="64"/>
    <w:qFormat/>
    <w:tblPr>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har">
    <w:name w:val="页脚 Char"/>
    <w:basedOn w:val="DefaultParagraphFont"/>
    <w:link w:val="Footer"/>
    <w:autoRedefine/>
    <w:uiPriority w:val="99"/>
    <w:qFormat/>
    <w:rPr>
      <w:rFonts w:ascii="Times New Roman" w:eastAsia="宋体" w:hAnsi="Times New Roman" w:cs="Times New Roman"/>
      <w:sz w:val="18"/>
      <w:szCs w:val="18"/>
    </w:rPr>
  </w:style>
  <w:style w:type="character" w:customStyle="1" w:styleId="Char0">
    <w:name w:val="批注框文本 Char"/>
    <w:basedOn w:val="DefaultParagraphFont"/>
    <w:link w:val="BalloonText"/>
    <w:autoRedefine/>
    <w:uiPriority w:val="99"/>
    <w:semiHidden/>
    <w:qFormat/>
    <w:rPr>
      <w:rFonts w:ascii="Calibri" w:eastAsia="宋体" w:hAnsi="Calibri" w:cs="黑体"/>
      <w:sz w:val="18"/>
      <w:szCs w:val="18"/>
    </w:rPr>
  </w:style>
  <w:style w:type="paragraph" w:styleId="ListParagraph">
    <w:name w:val="List Paragraph"/>
    <w:basedOn w:val="Normal"/>
    <w:autoRedefine/>
    <w:uiPriority w:val="99"/>
    <w:qFormat/>
    <w:pPr>
      <w:ind w:firstLine="420" w:firstLineChars="200"/>
    </w:pPr>
    <w:rPr>
      <w:rFonts w:asciiTheme="minorHAnsi" w:eastAsiaTheme="minorEastAsia" w:hAnsiTheme="minorHAnsi" w:cstheme="minorBidi"/>
    </w:rPr>
  </w:style>
  <w:style w:type="paragraph" w:styleId="NoSpacing">
    <w:name w:val="No Spacing"/>
    <w:autoRedefine/>
    <w:uiPriority w:val="1"/>
    <w:qFormat/>
    <w:pPr>
      <w:widowControl w:val="0"/>
      <w:jc w:val="center"/>
    </w:pPr>
    <w:rPr>
      <w:rFonts w:eastAsia="黑体" w:asciiTheme="minorHAnsi" w:hAnsiTheme="minorHAnsi" w:cstheme="minorBidi"/>
      <w:kern w:val="2"/>
      <w:sz w:val="32"/>
      <w:szCs w:val="22"/>
      <w:lang w:val="en-US" w:eastAsia="zh-CN" w:bidi="ar-SA"/>
    </w:rPr>
  </w:style>
  <w:style w:type="paragraph" w:customStyle="1" w:styleId="TOC10">
    <w:name w:val="TOC 标题1"/>
    <w:basedOn w:val="Heading1"/>
    <w:next w:val="Normal"/>
    <w:autoRedefine/>
    <w:uiPriority w:val="39"/>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 w:type="character" w:customStyle="1" w:styleId="Char1">
    <w:name w:val="批注文字 Char"/>
    <w:basedOn w:val="DefaultParagraphFont"/>
    <w:link w:val="CommentText"/>
    <w:autoRedefine/>
    <w:uiPriority w:val="99"/>
    <w:qFormat/>
    <w:rPr>
      <w:rFonts w:ascii="Calibri" w:eastAsia="宋体" w:hAnsi="Calibri" w:cs="Times New Roman"/>
    </w:rPr>
  </w:style>
  <w:style w:type="character" w:customStyle="1" w:styleId="Char2">
    <w:name w:val="页眉 Char"/>
    <w:basedOn w:val="DefaultParagraphFont"/>
    <w:link w:val="Header"/>
    <w:autoRedefine/>
    <w:uiPriority w:val="99"/>
    <w:qFormat/>
    <w:rPr>
      <w:rFonts w:ascii="Calibri" w:eastAsia="宋体" w:hAnsi="Calibri" w:cs="黑体"/>
      <w:sz w:val="18"/>
      <w:szCs w:val="18"/>
    </w:rPr>
  </w:style>
  <w:style w:type="character" w:customStyle="1" w:styleId="4Char">
    <w:name w:val="标题 4 Char"/>
    <w:basedOn w:val="DefaultParagraphFont"/>
    <w:link w:val="Heading4"/>
    <w:autoRedefine/>
    <w:uiPriority w:val="9"/>
    <w:qFormat/>
    <w:rPr>
      <w:rFonts w:asciiTheme="majorHAnsi" w:eastAsiaTheme="majorEastAsia" w:hAnsiTheme="majorHAnsi" w:cstheme="majorBidi"/>
      <w:bCs/>
      <w:szCs w:val="28"/>
    </w:rPr>
  </w:style>
  <w:style w:type="character" w:styleId="PlaceholderText">
    <w:name w:val="Placeholder Text"/>
    <w:basedOn w:val="DefaultParagraphFont"/>
    <w:autoRedefine/>
    <w:uiPriority w:val="99"/>
    <w:semiHidden/>
    <w:qFormat/>
    <w:rPr>
      <w:color w:val="808080"/>
    </w:rPr>
  </w:style>
  <w:style w:type="character" w:customStyle="1" w:styleId="Char3">
    <w:name w:val="脚注文本 Char"/>
    <w:basedOn w:val="DefaultParagraphFont"/>
    <w:link w:val="FootnoteText"/>
    <w:autoRedefine/>
    <w:uiPriority w:val="99"/>
    <w:semiHidden/>
    <w:qFormat/>
    <w:rPr>
      <w:rFonts w:ascii="Calibri" w:hAnsi="Calibri" w:cs="黑体"/>
      <w:kern w:val="2"/>
      <w:sz w:val="18"/>
      <w:szCs w:val="18"/>
    </w:rPr>
  </w:style>
  <w:style w:type="character" w:customStyle="1" w:styleId="ll">
    <w:name w:val="ll"/>
    <w:basedOn w:val="DefaultParagraphFont"/>
    <w:autoRedefine/>
    <w:qFormat/>
  </w:style>
  <w:style w:type="character" w:customStyle="1" w:styleId="data">
    <w:name w:val="data"/>
    <w:basedOn w:val="DefaultParagraphFont"/>
    <w:autoRedefine/>
    <w:qFormat/>
    <w:rPr>
      <w:color w:val="8A8A8A"/>
    </w:rPr>
  </w:style>
  <w:style w:type="character" w:customStyle="1" w:styleId="rr">
    <w:name w:val="rr"/>
    <w:basedOn w:val="DefaultParagraphFont"/>
    <w:autoRedefine/>
    <w:qFormat/>
  </w:style>
  <w:style w:type="character" w:customStyle="1" w:styleId="hidden6">
    <w:name w:val="hidden6"/>
    <w:basedOn w:val="DefaultParagraphFont"/>
    <w:autoRedefine/>
    <w:qFormat/>
    <w:rPr>
      <w:vanish/>
    </w:rPr>
  </w:style>
  <w:style w:type="character" w:customStyle="1" w:styleId="pagedot">
    <w:name w:val="page_dot"/>
    <w:basedOn w:val="DefaultParagraphFont"/>
    <w:autoRedefine/>
    <w:qFormat/>
    <w:rPr>
      <w:b/>
    </w:rPr>
  </w:style>
  <w:style w:type="character" w:customStyle="1" w:styleId="active">
    <w:name w:val="active"/>
    <w:basedOn w:val="DefaultParagraphFont"/>
    <w:autoRedefine/>
    <w:qFormat/>
    <w:rPr>
      <w:color w:val="E60000"/>
      <w:sz w:val="21"/>
      <w:szCs w:val="21"/>
    </w:rPr>
  </w:style>
  <w:style w:type="character" w:customStyle="1" w:styleId="active1">
    <w:name w:val="active1"/>
    <w:basedOn w:val="DefaultParagraphFont"/>
    <w:autoRedefine/>
    <w:qFormat/>
    <w:rPr>
      <w:color w:val="E60000"/>
    </w:rPr>
  </w:style>
  <w:style w:type="character" w:customStyle="1" w:styleId="reopt2">
    <w:name w:val="reopt2"/>
    <w:basedOn w:val="DefaultParagraphFont"/>
    <w:autoRedefine/>
    <w:qFormat/>
  </w:style>
  <w:style w:type="character" w:customStyle="1" w:styleId="fenxiang">
    <w:name w:val="fenxiang"/>
    <w:basedOn w:val="DefaultParagraphFont"/>
    <w:autoRedefine/>
    <w:qFormat/>
    <w:rPr>
      <w:color w:val="111111"/>
    </w:rPr>
  </w:style>
  <w:style w:type="character" w:customStyle="1" w:styleId="database">
    <w:name w:val="database"/>
    <w:basedOn w:val="DefaultParagraphFont"/>
    <w:autoRedefine/>
    <w:qFormat/>
    <w:rPr>
      <w:color w:val="999999"/>
    </w:rPr>
  </w:style>
  <w:style w:type="character" w:customStyle="1" w:styleId="database1">
    <w:name w:val="database1"/>
    <w:basedOn w:val="DefaultParagraphFont"/>
    <w:autoRedefine/>
    <w:qFormat/>
    <w:rPr>
      <w:color w:val="999999"/>
    </w:rPr>
  </w:style>
  <w:style w:type="character" w:customStyle="1" w:styleId="refirstcol">
    <w:name w:val="refirstcol"/>
    <w:basedOn w:val="DefaultParagraphFont"/>
    <w:autoRedefine/>
    <w:qFormat/>
    <w:rPr>
      <w:bdr w:val="single" w:sz="6" w:space="0" w:color="2375BC"/>
    </w:rPr>
  </w:style>
  <w:style w:type="character" w:customStyle="1" w:styleId="refirstcol1">
    <w:name w:val="refirstcol1"/>
    <w:basedOn w:val="DefaultParagraphFont"/>
    <w:autoRedefine/>
    <w:qFormat/>
    <w:rPr>
      <w:bdr w:val="single" w:sz="6" w:space="0" w:color="2375BC"/>
    </w:rPr>
  </w:style>
  <w:style w:type="character" w:customStyle="1" w:styleId="qqloginlogo">
    <w:name w:val="qq_login_logo"/>
    <w:basedOn w:val="DefaultParagraphFont"/>
    <w:autoRedefine/>
    <w:qFormat/>
  </w:style>
  <w:style w:type="character" w:customStyle="1" w:styleId="spanleft">
    <w:name w:val="spanleft"/>
    <w:basedOn w:val="DefaultParagraphFont"/>
    <w:autoRedefine/>
    <w:qFormat/>
  </w:style>
  <w:style w:type="paragraph" w:customStyle="1" w:styleId="WPSOffice1">
    <w:name w:val="WPSOffice手动目录 1"/>
    <w:autoRedefine/>
    <w:qFormat/>
    <w:rPr>
      <w:rFonts w:asciiTheme="minorHAnsi" w:eastAsiaTheme="minorEastAsia" w:hAnsiTheme="minorHAnsi" w:cstheme="minorBidi"/>
      <w:lang w:val="en-US" w:eastAsia="zh-CN" w:bidi="ar-SA"/>
    </w:rPr>
  </w:style>
  <w:style w:type="paragraph" w:customStyle="1" w:styleId="WPSOffice2">
    <w:name w:val="WPSOffice手动目录 2"/>
    <w:autoRedefine/>
    <w:qFormat/>
    <w:pPr>
      <w:ind w:left="200" w:leftChars="200"/>
    </w:pPr>
    <w:rPr>
      <w:rFonts w:asciiTheme="minorHAnsi" w:eastAsiaTheme="minorEastAsia" w:hAnsiTheme="minorHAnsi" w:cstheme="minorBidi"/>
      <w:lang w:val="en-US" w:eastAsia="zh-CN" w:bidi="ar-SA"/>
    </w:rPr>
  </w:style>
  <w:style w:type="paragraph" w:customStyle="1" w:styleId="WPSOffice3">
    <w:name w:val="WPSOffice手动目录 3"/>
    <w:autoRedefine/>
    <w:qFormat/>
    <w:pPr>
      <w:ind w:left="400" w:leftChars="400"/>
    </w:pPr>
    <w:rPr>
      <w:rFonts w:asciiTheme="minorHAnsi" w:eastAsiaTheme="minorEastAsia" w:hAnsiTheme="minorHAnsi" w:cstheme="minorBidi"/>
      <w:lang w:val="en-US" w:eastAsia="zh-CN" w:bidi="ar-SA"/>
    </w:rPr>
  </w:style>
  <w:style w:type="character" w:customStyle="1" w:styleId="author">
    <w:name w:val="author"/>
    <w:basedOn w:val="DefaultParagraphFont"/>
    <w:autoRedefine/>
    <w:qFormat/>
    <w:rPr>
      <w:color w:val="A5A5A5"/>
    </w:rPr>
  </w:style>
  <w:style w:type="character" w:customStyle="1" w:styleId="time">
    <w:name w:val="time"/>
    <w:basedOn w:val="DefaultParagraphFont"/>
    <w:autoRedefine/>
    <w:qFormat/>
    <w:rPr>
      <w:color w:val="0AA8E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yperlink" Target="https://d.book118.com/125144014222011102" TargetMode="Externa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2049"/>
    <customShpInfo spid="_x0000_s1107"/>
    <customShpInfo spid="_x0000_s1106"/>
    <customShpInfo spid="_x0000_s1105"/>
    <customShpInfo spid="_x0000_s1104"/>
    <customShpInfo spid="_x0000_s1103"/>
    <customShpInfo spid="_x0000_s1102"/>
    <customShpInfo spid="_x0000_s1101"/>
    <customShpInfo spid="_x0000_s1100"/>
    <customShpInfo spid="_x0000_s1099"/>
    <customShpInfo spid="_x0000_s1098"/>
    <customShpInfo spid="_x0000_s1097"/>
    <customShpInfo spid="_x0000_s1096"/>
    <customShpInfo spid="_x0000_s1095"/>
    <customShpInfo spid="_x0000_s1094"/>
    <customShpInfo spid="_x0000_s1093"/>
    <customShpInfo spid="_x0000_s1092"/>
    <customShpInfo spid="_x0000_s1091"/>
    <customShpInfo spid="_x0000_s1090"/>
    <customShpInfo spid="_x0000_s1089"/>
    <customShpInfo spid="_x0000_s1088"/>
    <customShpInfo spid="_x0000_s1087"/>
    <customShpInfo spid="_x0000_s1086"/>
    <customShpInfo spid="_x0000_s1085"/>
    <customShpInfo spid="_x0000_s1084"/>
    <customShpInfo spid="_x0000_s1083"/>
    <customShpInfo spid="_x0000_s1082"/>
    <customShpInfo spid="_x0000_s1081"/>
    <customShpInfo spid="_x0000_s1080"/>
    <customShpInfo spid="_x0000_s1079"/>
    <customShpInfo spid="_x0000_s1078"/>
    <customShpInfo spid="_x0000_s1077"/>
    <customShpInfo spid="_x0000_s1076"/>
    <customShpInfo spid="_x0000_s1075"/>
    <customShpInfo spid="_x0000_s1074"/>
    <customShpInfo spid="_x0000_s1073"/>
    <customShpInfo spid="_x0000_s1072"/>
    <customShpInfo spid="_x0000_s1071"/>
    <customShpInfo spid="_x0000_s1070"/>
    <customShpInfo spid="_x0000_s1069"/>
    <customShpInfo spid="_x0000_s1068"/>
    <customShpInfo spid="_x0000_s1067"/>
    <customShpInfo spid="_x0000_s1066"/>
    <customShpInfo spid="_x0000_s1065"/>
    <customShpInfo spid="_x0000_s1064"/>
    <customShpInfo spid="_x0000_s1063"/>
    <customShpInfo spid="_x0000_s1062"/>
    <customShpInfo spid="_x0000_s1061"/>
    <customShpInfo spid="_x0000_s1060"/>
    <customShpInfo spid="_x0000_s1059"/>
    <customShpInfo spid="_x0000_s1058"/>
    <customShpInfo spid="_x0000_s1057"/>
    <customShpInfo spid="_x0000_s1056"/>
    <customShpInfo spid="_x0000_s1055"/>
    <customShpInfo spid="_x0000_s1054"/>
    <customShpInfo spid="_x0000_s1053"/>
    <customShpInfo spid="_x0000_s1052"/>
    <customShpInfo spid="_x0000_s1051"/>
    <customShpInfo spid="_x0000_s1050"/>
    <customShpInfo spid="_x0000_s1049"/>
    <customShpInfo spid="_x0000_s1048"/>
    <customShpInfo spid="_x0000_s1047"/>
    <customShpInfo spid="_x0000_s1046"/>
    <customShpInfo spid="_x0000_s1045"/>
    <customShpInfo spid="_x0000_s1044"/>
    <customShpInfo spid="_x0000_s1043"/>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5C90C-5F57-47E3-96AA-4697457B8E3A}">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13</Pages>
  <Words>3092</Words>
  <Characters>17629</Characters>
  <Application>Microsoft Office Word</Application>
  <DocSecurity>0</DocSecurity>
  <Lines>146</Lines>
  <Paragraphs>41</Paragraphs>
  <ScaleCrop>false</ScaleCrop>
  <Company>WWW.51GHO.NET</Company>
  <LinksUpToDate>false</LinksUpToDate>
  <CharactersWithSpaces>20680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浮城</cp:lastModifiedBy>
  <cp:revision>13</cp:revision>
  <dcterms:created xsi:type="dcterms:W3CDTF">2018-05-08T04:01:00Z</dcterms:created>
  <dcterms:modified xsi:type="dcterms:W3CDTF">2024-02-03T07:14:16Z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C77C1C83FCE14BCBBFAA39FC529E0706_12</vt:lpwstr>
  </property>
  <property fmtid="{D5CDD505-2E9C-101B-9397-08002B2CF9AE}" pid="3" name="KSOProductBuildVer">
    <vt:lpwstr>2052-12.1.0.16250</vt:lpwstr>
  </property>
  <property fmtid="{D5CDD505-2E9C-101B-9397-08002B2CF9AE}" pid="4" name="KSORubyTemplateID" linkTarget="0">
    <vt:lpwstr>6</vt:lpwstr>
  </property>
</Properties>
</file>