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2018-2023年乌兰察布职业学院高职单招（数学／语文／英语）历年常考试题库含答案解析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鲁迅指出：中国几千年封建社会“一治一乱”的历史是（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A.咱们向来就很好比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B.想做奴隶而不得的时代和暂时做稳了奴隶的时代的交替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C.汉族文化发达的时代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D.“古已有之”的时代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ja-JP" w:bidi="ar-SA"/>
        </w:rPr>
        <w:t>2.</w:t>
      </w:r>
      <w:r>
        <w:rPr>
          <w:rFonts w:ascii="黑体" w:eastAsia="黑体" w:hAnsi="黑体" w:cs="Times New Roman"/>
          <w:sz w:val="24"/>
          <w:lang w:val="en-US" w:eastAsia="ja-JP" w:bidi="ar-SA"/>
        </w:rPr>
        <w:t>鲁迅用“史家之绝唱，无韵之《离骚》”赞美（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B.《春秋》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下列句中，“所以”可译成“用来”的是（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19742" cy="136221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9742" cy="136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李煜《虞美人》“雕栏玉砌应犹在，只是朱颜改”的言外之意是（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A.美景依旧，故人已老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B.岁月流逝，青春不再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C.故国宫殿，令人牵挂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D.江山易主，物是人非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A.王无罪岁，斯天下之民至焉。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B.故远人不服，则修文德以来之。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C.东面而视，不见水端。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北宋中叶的文坛领袖是（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D.梅尧臣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先秦诸子散文中，最富有浪漫色彩的是（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D.《墨子》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下列议论文中，属于驳论的是（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10.</w:t>
      </w:r>
      <w:r>
        <w:rPr>
          <w:rFonts w:ascii="黑体" w:eastAsia="黑体" w:hAnsi="黑体" w:cs="Times New Roman"/>
          <w:sz w:val="24"/>
          <w:lang w:val="en-US" w:eastAsia="ja-JP" w:bidi="ar-SA"/>
        </w:rPr>
        <w:t>《天净沙·秋思》的中心画面是（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A.枯藤老树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B.小桥流水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C.古道瘦马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D.夕阳西下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9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534376" cy="1409848"/>
            <wp:effectExtent l="0" t="0" r="0" b="0"/>
            <wp:docPr id="16930551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55164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4376" cy="14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https://d.book118.com/125200323330011112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520032333001111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