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7071">
      <w:pPr>
        <w:pStyle w:val="Normal0"/>
        <w:ind w:firstLine="4493" w:firstLineChars="936"/>
        <w:rPr>
          <w:rFonts w:eastAsia="隶书"/>
          <w:b/>
          <w:bCs/>
          <w:sz w:val="48"/>
        </w:rPr>
      </w:pPr>
      <w:bookmarkStart w:id="0" w:name="_Toc203445717"/>
      <w:bookmarkStart w:id="1" w:name="_Toc230686296"/>
      <w:r>
        <w:rPr>
          <w:rFonts w:eastAsia="隶书" w:hint="eastAsia"/>
          <w:b/>
          <w:bCs/>
          <w:sz w:val="48"/>
        </w:rPr>
        <w:t>中国建筑工程总公司</w:t>
      </w:r>
    </w:p>
    <w:p w:rsidR="00B37071">
      <w:pPr>
        <w:pStyle w:val="Normal0"/>
        <w:rPr>
          <w:sz w:val="21"/>
          <w:szCs w:val="21"/>
        </w:rPr>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 xml:space="preserve">    </w:t>
      </w:r>
      <w:r>
        <w:rPr>
          <w:sz w:val="21"/>
          <w:szCs w:val="21"/>
        </w:rPr>
        <w:t>CHINA STATE CONSTRUCTION ENGRC.CORP.</w:t>
      </w:r>
    </w:p>
    <w:p w:rsidR="00B37071">
      <w:pPr>
        <w:pStyle w:val="Normal0"/>
        <w:spacing w:line="360" w:lineRule="auto"/>
        <w:ind w:firstLine="4620" w:firstLineChars="2200"/>
        <w:rPr>
          <w:sz w:val="21"/>
          <w:szCs w:val="21"/>
        </w:rPr>
      </w:pPr>
    </w:p>
    <w:p w:rsidR="00B37071">
      <w:pPr>
        <w:pStyle w:val="Normal0"/>
        <w:spacing w:line="1000" w:lineRule="exact"/>
        <w:jc w:val="center"/>
        <w:rPr>
          <w:rFonts w:ascii="楷体" w:hAnsi="宋体"/>
          <w:b/>
          <w:shadow/>
          <w:sz w:val="48"/>
          <w:szCs w:val="48"/>
        </w:rPr>
      </w:pPr>
      <w:bookmarkStart w:id="2" w:name="_Toc168579713"/>
      <w:bookmarkStart w:id="3" w:name="_Toc171862340"/>
      <w:r>
        <w:rPr>
          <w:rFonts w:ascii="楷体" w:hAnsi="宋体" w:hint="eastAsia"/>
          <w:b/>
          <w:shadow/>
          <w:sz w:val="48"/>
          <w:szCs w:val="48"/>
        </w:rPr>
        <w:t>海峡</w:t>
      </w:r>
      <w:r>
        <w:rPr>
          <w:rFonts w:ascii="楷体" w:hAnsi="宋体" w:hint="eastAsia"/>
          <w:b/>
          <w:shadow/>
          <w:sz w:val="48"/>
          <w:szCs w:val="48"/>
        </w:rPr>
        <w:t>文化艺术</w:t>
      </w:r>
      <w:r>
        <w:rPr>
          <w:rFonts w:ascii="楷体" w:hAnsi="宋体" w:hint="eastAsia"/>
          <w:b/>
          <w:shadow/>
          <w:sz w:val="48"/>
          <w:szCs w:val="48"/>
        </w:rPr>
        <w:t>中心</w:t>
      </w:r>
      <w:r>
        <w:rPr>
          <w:rFonts w:ascii="楷体" w:hAnsi="宋体" w:hint="eastAsia"/>
          <w:b/>
          <w:shadow/>
          <w:sz w:val="48"/>
          <w:szCs w:val="48"/>
        </w:rPr>
        <w:t>地基</w:t>
      </w:r>
      <w:r>
        <w:rPr>
          <w:rFonts w:ascii="楷体" w:hAnsi="宋体" w:hint="eastAsia"/>
          <w:b/>
          <w:shadow/>
          <w:sz w:val="48"/>
          <w:szCs w:val="48"/>
        </w:rPr>
        <w:t>处理工程</w:t>
      </w:r>
    </w:p>
    <w:p w:rsidR="00B37071">
      <w:pPr>
        <w:pStyle w:val="Normal0"/>
        <w:spacing w:line="1000" w:lineRule="exact"/>
        <w:jc w:val="center"/>
        <w:rPr>
          <w:rFonts w:ascii="楷体" w:hAnsi="宋体"/>
          <w:b/>
          <w:shadow/>
          <w:sz w:val="48"/>
          <w:szCs w:val="48"/>
        </w:rPr>
      </w:pPr>
      <w:r>
        <w:rPr>
          <w:rFonts w:ascii="楷体" w:hAnsi="宋体" w:hint="eastAsia"/>
          <w:b/>
          <w:shadow/>
          <w:sz w:val="48"/>
          <w:szCs w:val="48"/>
        </w:rPr>
        <w:t>专项</w:t>
      </w:r>
      <w:bookmarkEnd w:id="2"/>
      <w:bookmarkEnd w:id="3"/>
      <w:r>
        <w:rPr>
          <w:rFonts w:ascii="楷体" w:hAnsi="宋体" w:hint="eastAsia"/>
          <w:b/>
          <w:shadow/>
          <w:sz w:val="48"/>
          <w:szCs w:val="48"/>
        </w:rPr>
        <w:t>施工方案</w:t>
      </w:r>
    </w:p>
    <w:p w:rsidR="00B37071">
      <w:pPr>
        <w:pStyle w:val="Normal0"/>
        <w:spacing w:line="1000" w:lineRule="exact"/>
        <w:jc w:val="center"/>
        <w:rPr>
          <w:rFonts w:ascii="楷体" w:hAnsi="宋体"/>
          <w:b/>
          <w:shadow/>
          <w:sz w:val="48"/>
          <w:szCs w:val="48"/>
        </w:rPr>
      </w:pPr>
      <w:r>
        <w:rPr>
          <w:rFonts w:ascii="仿宋" w:eastAsia="仿宋" w:hAnsi="仿宋" w:cs="仿宋"/>
          <w:b/>
          <w:bCs/>
          <w:outline/>
          <w:sz w:val="56"/>
          <w:szCs w:val="56"/>
          <w:lang w:val="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5" o:spid="_x0000_s1025" type="#_x0000_t75" alt="SCAC_SD Book_20140604_页面_03" style="width:433.5pt;height:340.2pt;margin-top:4.05pt;margin-left:32.4pt;mso-wrap-style:square;position:absolute;z-index:251662336">
            <v:fill o:detectmouseclick="t"/>
            <v:imagedata r:id="rId5" o:title="SCAC_SD Book_20140604_页面_03"/>
          </v:shape>
        </w:pict>
      </w:r>
    </w:p>
    <w:p w:rsidR="00B37071">
      <w:pPr>
        <w:pStyle w:val="Normal0"/>
        <w:spacing w:line="1000" w:lineRule="exact"/>
        <w:jc w:val="center"/>
        <w:rPr>
          <w:rFonts w:ascii="楷体" w:hAnsi="宋体"/>
          <w:b/>
          <w:shadow/>
          <w:sz w:val="48"/>
          <w:szCs w:val="48"/>
        </w:rPr>
      </w:pPr>
    </w:p>
    <w:p w:rsidR="00B37071">
      <w:pPr>
        <w:pStyle w:val="Normal0"/>
        <w:spacing w:line="1000" w:lineRule="exact"/>
        <w:jc w:val="center"/>
        <w:rPr>
          <w:rFonts w:ascii="楷体" w:hAnsi="宋体"/>
          <w:b/>
          <w:shadow/>
          <w:sz w:val="48"/>
          <w:szCs w:val="48"/>
        </w:rPr>
      </w:pPr>
    </w:p>
    <w:p w:rsidR="00B37071">
      <w:pPr>
        <w:pStyle w:val="Normal0"/>
        <w:spacing w:line="1000" w:lineRule="exact"/>
        <w:jc w:val="center"/>
        <w:rPr>
          <w:rFonts w:ascii="楷体" w:hAnsi="宋体"/>
          <w:b/>
          <w:shadow/>
          <w:sz w:val="48"/>
          <w:szCs w:val="48"/>
        </w:rPr>
      </w:pPr>
    </w:p>
    <w:p w:rsidR="00B37071">
      <w:pPr>
        <w:pStyle w:val="Normal0"/>
        <w:spacing w:line="1000" w:lineRule="exact"/>
        <w:jc w:val="center"/>
        <w:rPr>
          <w:rFonts w:ascii="楷体" w:hAnsi="宋体"/>
          <w:b/>
          <w:shadow/>
          <w:sz w:val="48"/>
          <w:szCs w:val="48"/>
        </w:rPr>
      </w:pPr>
    </w:p>
    <w:p w:rsidR="00B37071">
      <w:pPr>
        <w:pStyle w:val="Normal0"/>
        <w:spacing w:line="1000" w:lineRule="exact"/>
        <w:jc w:val="center"/>
        <w:rPr>
          <w:rFonts w:ascii="楷体" w:hAnsi="宋体"/>
          <w:b/>
          <w:shadow/>
          <w:sz w:val="48"/>
          <w:szCs w:val="48"/>
        </w:rPr>
      </w:pPr>
    </w:p>
    <w:p w:rsidR="00B37071">
      <w:pPr>
        <w:pStyle w:val="Normal0"/>
        <w:spacing w:line="360" w:lineRule="auto"/>
        <w:rPr>
          <w:rFonts w:ascii="宋体" w:hAnsi="宋体"/>
          <w:b/>
          <w:sz w:val="28"/>
        </w:rPr>
      </w:pPr>
      <w:r>
        <w:rPr>
          <w:rFonts w:ascii="宋体" w:hAnsi="宋体" w:hint="eastAsia"/>
          <w:sz w:val="28"/>
        </w:rPr>
        <w:t xml:space="preserve">                  </w:t>
      </w:r>
      <w:r>
        <w:rPr>
          <w:rFonts w:ascii="宋体" w:hAnsi="宋体" w:hint="eastAsia"/>
          <w:b/>
          <w:sz w:val="28"/>
        </w:rPr>
        <w:t xml:space="preserve"> </w:t>
      </w:r>
    </w:p>
    <w:p w:rsidR="00B37071">
      <w:pPr>
        <w:pStyle w:val="Normal0"/>
        <w:jc w:val="center"/>
        <w:rPr>
          <w:rFonts w:ascii="宋体" w:hAnsi="宋体"/>
          <w:b/>
          <w:shadow/>
          <w:color w:val="000000"/>
          <w:sz w:val="28"/>
          <w:szCs w:val="28"/>
        </w:rPr>
      </w:pPr>
    </w:p>
    <w:p w:rsidR="00B37071">
      <w:pPr>
        <w:pStyle w:val="Normal0"/>
        <w:jc w:val="center"/>
        <w:rPr>
          <w:rFonts w:ascii="宋体" w:hAnsi="宋体"/>
          <w:b/>
          <w:shadow/>
          <w:color w:val="000000"/>
          <w:sz w:val="28"/>
          <w:szCs w:val="28"/>
        </w:rPr>
      </w:pPr>
    </w:p>
    <w:p w:rsidR="00B37071">
      <w:pPr>
        <w:pStyle w:val="Normal0"/>
        <w:rPr>
          <w:rFonts w:ascii="宋体" w:hAnsi="宋体"/>
          <w:b/>
          <w:shadow/>
          <w:color w:val="000000"/>
          <w:sz w:val="28"/>
          <w:szCs w:val="28"/>
        </w:rPr>
      </w:pPr>
      <w:r>
        <w:rPr>
          <w:rFonts w:ascii="宋体" w:hAnsi="宋体"/>
          <w:b/>
          <w:shadow/>
          <w:color w:val="000000"/>
          <w:sz w:val="28"/>
          <w:szCs w:val="28"/>
        </w:rPr>
        <w:pict>
          <v:shape id="图片 2" o:spid="_x0000_s1026" type="#_x0000_t75" style="width:48.2pt;height:48.2pt;margin-top:14.8pt;margin-left:76.95pt;mso-wrap-style:square;position:absolute;z-index:251658240" wrapcoords="-131 0 -131 21469 21600 21469 21600 0 -131 0">
            <v:imagedata r:id="rId6" o:title="中建标志1"/>
          </v:shape>
        </w:pict>
      </w:r>
    </w:p>
    <w:p w:rsidR="00B37071">
      <w:pPr>
        <w:pStyle w:val="Normal0"/>
        <w:rPr>
          <w:rFonts w:ascii="宋体" w:hAnsi="宋体"/>
          <w:b/>
          <w:shadow/>
          <w:color w:val="000000"/>
          <w:sz w:val="28"/>
          <w:szCs w:val="28"/>
        </w:rPr>
      </w:pPr>
      <w:r>
        <w:rPr>
          <w:rFonts w:ascii="宋体" w:hAnsi="宋体"/>
          <w:b/>
          <w:shadow/>
          <w:color w:val="000000"/>
          <w:sz w:val="28"/>
          <w:szCs w:val="28"/>
        </w:rPr>
        <w:pict>
          <v:shapetype id="_x0000_t202" coordsize="21600,21600" o:spt="202" path="m,l,21600r21600,l21600,xe">
            <v:stroke joinstyle="miter"/>
            <v:path gradientshapeok="t" o:connecttype="rect"/>
          </v:shapetype>
          <v:shape id="文本框 3" o:spid="_x0000_s1027" type="#_x0000_t202" style="width:198.3pt;height:29pt;margin-top:1.35pt;margin-left:150.6pt;mso-wrap-style:square;position:absolute;z-index:251659264" stroked="f">
            <v:textbox>
              <w:txbxContent>
                <w:p w:rsidR="00B37071">
                  <w:pPr>
                    <w:pStyle w:val="Normal0"/>
                    <w:rPr>
                      <w:sz w:val="30"/>
                      <w:szCs w:val="30"/>
                    </w:rPr>
                  </w:pPr>
                  <w:r>
                    <w:rPr>
                      <w:rFonts w:hint="eastAsia"/>
                      <w:sz w:val="30"/>
                      <w:szCs w:val="30"/>
                    </w:rPr>
                    <w:t>中建海峡建设发展有限公司</w:t>
                  </w:r>
                </w:p>
              </w:txbxContent>
            </v:textbox>
          </v:shape>
        </w:pict>
      </w:r>
    </w:p>
    <w:p w:rsidR="00B37071">
      <w:pPr>
        <w:pStyle w:val="Normal0"/>
        <w:jc w:val="center"/>
        <w:rPr>
          <w:rFonts w:ascii="宋体" w:hAnsi="宋体"/>
          <w:b/>
          <w:shadow/>
          <w:color w:val="000000"/>
          <w:sz w:val="28"/>
          <w:szCs w:val="28"/>
        </w:rPr>
      </w:pPr>
      <w:r>
        <w:rPr>
          <w:rFonts w:ascii="宋体" w:hAnsi="宋体"/>
          <w:b/>
          <w:shadow/>
          <w:color w:val="000000"/>
          <w:sz w:val="28"/>
          <w:szCs w:val="28"/>
        </w:rPr>
        <w:pict>
          <v:shape id="文本框 4" o:spid="_x0000_s1028" type="#_x0000_t202" style="width:166.1pt;height:25.3pt;margin-top:9.9pt;margin-left:175.75pt;mso-wrap-style:square;position:absolute;z-index:251660288" stroked="f">
            <v:textbox>
              <w:txbxContent>
                <w:p w:rsidR="00B37071">
                  <w:pPr>
                    <w:pStyle w:val="Normal0"/>
                    <w:ind w:firstLine="150" w:firstLineChars="50"/>
                    <w:rPr>
                      <w:sz w:val="30"/>
                      <w:szCs w:val="30"/>
                    </w:rPr>
                  </w:pPr>
                  <w:r>
                    <w:rPr>
                      <w:rFonts w:hint="eastAsia"/>
                      <w:sz w:val="30"/>
                      <w:szCs w:val="30"/>
                    </w:rPr>
                    <w:t>二</w:t>
                  </w:r>
                  <w:r>
                    <w:rPr>
                      <w:rFonts w:hint="eastAsia"/>
                      <w:sz w:val="30"/>
                      <w:szCs w:val="30"/>
                    </w:rPr>
                    <w:t>0</w:t>
                  </w:r>
                  <w:r>
                    <w:rPr>
                      <w:rFonts w:hint="eastAsia"/>
                      <w:sz w:val="30"/>
                      <w:szCs w:val="30"/>
                    </w:rPr>
                    <w:t>一</w:t>
                  </w:r>
                  <w:r>
                    <w:rPr>
                      <w:rFonts w:hint="eastAsia"/>
                      <w:sz w:val="30"/>
                      <w:szCs w:val="30"/>
                    </w:rPr>
                    <w:t>七</w:t>
                  </w:r>
                  <w:r>
                    <w:rPr>
                      <w:rFonts w:hint="eastAsia"/>
                      <w:sz w:val="30"/>
                      <w:szCs w:val="30"/>
                    </w:rPr>
                    <w:t>年</w:t>
                  </w:r>
                  <w:r>
                    <w:rPr>
                      <w:rFonts w:hint="eastAsia"/>
                      <w:sz w:val="30"/>
                      <w:szCs w:val="30"/>
                    </w:rPr>
                    <w:t>七</w:t>
                  </w:r>
                  <w:r>
                    <w:rPr>
                      <w:rFonts w:hint="eastAsia"/>
                      <w:sz w:val="30"/>
                      <w:szCs w:val="30"/>
                    </w:rPr>
                    <w:t>月</w:t>
                  </w:r>
                </w:p>
              </w:txbxContent>
            </v:textbox>
          </v:shape>
        </w:pict>
      </w:r>
      <w:r>
        <w:rPr>
          <w:rFonts w:ascii="宋体" w:hAnsi="宋体"/>
          <w:b/>
          <w:shadow/>
          <w:color w:val="000000"/>
          <w:sz w:val="28"/>
          <w:szCs w:val="28"/>
        </w:rPr>
        <w:t xml:space="preserve"> </w:t>
      </w:r>
    </w:p>
    <w:p w:rsidR="00B37071">
      <w:pPr>
        <w:pStyle w:val="Normal0"/>
        <w:jc w:val="center"/>
        <w:rPr>
          <w:rFonts w:ascii="宋体" w:hAnsi="宋体"/>
          <w:b/>
          <w:shadow/>
          <w:color w:val="000000"/>
          <w:sz w:val="28"/>
          <w:szCs w:val="28"/>
        </w:rPr>
      </w:pPr>
    </w:p>
    <w:p w:rsidR="00B37071">
      <w:pPr>
        <w:pStyle w:val="TOC1"/>
      </w:pPr>
    </w:p>
    <w:p w:rsidR="00B37071">
      <w:pPr>
        <w:pStyle w:val="TOC1"/>
        <w:rPr>
          <w:sz w:val="24"/>
          <w:szCs w:val="24"/>
        </w:rPr>
      </w:pPr>
      <w:r>
        <w:pict>
          <v:shape id="图片 5" o:spid="_x0000_s1029" type="#_x0000_t75" style="width:136pt;height:42pt;margin-top:3pt;margin-left:4.05pt;mso-wrap-style:square;position:absolute;z-index:-251655168" wrapcoords="-119 0 -119 21214 21600 21214 21600 0 -119 0">
            <v:imagedata r:id="rId7" o:title="cscec4" croptop="9988f" cropbottom="25968f" cropleft="3643f" cropright="3643f"/>
            <w10:wrap type="tight"/>
          </v:shape>
        </w:pict>
      </w:r>
      <w:r>
        <w:rPr>
          <w:rFonts w:hint="eastAsia"/>
        </w:rPr>
        <w:t xml:space="preserve">                                       </w:t>
      </w:r>
    </w:p>
    <w:p w:rsidR="00B37071">
      <w:pPr>
        <w:pStyle w:val="Normal0"/>
      </w:pPr>
    </w:p>
    <w:p w:rsidR="00B37071">
      <w:pPr>
        <w:pStyle w:val="Normal0"/>
      </w:pPr>
    </w:p>
    <w:p w:rsidR="00B37071">
      <w:pPr>
        <w:pStyle w:val="Normal0"/>
        <w:rPr>
          <w:rFonts w:ascii="宋体" w:hAnsi="宋体"/>
          <w:b/>
          <w:bCs/>
          <w:sz w:val="24"/>
          <w:szCs w:val="24"/>
        </w:rPr>
        <w:sectPr>
          <w:pgSz w:w="11907" w:h="16840"/>
          <w:pgMar w:top="1418" w:right="1123" w:bottom="1418" w:left="1418" w:header="851" w:footer="851" w:gutter="0"/>
          <w:pgNumType w:fmt="numberInDash"/>
          <w:cols w:space="708"/>
          <w:docGrid w:linePitch="312"/>
        </w:sectPr>
      </w:pPr>
      <w:bookmarkStart w:id="4" w:name="_Toc291138854"/>
    </w:p>
    <w:p w:rsidR="00B37071">
      <w:pPr>
        <w:pStyle w:val="TOC1"/>
        <w:tabs>
          <w:tab w:val="right" w:leader="dot" w:pos="9360"/>
        </w:tabs>
        <w:spacing w:before="0" w:after="0"/>
        <w:jc w:val="center"/>
        <w:rPr>
          <w:bCs w:val="0"/>
          <w:caps w:val="0"/>
          <w:sz w:val="44"/>
          <w:szCs w:val="44"/>
        </w:rPr>
      </w:pPr>
      <w:r>
        <w:rPr>
          <w:rFonts w:hint="eastAsia"/>
          <w:bCs w:val="0"/>
          <w:caps w:val="0"/>
          <w:sz w:val="44"/>
          <w:szCs w:val="44"/>
        </w:rPr>
        <w:t>目</w:t>
      </w:r>
      <w:r>
        <w:rPr>
          <w:rFonts w:hint="eastAsia"/>
          <w:bCs w:val="0"/>
          <w:caps w:val="0"/>
          <w:sz w:val="44"/>
          <w:szCs w:val="44"/>
        </w:rPr>
        <w:t xml:space="preserve">     </w:t>
      </w:r>
      <w:r>
        <w:rPr>
          <w:rFonts w:hint="eastAsia"/>
          <w:bCs w:val="0"/>
          <w:caps w:val="0"/>
          <w:sz w:val="44"/>
          <w:szCs w:val="44"/>
        </w:rPr>
        <w:t>录</w:t>
      </w:r>
    </w:p>
    <w:p w:rsidR="00B37071">
      <w:pPr>
        <w:pStyle w:val="TOC1"/>
        <w:tabs>
          <w:tab w:val="right" w:leader="dot" w:pos="9356"/>
        </w:tabs>
        <w:rPr>
          <w:b w:val="0"/>
          <w:bCs w:val="0"/>
          <w:caps w:val="0"/>
          <w:sz w:val="21"/>
          <w:szCs w:val="24"/>
        </w:rPr>
      </w:pPr>
      <w:r>
        <w:rPr>
          <w:rFonts w:ascii="宋体" w:hAnsi="宋体"/>
          <w:b w:val="0"/>
          <w:bCs w:val="0"/>
          <w:caps w:val="0"/>
          <w:sz w:val="21"/>
          <w:szCs w:val="21"/>
        </w:rPr>
        <w:fldChar w:fldCharType="begin"/>
      </w:r>
      <w:r>
        <w:rPr>
          <w:rFonts w:ascii="宋体" w:hAnsi="宋体"/>
          <w:b w:val="0"/>
          <w:bCs w:val="0"/>
          <w:caps w:val="0"/>
          <w:sz w:val="21"/>
          <w:szCs w:val="21"/>
        </w:rPr>
        <w:instrText xml:space="preserve"> TOC \o "1-2" \h \z \u </w:instrText>
      </w:r>
      <w:r>
        <w:rPr>
          <w:rFonts w:ascii="宋体" w:hAnsi="宋体"/>
          <w:b w:val="0"/>
          <w:bCs w:val="0"/>
          <w:caps w:val="0"/>
          <w:sz w:val="21"/>
          <w:szCs w:val="21"/>
        </w:rPr>
        <w:fldChar w:fldCharType="separate"/>
      </w:r>
      <w:hyperlink w:anchor="_Toc360632713" w:history="1">
        <w:r>
          <w:rPr>
            <w:rStyle w:val="Hyperlink"/>
            <w:rFonts w:ascii="宋体" w:hAnsi="宋体"/>
          </w:rPr>
          <w:t>1</w:t>
        </w:r>
        <w:r>
          <w:rPr>
            <w:rStyle w:val="Hyperlink"/>
            <w:rFonts w:ascii="宋体" w:hAnsi="宋体" w:hint="eastAsia"/>
          </w:rPr>
          <w:t>、编制依据</w:t>
        </w:r>
        <w:r>
          <w:tab/>
        </w:r>
        <w:r>
          <w:fldChar w:fldCharType="begin"/>
        </w:r>
        <w:r>
          <w:instrText xml:space="preserve"> PAGEREF _Toc360632713 \h </w:instrText>
        </w:r>
        <w:r>
          <w:fldChar w:fldCharType="separate"/>
        </w:r>
        <w:r>
          <w:t>- 1 -</w:t>
        </w:r>
        <w:r>
          <w:fldChar w:fldCharType="end"/>
        </w:r>
      </w:hyperlink>
    </w:p>
    <w:p w:rsidR="00B37071">
      <w:pPr>
        <w:pStyle w:val="TOC1"/>
        <w:tabs>
          <w:tab w:val="right" w:leader="dot" w:pos="9356"/>
        </w:tabs>
        <w:rPr>
          <w:b w:val="0"/>
          <w:bCs w:val="0"/>
          <w:caps w:val="0"/>
          <w:sz w:val="21"/>
          <w:szCs w:val="24"/>
        </w:rPr>
      </w:pPr>
      <w:hyperlink w:anchor="_Toc360632714" w:history="1">
        <w:r>
          <w:rPr>
            <w:rStyle w:val="Hyperlink"/>
            <w:rFonts w:ascii="宋体" w:hAnsi="宋体"/>
          </w:rPr>
          <w:t>2</w:t>
        </w:r>
        <w:r>
          <w:rPr>
            <w:rStyle w:val="Hyperlink"/>
            <w:rFonts w:ascii="宋体" w:hAnsi="宋体" w:hint="eastAsia"/>
          </w:rPr>
          <w:t>、</w:t>
        </w:r>
        <w:r>
          <w:rPr>
            <w:rStyle w:val="Hyperlink"/>
            <w:rFonts w:hint="eastAsia"/>
          </w:rPr>
          <w:t>工程概况</w:t>
        </w:r>
        <w:r>
          <w:tab/>
        </w:r>
        <w:r>
          <w:fldChar w:fldCharType="begin"/>
        </w:r>
        <w:r>
          <w:instrText xml:space="preserve"> PAGEREF _Toc360632714 \h </w:instrText>
        </w:r>
        <w:r>
          <w:fldChar w:fldCharType="separate"/>
        </w:r>
        <w:r>
          <w:t>- 2 -</w:t>
        </w:r>
        <w:r>
          <w:fldChar w:fldCharType="end"/>
        </w:r>
      </w:hyperlink>
    </w:p>
    <w:p w:rsidR="00B37071">
      <w:pPr>
        <w:pStyle w:val="TOC2"/>
        <w:rPr>
          <w:smallCaps w:val="0"/>
          <w:sz w:val="21"/>
          <w:szCs w:val="24"/>
        </w:rPr>
      </w:pPr>
      <w:hyperlink w:anchor="_Toc360632715" w:history="1">
        <w:r>
          <w:rPr>
            <w:rStyle w:val="Hyperlink"/>
            <w:rFonts w:ascii="宋体" w:hAnsi="宋体"/>
          </w:rPr>
          <w:t>2.1</w:t>
        </w:r>
        <w:r>
          <w:rPr>
            <w:rStyle w:val="Hyperlink"/>
            <w:rFonts w:ascii="宋体" w:hAnsi="宋体" w:hint="eastAsia"/>
          </w:rPr>
          <w:t>、工程简介</w:t>
        </w:r>
        <w:r>
          <w:tab/>
        </w:r>
        <w:r>
          <w:fldChar w:fldCharType="begin"/>
        </w:r>
        <w:r>
          <w:instrText xml:space="preserve"> PAGEREF _Toc360632715 \h </w:instrText>
        </w:r>
        <w:r>
          <w:fldChar w:fldCharType="separate"/>
        </w:r>
        <w:r>
          <w:t>- 2 -</w:t>
        </w:r>
        <w:r>
          <w:fldChar w:fldCharType="end"/>
        </w:r>
      </w:hyperlink>
    </w:p>
    <w:p w:rsidR="00B37071">
      <w:pPr>
        <w:pStyle w:val="TOC2"/>
        <w:rPr>
          <w:smallCaps w:val="0"/>
          <w:sz w:val="21"/>
          <w:szCs w:val="24"/>
        </w:rPr>
      </w:pPr>
      <w:hyperlink w:anchor="_Toc360632717" w:history="1">
        <w:r>
          <w:rPr>
            <w:rStyle w:val="Hyperlink"/>
            <w:rFonts w:ascii="宋体" w:hAnsi="宋体"/>
          </w:rPr>
          <w:t>2.2</w:t>
        </w:r>
        <w:r>
          <w:rPr>
            <w:rStyle w:val="Hyperlink"/>
            <w:rFonts w:ascii="宋体" w:hAnsi="宋体" w:hint="eastAsia"/>
          </w:rPr>
          <w:t>、工程建设概况</w:t>
        </w:r>
        <w:r>
          <w:tab/>
        </w:r>
        <w:r>
          <w:fldChar w:fldCharType="begin"/>
        </w:r>
        <w:r>
          <w:instrText xml:space="preserve"> PAGEREF _Toc360632717 \h </w:instrText>
        </w:r>
        <w:r>
          <w:fldChar w:fldCharType="separate"/>
        </w:r>
        <w:r>
          <w:t>- 2 -</w:t>
        </w:r>
        <w:r>
          <w:fldChar w:fldCharType="end"/>
        </w:r>
      </w:hyperlink>
    </w:p>
    <w:p w:rsidR="00B37071">
      <w:pPr>
        <w:pStyle w:val="TOC2"/>
        <w:rPr>
          <w:smallCaps w:val="0"/>
          <w:sz w:val="21"/>
          <w:szCs w:val="24"/>
        </w:rPr>
      </w:pPr>
      <w:hyperlink w:anchor="_Toc360632718" w:history="1">
        <w:r>
          <w:rPr>
            <w:rStyle w:val="Hyperlink"/>
            <w:rFonts w:ascii="宋体" w:hAnsi="宋体"/>
          </w:rPr>
          <w:t>2.3</w:t>
        </w:r>
        <w:r>
          <w:rPr>
            <w:rStyle w:val="Hyperlink"/>
            <w:rFonts w:ascii="宋体" w:hAnsi="宋体" w:hint="eastAsia"/>
          </w:rPr>
          <w:t>、软基处理设计概况</w:t>
        </w:r>
        <w:r>
          <w:tab/>
        </w:r>
        <w:r>
          <w:fldChar w:fldCharType="begin"/>
        </w:r>
        <w:r>
          <w:instrText xml:space="preserve"> PAGEREF _Toc360632718 \h </w:instrText>
        </w:r>
        <w:r>
          <w:fldChar w:fldCharType="separate"/>
        </w:r>
        <w:r>
          <w:t>- 2 -</w:t>
        </w:r>
        <w:r>
          <w:fldChar w:fldCharType="end"/>
        </w:r>
      </w:hyperlink>
    </w:p>
    <w:p w:rsidR="00B37071">
      <w:pPr>
        <w:pStyle w:val="TOC2"/>
        <w:rPr>
          <w:smallCaps w:val="0"/>
          <w:sz w:val="21"/>
          <w:szCs w:val="24"/>
        </w:rPr>
      </w:pPr>
      <w:hyperlink w:anchor="_Toc360632719" w:history="1">
        <w:r>
          <w:rPr>
            <w:rStyle w:val="Hyperlink"/>
            <w:rFonts w:ascii="宋体" w:hAnsi="宋体"/>
          </w:rPr>
          <w:t>2.4</w:t>
        </w:r>
        <w:r>
          <w:rPr>
            <w:rStyle w:val="Hyperlink"/>
            <w:rFonts w:ascii="宋体" w:hAnsi="宋体" w:hint="eastAsia"/>
          </w:rPr>
          <w:t>、场地岩土工程地质条件</w:t>
        </w:r>
        <w:r>
          <w:tab/>
        </w:r>
        <w:r>
          <w:fldChar w:fldCharType="begin"/>
        </w:r>
        <w:r>
          <w:instrText xml:space="preserve"> PAGEREF _T</w:instrText>
        </w:r>
        <w:r>
          <w:instrText xml:space="preserve">oc360632719 \h </w:instrText>
        </w:r>
        <w:r>
          <w:fldChar w:fldCharType="separate"/>
        </w:r>
        <w:r>
          <w:t>- 3 -</w:t>
        </w:r>
        <w:r>
          <w:fldChar w:fldCharType="end"/>
        </w:r>
      </w:hyperlink>
    </w:p>
    <w:p w:rsidR="00B37071">
      <w:pPr>
        <w:pStyle w:val="TOC2"/>
        <w:rPr>
          <w:smallCaps w:val="0"/>
          <w:sz w:val="21"/>
          <w:szCs w:val="24"/>
        </w:rPr>
      </w:pPr>
      <w:hyperlink w:anchor="_Toc360632720" w:history="1">
        <w:r>
          <w:rPr>
            <w:rStyle w:val="Hyperlink"/>
            <w:rFonts w:ascii="宋体" w:hAnsi="宋体"/>
            <w:lang w:val="en-GB"/>
          </w:rPr>
          <w:t>2.5</w:t>
        </w:r>
        <w:r>
          <w:rPr>
            <w:rStyle w:val="Hyperlink"/>
            <w:rFonts w:ascii="宋体" w:hAnsi="宋体" w:hint="eastAsia"/>
            <w:lang w:val="en-GB"/>
          </w:rPr>
          <w:t>、工程特点</w:t>
        </w:r>
        <w:r>
          <w:tab/>
        </w:r>
        <w:r>
          <w:fldChar w:fldCharType="begin"/>
        </w:r>
        <w:r>
          <w:instrText xml:space="preserve"> PAGEREF _Toc360632720 \h </w:instrText>
        </w:r>
        <w:r>
          <w:fldChar w:fldCharType="separate"/>
        </w:r>
        <w:r>
          <w:t>- 5 -</w:t>
        </w:r>
        <w:r>
          <w:fldChar w:fldCharType="end"/>
        </w:r>
      </w:hyperlink>
    </w:p>
    <w:p w:rsidR="00B37071">
      <w:pPr>
        <w:pStyle w:val="TOC1"/>
        <w:tabs>
          <w:tab w:val="right" w:leader="dot" w:pos="9356"/>
        </w:tabs>
        <w:rPr>
          <w:b w:val="0"/>
          <w:bCs w:val="0"/>
          <w:caps w:val="0"/>
          <w:sz w:val="21"/>
          <w:szCs w:val="24"/>
        </w:rPr>
      </w:pPr>
      <w:hyperlink w:anchor="_Toc360632721" w:history="1">
        <w:r>
          <w:rPr>
            <w:rStyle w:val="Hyperlink"/>
            <w:rFonts w:ascii="宋体" w:hAnsi="宋体"/>
          </w:rPr>
          <w:t>3</w:t>
        </w:r>
        <w:r>
          <w:rPr>
            <w:rStyle w:val="Hyperlink"/>
            <w:rFonts w:ascii="宋体" w:hAnsi="宋体" w:hint="eastAsia"/>
          </w:rPr>
          <w:t>、施工计划</w:t>
        </w:r>
        <w:r>
          <w:tab/>
        </w:r>
        <w:r>
          <w:fldChar w:fldCharType="begin"/>
        </w:r>
        <w:r>
          <w:instrText xml:space="preserve"> PAGEREF _Toc360632721 \h </w:instrText>
        </w:r>
        <w:r>
          <w:fldChar w:fldCharType="separate"/>
        </w:r>
        <w:r>
          <w:t>- 6 -</w:t>
        </w:r>
        <w:r>
          <w:fldChar w:fldCharType="end"/>
        </w:r>
      </w:hyperlink>
    </w:p>
    <w:p w:rsidR="00B37071">
      <w:pPr>
        <w:pStyle w:val="TOC2"/>
        <w:rPr>
          <w:smallCaps w:val="0"/>
          <w:sz w:val="21"/>
          <w:szCs w:val="24"/>
        </w:rPr>
      </w:pPr>
      <w:hyperlink w:anchor="_Toc360632722" w:history="1">
        <w:r>
          <w:rPr>
            <w:rStyle w:val="Hyperlink"/>
            <w:rFonts w:ascii="宋体" w:hAnsi="宋体"/>
          </w:rPr>
          <w:t>3.1</w:t>
        </w:r>
        <w:r>
          <w:rPr>
            <w:rStyle w:val="Hyperlink"/>
            <w:rFonts w:ascii="宋体" w:hAnsi="宋体" w:hint="eastAsia"/>
          </w:rPr>
          <w:t>、工程目标</w:t>
        </w:r>
        <w:r>
          <w:tab/>
        </w:r>
        <w:r>
          <w:fldChar w:fldCharType="begin"/>
        </w:r>
        <w:r>
          <w:instrText xml:space="preserve"> PAGEREF </w:instrText>
        </w:r>
        <w:r>
          <w:instrText xml:space="preserve">_Toc360632722 \h </w:instrText>
        </w:r>
        <w:r>
          <w:fldChar w:fldCharType="separate"/>
        </w:r>
        <w:r>
          <w:t>- 6 -</w:t>
        </w:r>
        <w:r>
          <w:fldChar w:fldCharType="end"/>
        </w:r>
      </w:hyperlink>
    </w:p>
    <w:p w:rsidR="00B37071">
      <w:pPr>
        <w:pStyle w:val="TOC2"/>
        <w:rPr>
          <w:smallCaps w:val="0"/>
          <w:sz w:val="21"/>
          <w:szCs w:val="24"/>
        </w:rPr>
      </w:pPr>
      <w:hyperlink w:anchor="_Toc360632723" w:history="1">
        <w:r>
          <w:rPr>
            <w:rStyle w:val="Hyperlink"/>
            <w:rFonts w:ascii="宋体" w:hAnsi="宋体"/>
            <w:bCs/>
          </w:rPr>
          <w:t>3.2</w:t>
        </w:r>
        <w:r>
          <w:rPr>
            <w:rStyle w:val="Hyperlink"/>
            <w:rFonts w:ascii="宋体" w:hAnsi="宋体" w:hint="eastAsia"/>
            <w:bCs/>
          </w:rPr>
          <w:t>、</w:t>
        </w:r>
        <w:r>
          <w:rPr>
            <w:rStyle w:val="Hyperlink"/>
            <w:rFonts w:ascii="宋体" w:hAnsi="宋体" w:hint="eastAsia"/>
          </w:rPr>
          <w:t>软基工程项目部组织机构</w:t>
        </w:r>
        <w:r>
          <w:tab/>
        </w:r>
        <w:r>
          <w:fldChar w:fldCharType="begin"/>
        </w:r>
        <w:r>
          <w:instrText xml:space="preserve"> PAGEREF _Toc360632723 \h </w:instrText>
        </w:r>
        <w:r>
          <w:fldChar w:fldCharType="separate"/>
        </w:r>
        <w:r>
          <w:t>- 6 -</w:t>
        </w:r>
        <w:r>
          <w:fldChar w:fldCharType="end"/>
        </w:r>
      </w:hyperlink>
    </w:p>
    <w:p w:rsidR="00B37071">
      <w:pPr>
        <w:pStyle w:val="TOC2"/>
        <w:rPr>
          <w:smallCaps w:val="0"/>
          <w:sz w:val="21"/>
          <w:szCs w:val="24"/>
        </w:rPr>
      </w:pPr>
      <w:hyperlink w:anchor="_Toc360632724" w:history="1">
        <w:r>
          <w:rPr>
            <w:rStyle w:val="Hyperlink"/>
            <w:rFonts w:ascii="宋体" w:hAnsi="宋体"/>
          </w:rPr>
          <w:t>3.3</w:t>
        </w:r>
        <w:r>
          <w:rPr>
            <w:rStyle w:val="Hyperlink"/>
            <w:rFonts w:ascii="宋体" w:hAnsi="宋体" w:hint="eastAsia"/>
          </w:rPr>
          <w:t>、</w:t>
        </w:r>
        <w:r>
          <w:rPr>
            <w:rStyle w:val="Hyperlink"/>
            <w:rFonts w:ascii="宋体" w:hAnsi="宋体" w:hint="eastAsia"/>
            <w:bCs/>
          </w:rPr>
          <w:t>施工准备</w:t>
        </w:r>
        <w:r>
          <w:tab/>
        </w:r>
        <w:r>
          <w:fldChar w:fldCharType="begin"/>
        </w:r>
        <w:r>
          <w:instrText xml:space="preserve"> PAGEREF _Toc360632724 \h </w:instrText>
        </w:r>
        <w:r>
          <w:fldChar w:fldCharType="separate"/>
        </w:r>
        <w:r>
          <w:t>- 7 -</w:t>
        </w:r>
        <w:r>
          <w:fldChar w:fldCharType="end"/>
        </w:r>
      </w:hyperlink>
    </w:p>
    <w:p w:rsidR="00B37071">
      <w:pPr>
        <w:pStyle w:val="TOC1"/>
        <w:tabs>
          <w:tab w:val="right" w:leader="dot" w:pos="9356"/>
        </w:tabs>
        <w:rPr>
          <w:b w:val="0"/>
          <w:bCs w:val="0"/>
          <w:caps w:val="0"/>
          <w:sz w:val="21"/>
          <w:szCs w:val="24"/>
        </w:rPr>
      </w:pPr>
      <w:hyperlink w:anchor="_Toc360632725" w:history="1">
        <w:r>
          <w:rPr>
            <w:rStyle w:val="Hyperlink"/>
            <w:rFonts w:ascii="宋体" w:hAnsi="宋体"/>
          </w:rPr>
          <w:t>4</w:t>
        </w:r>
        <w:r>
          <w:rPr>
            <w:rStyle w:val="Hyperlink"/>
            <w:rFonts w:ascii="宋体" w:hAnsi="宋体" w:hint="eastAsia"/>
          </w:rPr>
          <w:t>、施工进度计划</w:t>
        </w:r>
        <w:r>
          <w:tab/>
        </w:r>
        <w:r>
          <w:fldChar w:fldCharType="begin"/>
        </w:r>
        <w:r>
          <w:instrText xml:space="preserve"> PAGEREF _Toc360632725 \h </w:instrText>
        </w:r>
        <w:r>
          <w:fldChar w:fldCharType="separate"/>
        </w:r>
        <w:r>
          <w:t>- 10 -</w:t>
        </w:r>
        <w:r>
          <w:fldChar w:fldCharType="end"/>
        </w:r>
      </w:hyperlink>
    </w:p>
    <w:p w:rsidR="00B37071">
      <w:pPr>
        <w:pStyle w:val="TOC2"/>
        <w:rPr>
          <w:smallCaps w:val="0"/>
          <w:sz w:val="21"/>
          <w:szCs w:val="24"/>
        </w:rPr>
      </w:pPr>
      <w:hyperlink w:anchor="_Toc360632726" w:history="1">
        <w:r>
          <w:rPr>
            <w:rStyle w:val="Hyperlink"/>
            <w:rFonts w:ascii="宋体" w:hAnsi="宋体"/>
          </w:rPr>
          <w:t>4.1</w:t>
        </w:r>
        <w:r>
          <w:rPr>
            <w:rStyle w:val="Hyperlink"/>
            <w:rFonts w:ascii="宋体" w:hAnsi="宋体" w:hint="eastAsia"/>
          </w:rPr>
          <w:t>工期目标</w:t>
        </w:r>
        <w:r>
          <w:tab/>
        </w:r>
        <w:r>
          <w:fldChar w:fldCharType="begin"/>
        </w:r>
        <w:r>
          <w:instrText xml:space="preserve"> PAGEREF _Toc360632726 \h </w:instrText>
        </w:r>
        <w:r>
          <w:fldChar w:fldCharType="separate"/>
        </w:r>
        <w:r>
          <w:t>- 10 -</w:t>
        </w:r>
        <w:r>
          <w:fldChar w:fldCharType="end"/>
        </w:r>
      </w:hyperlink>
    </w:p>
    <w:p w:rsidR="00B37071">
      <w:pPr>
        <w:pStyle w:val="TOC1"/>
        <w:tabs>
          <w:tab w:val="right" w:leader="dot" w:pos="9356"/>
        </w:tabs>
        <w:rPr>
          <w:b w:val="0"/>
          <w:bCs w:val="0"/>
          <w:caps w:val="0"/>
          <w:sz w:val="21"/>
          <w:szCs w:val="24"/>
        </w:rPr>
      </w:pPr>
      <w:hyperlink w:anchor="_Toc360632728" w:history="1">
        <w:r>
          <w:rPr>
            <w:rStyle w:val="Hyperlink"/>
            <w:rFonts w:ascii="宋体" w:hAnsi="宋体"/>
          </w:rPr>
          <w:t>5</w:t>
        </w:r>
        <w:r>
          <w:rPr>
            <w:rStyle w:val="Hyperlink"/>
            <w:rFonts w:ascii="宋体" w:hAnsi="宋体" w:hint="eastAsia"/>
          </w:rPr>
          <w:t>、主要各工序施工方法</w:t>
        </w:r>
        <w:r>
          <w:tab/>
        </w:r>
        <w:r>
          <w:fldChar w:fldCharType="begin"/>
        </w:r>
        <w:r>
          <w:instrText xml:space="preserve"> PAGEREF _Toc360632728 \h </w:instrText>
        </w:r>
        <w:r>
          <w:fldChar w:fldCharType="separate"/>
        </w:r>
        <w:r>
          <w:t>- 10 -</w:t>
        </w:r>
        <w:r>
          <w:fldChar w:fldCharType="end"/>
        </w:r>
      </w:hyperlink>
    </w:p>
    <w:p w:rsidR="00B37071">
      <w:pPr>
        <w:pStyle w:val="TOC2"/>
        <w:rPr>
          <w:smallCaps w:val="0"/>
          <w:sz w:val="21"/>
          <w:szCs w:val="24"/>
        </w:rPr>
      </w:pPr>
      <w:hyperlink w:anchor="_Toc360632729" w:history="1">
        <w:r>
          <w:rPr>
            <w:rStyle w:val="Hyperlink"/>
            <w:rFonts w:ascii="宋体" w:hAnsi="宋体"/>
            <w:kern w:val="0"/>
          </w:rPr>
          <w:t>5.1</w:t>
        </w:r>
        <w:r>
          <w:rPr>
            <w:rStyle w:val="Hyperlink"/>
            <w:rFonts w:ascii="宋体" w:hAnsi="宋体" w:hint="eastAsia"/>
            <w:kern w:val="0"/>
          </w:rPr>
          <w:t>确定水泥搅拌桩施工</w:t>
        </w:r>
        <w:r>
          <w:rPr>
            <w:rStyle w:val="Hyperlink"/>
            <w:rFonts w:ascii="宋体" w:hAnsi="宋体" w:hint="eastAsia"/>
            <w:kern w:val="0"/>
          </w:rPr>
          <w:t>标准</w:t>
        </w:r>
        <w:r>
          <w:tab/>
        </w:r>
        <w:r>
          <w:fldChar w:fldCharType="begin"/>
        </w:r>
        <w:r>
          <w:instrText xml:space="preserve"> PAGEREF _Toc360632729 \h </w:instrText>
        </w:r>
        <w:r>
          <w:fldChar w:fldCharType="separate"/>
        </w:r>
        <w:r>
          <w:t>- 10 -</w:t>
        </w:r>
        <w:r>
          <w:fldChar w:fldCharType="end"/>
        </w:r>
      </w:hyperlink>
    </w:p>
    <w:p w:rsidR="00B37071">
      <w:pPr>
        <w:pStyle w:val="TOC2"/>
        <w:rPr>
          <w:smallCaps w:val="0"/>
          <w:sz w:val="21"/>
          <w:szCs w:val="24"/>
        </w:rPr>
      </w:pPr>
      <w:hyperlink w:anchor="_Toc360632730" w:history="1">
        <w:r>
          <w:rPr>
            <w:rStyle w:val="Hyperlink"/>
            <w:rFonts w:ascii="宋体" w:hAnsi="宋体"/>
          </w:rPr>
          <w:t>5.2</w:t>
        </w:r>
        <w:r>
          <w:rPr>
            <w:rStyle w:val="Hyperlink"/>
            <w:rFonts w:ascii="宋体" w:hAnsi="宋体" w:hint="eastAsia"/>
          </w:rPr>
          <w:t>、</w:t>
        </w:r>
        <w:r>
          <w:rPr>
            <w:rStyle w:val="Hyperlink"/>
            <w:rFonts w:hint="eastAsia"/>
          </w:rPr>
          <w:t>水泥搅拌桩及高压旋喷桩施工工艺流程</w:t>
        </w:r>
        <w:r>
          <w:tab/>
        </w:r>
        <w:r>
          <w:fldChar w:fldCharType="begin"/>
        </w:r>
        <w:r>
          <w:instrText xml:space="preserve"> PAGEREF _Toc360632730 \h </w:instrText>
        </w:r>
        <w:r>
          <w:fldChar w:fldCharType="separate"/>
        </w:r>
        <w:r>
          <w:t>- 10 -</w:t>
        </w:r>
        <w:r>
          <w:fldChar w:fldCharType="end"/>
        </w:r>
      </w:hyperlink>
    </w:p>
    <w:p w:rsidR="00B37071">
      <w:pPr>
        <w:pStyle w:val="TOC2"/>
        <w:rPr>
          <w:smallCaps w:val="0"/>
          <w:sz w:val="21"/>
          <w:szCs w:val="24"/>
        </w:rPr>
      </w:pPr>
      <w:hyperlink w:anchor="_Toc360632732" w:history="1">
        <w:r>
          <w:rPr>
            <w:rStyle w:val="Hyperlink"/>
            <w:rFonts w:ascii="宋体" w:hAnsi="宋体"/>
          </w:rPr>
          <w:t>5.3</w:t>
        </w:r>
        <w:r>
          <w:rPr>
            <w:rStyle w:val="Hyperlink"/>
            <w:rFonts w:ascii="宋体" w:hAnsi="宋体" w:hint="eastAsia"/>
          </w:rPr>
          <w:t>、</w:t>
        </w:r>
        <w:r>
          <w:rPr>
            <w:rStyle w:val="Hyperlink"/>
            <w:rFonts w:hint="eastAsia"/>
          </w:rPr>
          <w:t>施工方法</w:t>
        </w:r>
        <w:r>
          <w:tab/>
        </w:r>
        <w:r>
          <w:fldChar w:fldCharType="begin"/>
        </w:r>
        <w:r>
          <w:instrText xml:space="preserve"> PAGEREF _Toc360632732 \h </w:instrText>
        </w:r>
        <w:r>
          <w:fldChar w:fldCharType="separate"/>
        </w:r>
        <w:r>
          <w:t>- 10 -</w:t>
        </w:r>
        <w:r>
          <w:fldChar w:fldCharType="end"/>
        </w:r>
      </w:hyperlink>
    </w:p>
    <w:p w:rsidR="00B37071">
      <w:pPr>
        <w:pStyle w:val="TOC2"/>
        <w:rPr>
          <w:smallCaps w:val="0"/>
          <w:sz w:val="21"/>
          <w:szCs w:val="24"/>
        </w:rPr>
      </w:pPr>
      <w:hyperlink w:anchor="_Toc360632733" w:history="1">
        <w:r>
          <w:rPr>
            <w:rStyle w:val="Hyperlink"/>
            <w:rFonts w:ascii="宋体" w:hAnsi="宋体"/>
          </w:rPr>
          <w:t>5.4</w:t>
        </w:r>
        <w:r>
          <w:rPr>
            <w:rStyle w:val="Hyperlink"/>
            <w:rFonts w:ascii="宋体" w:hAnsi="宋体" w:hint="eastAsia"/>
          </w:rPr>
          <w:t>质量检验评定标准</w:t>
        </w:r>
        <w:r>
          <w:tab/>
        </w:r>
        <w:r>
          <w:fldChar w:fldCharType="begin"/>
        </w:r>
        <w:r>
          <w:instrText xml:space="preserve"> PAGEREF _Toc360632733 \h </w:instrText>
        </w:r>
        <w:r>
          <w:fldChar w:fldCharType="separate"/>
        </w:r>
        <w:r>
          <w:t>- 13 -</w:t>
        </w:r>
        <w:r>
          <w:fldChar w:fldCharType="end"/>
        </w:r>
      </w:hyperlink>
    </w:p>
    <w:p w:rsidR="00B37071">
      <w:pPr>
        <w:pStyle w:val="TOC1"/>
        <w:tabs>
          <w:tab w:val="right" w:leader="dot" w:pos="9356"/>
        </w:tabs>
        <w:rPr>
          <w:b w:val="0"/>
          <w:bCs w:val="0"/>
          <w:caps w:val="0"/>
          <w:sz w:val="21"/>
          <w:szCs w:val="24"/>
        </w:rPr>
      </w:pPr>
      <w:hyperlink w:anchor="_Toc360632735" w:history="1">
        <w:r>
          <w:rPr>
            <w:rStyle w:val="Hyperlink"/>
          </w:rPr>
          <w:t>6</w:t>
        </w:r>
        <w:r>
          <w:rPr>
            <w:rStyle w:val="Hyperlink"/>
            <w:rFonts w:hint="eastAsia"/>
          </w:rPr>
          <w:t>、</w:t>
        </w:r>
        <w:r>
          <w:rPr>
            <w:rStyle w:val="Hyperlink"/>
            <w:rFonts w:ascii="宋体" w:hAnsi="宋体" w:hint="eastAsia"/>
          </w:rPr>
          <w:t>各项管理及保证措施</w:t>
        </w:r>
        <w:r>
          <w:tab/>
        </w:r>
        <w:r>
          <w:fldChar w:fldCharType="begin"/>
        </w:r>
        <w:r>
          <w:instrText xml:space="preserve"> PAGEREF _Toc360632735 \h </w:instrText>
        </w:r>
        <w:r>
          <w:fldChar w:fldCharType="separate"/>
        </w:r>
        <w:r>
          <w:t>- 13 -</w:t>
        </w:r>
        <w:r>
          <w:fldChar w:fldCharType="end"/>
        </w:r>
      </w:hyperlink>
    </w:p>
    <w:p w:rsidR="00B37071">
      <w:pPr>
        <w:pStyle w:val="TOC2"/>
        <w:rPr>
          <w:smallCaps w:val="0"/>
          <w:sz w:val="21"/>
          <w:szCs w:val="24"/>
        </w:rPr>
      </w:pPr>
      <w:hyperlink w:anchor="_Toc360632736" w:history="1">
        <w:r>
          <w:rPr>
            <w:rStyle w:val="Hyperlink"/>
            <w:rFonts w:ascii="宋体" w:hAnsi="宋体"/>
            <w:bCs/>
            <w:spacing w:val="6"/>
          </w:rPr>
          <w:t>6.1</w:t>
        </w:r>
        <w:r>
          <w:rPr>
            <w:rStyle w:val="Hyperlink"/>
            <w:rFonts w:ascii="宋体" w:hAnsi="宋体" w:hint="eastAsia"/>
            <w:bCs/>
            <w:spacing w:val="6"/>
          </w:rPr>
          <w:t>、软基处理工程质量、环境和职业健康安全管理体系职能分配表</w:t>
        </w:r>
        <w:r>
          <w:tab/>
        </w:r>
        <w:r>
          <w:fldChar w:fldCharType="begin"/>
        </w:r>
        <w:r>
          <w:instrText xml:space="preserve"> PAGEREF _Toc360632736 \h </w:instrText>
        </w:r>
        <w:r>
          <w:fldChar w:fldCharType="separate"/>
        </w:r>
        <w:r>
          <w:t>- 13 -</w:t>
        </w:r>
        <w:r>
          <w:fldChar w:fldCharType="end"/>
        </w:r>
      </w:hyperlink>
    </w:p>
    <w:p w:rsidR="00B37071">
      <w:pPr>
        <w:pStyle w:val="TOC2"/>
        <w:rPr>
          <w:smallCaps w:val="0"/>
          <w:sz w:val="21"/>
          <w:szCs w:val="24"/>
        </w:rPr>
      </w:pPr>
      <w:hyperlink w:anchor="_Toc360632737" w:history="1">
        <w:r>
          <w:rPr>
            <w:rStyle w:val="Hyperlink"/>
            <w:rFonts w:ascii="宋体" w:hAnsi="宋体"/>
          </w:rPr>
          <w:t>6.2</w:t>
        </w:r>
        <w:r>
          <w:rPr>
            <w:rStyle w:val="Hyperlink"/>
            <w:rFonts w:ascii="宋体" w:hAnsi="宋体" w:hint="eastAsia"/>
          </w:rPr>
          <w:t>、质量保证措施</w:t>
        </w:r>
        <w:r>
          <w:tab/>
        </w:r>
        <w:r>
          <w:fldChar w:fldCharType="begin"/>
        </w:r>
        <w:r>
          <w:instrText xml:space="preserve"> PAGEREF _Toc360632737 \h </w:instrText>
        </w:r>
        <w:r>
          <w:fldChar w:fldCharType="separate"/>
        </w:r>
        <w:r>
          <w:t>- 15 -</w:t>
        </w:r>
        <w:r>
          <w:fldChar w:fldCharType="end"/>
        </w:r>
      </w:hyperlink>
    </w:p>
    <w:p w:rsidR="00B37071">
      <w:pPr>
        <w:pStyle w:val="TOC2"/>
        <w:rPr>
          <w:smallCaps w:val="0"/>
          <w:sz w:val="21"/>
          <w:szCs w:val="24"/>
        </w:rPr>
      </w:pPr>
      <w:hyperlink w:anchor="_Toc360632738" w:history="1">
        <w:r>
          <w:rPr>
            <w:rStyle w:val="Hyperlink"/>
            <w:rFonts w:ascii="宋体" w:hAnsi="宋体"/>
          </w:rPr>
          <w:t>6.3</w:t>
        </w:r>
        <w:r>
          <w:rPr>
            <w:rStyle w:val="Hyperlink"/>
            <w:rFonts w:ascii="宋体" w:hAnsi="宋体" w:hint="eastAsia"/>
          </w:rPr>
          <w:t>、技术保证措施</w:t>
        </w:r>
        <w:r>
          <w:tab/>
        </w:r>
        <w:r>
          <w:fldChar w:fldCharType="begin"/>
        </w:r>
        <w:r>
          <w:instrText xml:space="preserve"> PAGEREF _Toc360632738 \h </w:instrText>
        </w:r>
        <w:r>
          <w:fldChar w:fldCharType="separate"/>
        </w:r>
        <w:r>
          <w:t>- 17 -</w:t>
        </w:r>
        <w:r>
          <w:fldChar w:fldCharType="end"/>
        </w:r>
      </w:hyperlink>
    </w:p>
    <w:p w:rsidR="00B37071">
      <w:pPr>
        <w:pStyle w:val="TOC2"/>
        <w:rPr>
          <w:smallCaps w:val="0"/>
          <w:sz w:val="21"/>
          <w:szCs w:val="24"/>
        </w:rPr>
      </w:pPr>
      <w:hyperlink w:anchor="_Toc360632739" w:history="1">
        <w:r>
          <w:rPr>
            <w:rStyle w:val="Hyperlink"/>
            <w:rFonts w:ascii="宋体" w:hAnsi="宋体"/>
          </w:rPr>
          <w:t>6.4</w:t>
        </w:r>
        <w:r>
          <w:rPr>
            <w:rStyle w:val="Hyperlink"/>
            <w:rFonts w:ascii="宋体" w:hAnsi="宋体" w:hint="eastAsia"/>
          </w:rPr>
          <w:t>、工期保证措施</w:t>
        </w:r>
        <w:r>
          <w:tab/>
        </w:r>
        <w:r>
          <w:fldChar w:fldCharType="begin"/>
        </w:r>
        <w:r>
          <w:instrText xml:space="preserve"> PAGEREF _Toc360632739 \h </w:instrText>
        </w:r>
        <w:r>
          <w:fldChar w:fldCharType="separate"/>
        </w:r>
        <w:r>
          <w:t>- 18 -</w:t>
        </w:r>
        <w:r>
          <w:fldChar w:fldCharType="end"/>
        </w:r>
      </w:hyperlink>
    </w:p>
    <w:p w:rsidR="00B37071">
      <w:pPr>
        <w:pStyle w:val="TOC2"/>
        <w:rPr>
          <w:smallCaps w:val="0"/>
          <w:sz w:val="21"/>
          <w:szCs w:val="24"/>
        </w:rPr>
      </w:pPr>
      <w:hyperlink w:anchor="_Toc360632740" w:history="1">
        <w:r>
          <w:rPr>
            <w:rStyle w:val="Hyperlink"/>
            <w:rFonts w:ascii="宋体" w:hAnsi="宋体"/>
          </w:rPr>
          <w:t>6.5</w:t>
        </w:r>
        <w:r>
          <w:rPr>
            <w:rStyle w:val="Hyperlink"/>
            <w:rFonts w:ascii="宋体" w:hAnsi="宋体" w:hint="eastAsia"/>
          </w:rPr>
          <w:t>、职业健康、安全、环境保证措施</w:t>
        </w:r>
        <w:r>
          <w:tab/>
        </w:r>
        <w:r>
          <w:fldChar w:fldCharType="begin"/>
        </w:r>
        <w:r>
          <w:instrText xml:space="preserve"> PAGEREF _Toc360632740 \h </w:instrText>
        </w:r>
        <w:r>
          <w:fldChar w:fldCharType="separate"/>
        </w:r>
        <w:r>
          <w:t>- 1</w:t>
        </w:r>
        <w:r>
          <w:t>8 -</w:t>
        </w:r>
        <w:r>
          <w:fldChar w:fldCharType="end"/>
        </w:r>
      </w:hyperlink>
    </w:p>
    <w:p w:rsidR="00B37071">
      <w:pPr>
        <w:pStyle w:val="TOC2"/>
        <w:rPr>
          <w:smallCaps w:val="0"/>
          <w:sz w:val="21"/>
          <w:szCs w:val="24"/>
        </w:rPr>
      </w:pPr>
      <w:hyperlink w:anchor="_Toc360632741" w:history="1">
        <w:r>
          <w:rPr>
            <w:rStyle w:val="Hyperlink"/>
            <w:rFonts w:ascii="宋体"/>
            <w:bCs/>
          </w:rPr>
          <w:t>6.6</w:t>
        </w:r>
        <w:r>
          <w:rPr>
            <w:rStyle w:val="Hyperlink"/>
            <w:rFonts w:ascii="宋体" w:hAnsi="宋体" w:hint="eastAsia"/>
            <w:bCs/>
          </w:rPr>
          <w:t>文明施工管理措施</w:t>
        </w:r>
        <w:r>
          <w:tab/>
        </w:r>
        <w:r>
          <w:fldChar w:fldCharType="begin"/>
        </w:r>
        <w:r>
          <w:instrText xml:space="preserve"> PAGEREF _Toc360632741 \h </w:instrText>
        </w:r>
        <w:r>
          <w:fldChar w:fldCharType="separate"/>
        </w:r>
        <w:r>
          <w:t>- 21 -</w:t>
        </w:r>
        <w:r>
          <w:fldChar w:fldCharType="end"/>
        </w:r>
      </w:hyperlink>
    </w:p>
    <w:p w:rsidR="00B37071">
      <w:pPr>
        <w:pStyle w:val="TOC1"/>
        <w:tabs>
          <w:tab w:val="right" w:leader="dot" w:pos="9356"/>
        </w:tabs>
        <w:rPr>
          <w:b w:val="0"/>
          <w:bCs w:val="0"/>
          <w:caps w:val="0"/>
          <w:sz w:val="21"/>
          <w:szCs w:val="24"/>
        </w:rPr>
      </w:pPr>
      <w:hyperlink w:anchor="_Toc360632742" w:history="1">
        <w:r>
          <w:rPr>
            <w:rStyle w:val="Hyperlink"/>
            <w:rFonts w:ascii="宋体" w:hAnsi="宋体"/>
          </w:rPr>
          <w:t>7</w:t>
        </w:r>
        <w:r>
          <w:rPr>
            <w:rStyle w:val="Hyperlink"/>
            <w:rFonts w:ascii="宋体" w:hAnsi="宋体" w:hint="eastAsia"/>
          </w:rPr>
          <w:t>、成品保护</w:t>
        </w:r>
        <w:r>
          <w:tab/>
        </w:r>
        <w:r>
          <w:fldChar w:fldCharType="begin"/>
        </w:r>
        <w:r>
          <w:instrText xml:space="preserve"> PAGEREF _Toc360632742 \h </w:instrText>
        </w:r>
        <w:r>
          <w:fldChar w:fldCharType="separate"/>
        </w:r>
        <w:r>
          <w:t>- 23 -</w:t>
        </w:r>
        <w:r>
          <w:fldChar w:fldCharType="end"/>
        </w:r>
      </w:hyperlink>
    </w:p>
    <w:p w:rsidR="00B37071">
      <w:pPr>
        <w:pStyle w:val="TOC1"/>
        <w:tabs>
          <w:tab w:val="right" w:leader="dot" w:pos="9356"/>
        </w:tabs>
        <w:rPr>
          <w:b w:val="0"/>
          <w:bCs w:val="0"/>
          <w:caps w:val="0"/>
          <w:sz w:val="21"/>
          <w:szCs w:val="24"/>
        </w:rPr>
      </w:pPr>
      <w:hyperlink w:anchor="_Toc360632743" w:history="1">
        <w:r>
          <w:rPr>
            <w:rStyle w:val="Hyperlink"/>
            <w:rFonts w:ascii="宋体" w:hAnsi="宋体"/>
          </w:rPr>
          <w:t>8</w:t>
        </w:r>
        <w:r>
          <w:rPr>
            <w:rStyle w:val="Hyperlink"/>
            <w:rFonts w:ascii="宋体" w:hAnsi="宋体" w:hint="eastAsia"/>
          </w:rPr>
          <w:t>、主要经济技术指标</w:t>
        </w:r>
        <w:r>
          <w:tab/>
        </w:r>
        <w:r>
          <w:fldChar w:fldCharType="begin"/>
        </w:r>
        <w:r>
          <w:instrText xml:space="preserve"> PAGERE</w:instrText>
        </w:r>
        <w:r>
          <w:instrText xml:space="preserve">F _Toc360632743 \h </w:instrText>
        </w:r>
        <w:r>
          <w:fldChar w:fldCharType="separate"/>
        </w:r>
        <w:r>
          <w:t>- 23 -</w:t>
        </w:r>
        <w:r>
          <w:fldChar w:fldCharType="end"/>
        </w:r>
      </w:hyperlink>
    </w:p>
    <w:p w:rsidR="00B37071">
      <w:pPr>
        <w:pStyle w:val="TOC1"/>
        <w:tabs>
          <w:tab w:val="right" w:leader="dot" w:pos="9356"/>
        </w:tabs>
        <w:rPr>
          <w:b w:val="0"/>
          <w:bCs w:val="0"/>
          <w:caps w:val="0"/>
          <w:sz w:val="21"/>
          <w:szCs w:val="24"/>
        </w:rPr>
      </w:pPr>
      <w:hyperlink w:anchor="_Toc360632744" w:history="1">
        <w:r>
          <w:rPr>
            <w:rStyle w:val="Hyperlink"/>
            <w:rFonts w:hint="eastAsia"/>
          </w:rPr>
          <w:t>附图一：</w:t>
        </w:r>
        <w:r>
          <w:rPr>
            <w:rStyle w:val="Hyperlink"/>
            <w:rFonts w:hint="eastAsia"/>
          </w:rPr>
          <w:t>海峡艺术中心</w:t>
        </w:r>
        <w:r>
          <w:rPr>
            <w:rStyle w:val="Hyperlink"/>
            <w:rFonts w:hint="eastAsia"/>
          </w:rPr>
          <w:t>基处理工程施工计划进度图</w:t>
        </w:r>
        <w:r>
          <w:tab/>
        </w:r>
        <w:r>
          <w:fldChar w:fldCharType="begin"/>
        </w:r>
        <w:r>
          <w:instrText xml:space="preserve"> PAGEREF _Toc360632744 \h </w:instrText>
        </w:r>
        <w:r>
          <w:fldChar w:fldCharType="separate"/>
        </w:r>
        <w:r>
          <w:t>- 2</w:t>
        </w:r>
        <w:r>
          <w:rPr>
            <w:rFonts w:hint="eastAsia"/>
          </w:rPr>
          <w:t>5-</w:t>
        </w:r>
        <w:r>
          <w:t>-</w:t>
        </w:r>
        <w:r>
          <w:fldChar w:fldCharType="end"/>
        </w:r>
      </w:hyperlink>
    </w:p>
    <w:p w:rsidR="00B37071">
      <w:pPr>
        <w:pStyle w:val="TOC1"/>
        <w:tabs>
          <w:tab w:val="right" w:leader="dot" w:pos="9356"/>
        </w:tabs>
        <w:rPr>
          <w:b w:val="0"/>
          <w:bCs w:val="0"/>
          <w:caps w:val="0"/>
          <w:sz w:val="21"/>
          <w:szCs w:val="24"/>
        </w:rPr>
      </w:pPr>
      <w:hyperlink w:anchor="_Toc360632745" w:history="1">
        <w:r>
          <w:rPr>
            <w:rStyle w:val="Hyperlink"/>
            <w:rFonts w:hint="eastAsia"/>
          </w:rPr>
          <w:t>附图二：水泥搅拌桩施工工艺流程图</w:t>
        </w:r>
        <w:r>
          <w:tab/>
        </w:r>
        <w:r>
          <w:fldChar w:fldCharType="begin"/>
        </w:r>
        <w:r>
          <w:instrText xml:space="preserve"> PAGEREF _Toc360632745 \h </w:instrText>
        </w:r>
        <w:r>
          <w:fldChar w:fldCharType="separate"/>
        </w:r>
        <w:r>
          <w:t>- 2</w:t>
        </w:r>
        <w:r>
          <w:rPr>
            <w:rFonts w:hint="eastAsia"/>
          </w:rPr>
          <w:t>6</w:t>
        </w:r>
        <w:r>
          <w:t xml:space="preserve"> -</w:t>
        </w:r>
        <w:r>
          <w:fldChar w:fldCharType="end"/>
        </w:r>
      </w:hyperlink>
    </w:p>
    <w:p w:rsidR="00B37071">
      <w:pPr>
        <w:pStyle w:val="TOC1"/>
        <w:tabs>
          <w:tab w:val="right" w:leader="dot" w:pos="9356"/>
        </w:tabs>
        <w:rPr>
          <w:rStyle w:val="Hyperlink"/>
        </w:rPr>
      </w:pPr>
      <w:hyperlink w:anchor="_Toc360632746" w:history="1">
        <w:r>
          <w:rPr>
            <w:rStyle w:val="Hyperlink"/>
            <w:rFonts w:hint="eastAsia"/>
          </w:rPr>
          <w:t>附图三：高压旋喷桩施工工艺流程</w:t>
        </w:r>
        <w:r>
          <w:tab/>
        </w:r>
        <w:r>
          <w:fldChar w:fldCharType="begin"/>
        </w:r>
        <w:r>
          <w:instrText xml:space="preserve"> PAGEREF _Toc360632746 \h </w:instrText>
        </w:r>
        <w:r>
          <w:fldChar w:fldCharType="separate"/>
        </w:r>
        <w:r>
          <w:t>- 2</w:t>
        </w:r>
        <w:r>
          <w:rPr>
            <w:rFonts w:hint="eastAsia"/>
          </w:rPr>
          <w:t>7</w:t>
        </w:r>
        <w:r>
          <w:t xml:space="preserve"> -</w:t>
        </w:r>
        <w:r>
          <w:fldChar w:fldCharType="end"/>
        </w:r>
      </w:hyperlink>
    </w:p>
    <w:p w:rsidR="00B37071">
      <w:pPr>
        <w:pStyle w:val="TOC1"/>
        <w:tabs>
          <w:tab w:val="right" w:leader="dot" w:pos="9356"/>
        </w:tabs>
        <w:rPr>
          <w:rStyle w:val="Hyperlink"/>
        </w:rPr>
      </w:pPr>
      <w:hyperlink w:anchor="_Toc360632746" w:history="1">
        <w:r>
          <w:rPr>
            <w:rStyle w:val="Hyperlink"/>
            <w:rFonts w:hint="eastAsia"/>
          </w:rPr>
          <w:t>附图四：福</w:t>
        </w:r>
        <w:r>
          <w:rPr>
            <w:rStyle w:val="Hyperlink"/>
            <w:rFonts w:hint="eastAsia"/>
          </w:rPr>
          <w:t>海峡文化艺术中心地</w:t>
        </w:r>
        <w:r>
          <w:rPr>
            <w:rStyle w:val="Hyperlink"/>
            <w:rFonts w:hint="eastAsia"/>
          </w:rPr>
          <w:t>基处理施工顺序图</w:t>
        </w:r>
        <w:r>
          <w:tab/>
        </w:r>
        <w:r>
          <w:rPr>
            <w:rFonts w:hint="eastAsia"/>
          </w:rPr>
          <w:t>-</w:t>
        </w:r>
      </w:hyperlink>
      <w:r>
        <w:rPr>
          <w:rFonts w:hint="eastAsia"/>
        </w:rPr>
        <w:t>28-</w:t>
      </w:r>
    </w:p>
    <w:p w:rsidR="00B37071">
      <w:pPr>
        <w:pStyle w:val="Normal0"/>
      </w:pPr>
    </w:p>
    <w:p w:rsidR="00B37071">
      <w:pPr>
        <w:pStyle w:val="TOC1"/>
        <w:tabs>
          <w:tab w:val="right" w:leader="dot" w:pos="9360"/>
        </w:tabs>
        <w:spacing w:before="0" w:after="0" w:line="360" w:lineRule="auto"/>
        <w:jc w:val="center"/>
        <w:rPr>
          <w:rFonts w:ascii="宋体" w:hAnsi="宋体"/>
          <w:b w:val="0"/>
          <w:sz w:val="24"/>
          <w:szCs w:val="24"/>
        </w:rPr>
        <w:sectPr>
          <w:type w:val="nextPage"/>
          <w:pgSz w:w="11907" w:h="16840"/>
          <w:pgMar w:top="1418" w:right="1123" w:bottom="1418" w:left="1418" w:header="851" w:footer="851" w:gutter="0"/>
          <w:pgNumType w:fmt="numberInDash" w:start="2"/>
          <w:cols w:space="708"/>
          <w:titlePg w:val="0"/>
          <w:docGrid w:linePitch="312"/>
        </w:sectPr>
      </w:pPr>
      <w:r>
        <w:rPr>
          <w:rFonts w:ascii="宋体" w:hAnsi="宋体"/>
          <w:b w:val="0"/>
          <w:bCs w:val="0"/>
          <w:caps w:val="0"/>
          <w:sz w:val="21"/>
          <w:szCs w:val="21"/>
        </w:rPr>
        <w:fldChar w:fldCharType="end"/>
      </w:r>
    </w:p>
    <w:p w:rsidR="00B37071">
      <w:pPr>
        <w:pStyle w:val="Normal0"/>
        <w:spacing w:line="360" w:lineRule="auto"/>
        <w:outlineLvl w:val="0"/>
        <w:rPr>
          <w:rFonts w:ascii="宋体" w:hAnsi="宋体"/>
          <w:sz w:val="24"/>
          <w:szCs w:val="24"/>
        </w:rPr>
      </w:pPr>
      <w:bookmarkStart w:id="5" w:name="_Toc323978812"/>
      <w:bookmarkStart w:id="6" w:name="_Toc323978891"/>
      <w:bookmarkStart w:id="7" w:name="_Toc360632713"/>
      <w:bookmarkEnd w:id="0"/>
      <w:bookmarkEnd w:id="1"/>
      <w:bookmarkEnd w:id="4"/>
      <w:r>
        <w:rPr>
          <w:rFonts w:ascii="宋体" w:hAnsi="宋体"/>
          <w:b/>
          <w:sz w:val="28"/>
          <w:szCs w:val="28"/>
        </w:rPr>
        <w:t>1</w:t>
      </w:r>
      <w:r>
        <w:rPr>
          <w:rFonts w:ascii="宋体" w:hAnsi="宋体" w:hint="eastAsia"/>
          <w:b/>
          <w:sz w:val="28"/>
          <w:szCs w:val="28"/>
        </w:rPr>
        <w:t>、编制依据</w:t>
      </w:r>
      <w:bookmarkEnd w:id="5"/>
      <w:bookmarkEnd w:id="6"/>
      <w:bookmarkEnd w:id="7"/>
    </w:p>
    <w:p w:rsidR="00B37071">
      <w:pPr>
        <w:pStyle w:val="Normal0"/>
        <w:spacing w:line="360" w:lineRule="auto"/>
        <w:rPr>
          <w:rFonts w:ascii="宋体" w:hAnsi="宋体"/>
          <w:sz w:val="24"/>
          <w:szCs w:val="24"/>
        </w:rPr>
      </w:pPr>
      <w:bookmarkStart w:id="8" w:name="_Toc187600811"/>
      <w:bookmarkStart w:id="9" w:name="_Toc187715759"/>
      <w:r>
        <w:rPr>
          <w:rFonts w:ascii="宋体" w:hAnsi="宋体" w:hint="eastAsia"/>
          <w:b/>
          <w:sz w:val="24"/>
          <w:szCs w:val="24"/>
        </w:rPr>
        <w:t>1.</w:t>
      </w:r>
      <w:r>
        <w:rPr>
          <w:rFonts w:ascii="宋体" w:hAnsi="宋体" w:hint="eastAsia"/>
          <w:b/>
          <w:sz w:val="24"/>
          <w:szCs w:val="24"/>
        </w:rPr>
        <w:t>1</w:t>
      </w:r>
      <w:r>
        <w:rPr>
          <w:rFonts w:ascii="宋体" w:hAnsi="宋体" w:hint="eastAsia"/>
          <w:sz w:val="24"/>
          <w:szCs w:val="24"/>
        </w:rPr>
        <w:t>福建省建筑设计研究院提供的</w:t>
      </w:r>
      <w:r>
        <w:rPr>
          <w:rFonts w:ascii="宋体" w:hAnsi="宋体" w:hint="eastAsia"/>
          <w:sz w:val="24"/>
          <w:szCs w:val="24"/>
        </w:rPr>
        <w:t>《</w:t>
      </w:r>
      <w:r>
        <w:rPr>
          <w:rFonts w:ascii="宋体" w:hAnsi="宋体" w:hint="eastAsia"/>
          <w:sz w:val="24"/>
          <w:szCs w:val="24"/>
        </w:rPr>
        <w:t>地</w:t>
      </w:r>
      <w:r>
        <w:rPr>
          <w:rFonts w:ascii="宋体" w:hAnsi="宋体" w:hint="eastAsia"/>
          <w:sz w:val="24"/>
          <w:szCs w:val="24"/>
        </w:rPr>
        <w:t>基处理设计说明》、《</w:t>
      </w:r>
      <w:r>
        <w:rPr>
          <w:rFonts w:ascii="宋体" w:hAnsi="宋体" w:hint="eastAsia"/>
          <w:sz w:val="24"/>
          <w:szCs w:val="24"/>
        </w:rPr>
        <w:t>地基</w:t>
      </w:r>
      <w:r>
        <w:rPr>
          <w:rFonts w:ascii="宋体" w:hAnsi="宋体" w:hint="eastAsia"/>
          <w:sz w:val="24"/>
          <w:szCs w:val="24"/>
        </w:rPr>
        <w:t>处理平面布置图》；</w:t>
      </w:r>
      <w:bookmarkStart w:id="10" w:name="_Toc187600812"/>
      <w:bookmarkStart w:id="11" w:name="_Toc187715760"/>
      <w:bookmarkEnd w:id="8"/>
      <w:bookmarkEnd w:id="9"/>
    </w:p>
    <w:p w:rsidR="00B37071">
      <w:pPr>
        <w:pStyle w:val="Normal0"/>
        <w:spacing w:line="360" w:lineRule="auto"/>
        <w:rPr>
          <w:rFonts w:ascii="宋体" w:hAnsi="宋体"/>
          <w:sz w:val="28"/>
        </w:rPr>
      </w:pPr>
      <w:r>
        <w:rPr>
          <w:rFonts w:ascii="宋体" w:hAnsi="宋体" w:hint="eastAsia"/>
          <w:b/>
          <w:sz w:val="24"/>
          <w:szCs w:val="24"/>
        </w:rPr>
        <w:t>1.</w:t>
      </w:r>
      <w:r>
        <w:rPr>
          <w:rFonts w:ascii="宋体" w:hAnsi="宋体" w:hint="eastAsia"/>
          <w:b/>
          <w:sz w:val="24"/>
          <w:szCs w:val="24"/>
        </w:rPr>
        <w:t>2</w:t>
      </w:r>
      <w:r>
        <w:rPr>
          <w:rFonts w:ascii="宋体" w:hAnsi="宋体" w:hint="eastAsia"/>
          <w:sz w:val="24"/>
          <w:szCs w:val="24"/>
        </w:rPr>
        <w:t>化工部福州地质工程勘察院</w:t>
      </w:r>
      <w:r>
        <w:rPr>
          <w:rFonts w:ascii="宋体" w:hAnsi="宋体" w:hint="eastAsia"/>
          <w:sz w:val="24"/>
          <w:szCs w:val="24"/>
        </w:rPr>
        <w:t>提供的</w:t>
      </w:r>
      <w:bookmarkEnd w:id="10"/>
      <w:bookmarkEnd w:id="11"/>
      <w:r>
        <w:rPr>
          <w:rFonts w:ascii="宋体" w:hAnsi="宋体" w:hint="eastAsia"/>
          <w:sz w:val="24"/>
          <w:szCs w:val="24"/>
        </w:rPr>
        <w:t>《</w:t>
      </w:r>
      <w:r>
        <w:rPr>
          <w:rFonts w:ascii="宋体" w:hAnsi="宋体" w:hint="eastAsia"/>
          <w:sz w:val="24"/>
          <w:szCs w:val="24"/>
        </w:rPr>
        <w:t>海峡文化艺术中心</w:t>
      </w:r>
      <w:r>
        <w:rPr>
          <w:rFonts w:ascii="宋体" w:hAnsi="宋体" w:hint="eastAsia"/>
          <w:sz w:val="24"/>
          <w:szCs w:val="24"/>
        </w:rPr>
        <w:t>岩土工程</w:t>
      </w:r>
      <w:r>
        <w:rPr>
          <w:rFonts w:ascii="宋体" w:hAnsi="宋体" w:hint="eastAsia"/>
          <w:sz w:val="24"/>
          <w:szCs w:val="24"/>
        </w:rPr>
        <w:t>详细</w:t>
      </w:r>
      <w:r>
        <w:rPr>
          <w:rFonts w:ascii="宋体" w:hAnsi="宋体" w:hint="eastAsia"/>
          <w:sz w:val="24"/>
          <w:szCs w:val="24"/>
        </w:rPr>
        <w:t>勘察报告》。</w:t>
      </w:r>
    </w:p>
    <w:p w:rsidR="00B37071">
      <w:pPr>
        <w:pStyle w:val="Normal0"/>
        <w:spacing w:line="360" w:lineRule="auto"/>
        <w:rPr>
          <w:rFonts w:ascii="宋体" w:hAnsi="宋体"/>
          <w:kern w:val="10"/>
          <w:sz w:val="24"/>
          <w:szCs w:val="24"/>
        </w:rPr>
      </w:pPr>
      <w:bookmarkStart w:id="12" w:name="_Toc187600813"/>
      <w:bookmarkStart w:id="13" w:name="_Toc187715761"/>
      <w:r>
        <w:rPr>
          <w:rFonts w:ascii="宋体" w:hAnsi="宋体" w:hint="eastAsia"/>
          <w:b/>
          <w:sz w:val="24"/>
          <w:szCs w:val="24"/>
        </w:rPr>
        <w:t>1.</w:t>
      </w:r>
      <w:r>
        <w:rPr>
          <w:rFonts w:ascii="宋体" w:hAnsi="宋体" w:hint="eastAsia"/>
          <w:b/>
          <w:sz w:val="24"/>
          <w:szCs w:val="24"/>
        </w:rPr>
        <w:t>3</w:t>
      </w:r>
      <w:r>
        <w:rPr>
          <w:rFonts w:ascii="宋体" w:hAnsi="宋体" w:hint="eastAsia"/>
          <w:kern w:val="10"/>
          <w:sz w:val="24"/>
          <w:szCs w:val="24"/>
        </w:rPr>
        <w:t>主要国家或行业规范、标准、规程、图集、地方标准、法规图集。</w:t>
      </w:r>
      <w:bookmarkEnd w:id="12"/>
      <w:bookmarkEnd w:id="13"/>
    </w:p>
    <w:p w:rsidR="00B37071">
      <w:pPr>
        <w:pStyle w:val="Normal0"/>
        <w:tabs>
          <w:tab w:val="left" w:pos="9072"/>
        </w:tabs>
        <w:spacing w:line="360" w:lineRule="auto"/>
        <w:ind w:right="168" w:firstLine="720" w:firstLineChars="300"/>
        <w:rPr>
          <w:rFonts w:ascii="宋体" w:hAnsi="宋体"/>
          <w:b/>
          <w:color w:val="0000FF"/>
          <w:sz w:val="24"/>
          <w:szCs w:val="24"/>
        </w:rPr>
      </w:pPr>
      <w:r>
        <w:rPr>
          <w:rFonts w:ascii="宋体" w:hAnsi="宋体" w:hint="eastAsia"/>
          <w:sz w:val="24"/>
          <w:szCs w:val="21"/>
        </w:rPr>
        <w:t xml:space="preserve">                    </w:t>
      </w:r>
      <w:r>
        <w:rPr>
          <w:rFonts w:ascii="宋体" w:hAnsi="宋体" w:hint="eastAsia"/>
          <w:color w:val="0000FF"/>
          <w:sz w:val="24"/>
          <w:szCs w:val="21"/>
        </w:rPr>
        <w:t xml:space="preserve"> </w:t>
      </w:r>
      <w:r>
        <w:rPr>
          <w:rFonts w:ascii="宋体" w:hAnsi="宋体" w:hint="eastAsia"/>
          <w:b/>
          <w:color w:val="0000FF"/>
          <w:sz w:val="24"/>
          <w:szCs w:val="21"/>
        </w:rPr>
        <w:t>规范、标准、文件一览表</w:t>
      </w:r>
      <w:r>
        <w:rPr>
          <w:rFonts w:ascii="宋体" w:hAnsi="宋体"/>
          <w:b/>
          <w:color w:val="0000FF"/>
          <w:sz w:val="24"/>
          <w:szCs w:val="24"/>
        </w:rPr>
        <w:t xml:space="preserve">   </w:t>
      </w:r>
      <w:r>
        <w:rPr>
          <w:rFonts w:ascii="宋体" w:hAnsi="宋体" w:hint="eastAsia"/>
          <w:b/>
          <w:color w:val="0000FF"/>
          <w:sz w:val="24"/>
          <w:szCs w:val="24"/>
        </w:rPr>
        <w:t xml:space="preserve"> </w:t>
      </w:r>
      <w:r>
        <w:rPr>
          <w:rFonts w:ascii="宋体" w:hAnsi="宋体"/>
          <w:b/>
          <w:color w:val="0000FF"/>
          <w:sz w:val="24"/>
          <w:szCs w:val="24"/>
        </w:rPr>
        <w:t xml:space="preserve">  </w:t>
      </w:r>
      <w:r>
        <w:rPr>
          <w:rFonts w:ascii="宋体" w:hAnsi="宋体" w:hint="eastAsia"/>
          <w:b/>
          <w:color w:val="0000FF"/>
          <w:sz w:val="24"/>
          <w:szCs w:val="24"/>
        </w:rPr>
        <w:t xml:space="preserve">         </w:t>
      </w:r>
      <w:r>
        <w:rPr>
          <w:rFonts w:ascii="宋体" w:hAnsi="宋体" w:hint="eastAsia"/>
          <w:b/>
          <w:color w:val="0000FF"/>
          <w:sz w:val="24"/>
          <w:szCs w:val="24"/>
        </w:rPr>
        <w:t>表</w:t>
      </w:r>
      <w:r>
        <w:rPr>
          <w:rFonts w:ascii="宋体" w:hAnsi="宋体"/>
          <w:b/>
          <w:color w:val="0000FF"/>
          <w:sz w:val="24"/>
          <w:szCs w:val="24"/>
        </w:rPr>
        <w:t>1.</w:t>
      </w:r>
      <w:r>
        <w:rPr>
          <w:rFonts w:ascii="宋体" w:hAnsi="宋体" w:hint="eastAsia"/>
          <w:b/>
          <w:color w:val="0000FF"/>
          <w:sz w:val="24"/>
          <w:szCs w:val="24"/>
        </w:rPr>
        <w:t>3</w:t>
      </w:r>
      <w:r>
        <w:rPr>
          <w:rFonts w:ascii="宋体" w:hAnsi="宋体"/>
          <w:b/>
          <w:color w:val="0000FF"/>
          <w:sz w:val="24"/>
          <w:szCs w:val="24"/>
        </w:rPr>
        <w:t>-1</w:t>
      </w:r>
    </w:p>
    <w:tbl>
      <w:tblPr>
        <w:tblStyle w:val="TableNormal"/>
        <w:tblW w:w="0" w:type="auto"/>
        <w:jc w:val="center"/>
        <w:tblBorders>
          <w:top w:val="thinThickSmallGap" w:sz="18" w:space="0" w:color="auto"/>
          <w:left w:val="thinThickSmallGap" w:sz="18" w:space="0" w:color="auto"/>
          <w:bottom w:val="thinThickSmallGap" w:sz="18" w:space="0" w:color="auto"/>
          <w:right w:val="thinThickSmallGap" w:sz="18" w:space="0" w:color="auto"/>
          <w:insideH w:val="single" w:sz="8" w:space="0" w:color="auto"/>
          <w:insideV w:val="single" w:sz="8" w:space="0" w:color="auto"/>
        </w:tblBorders>
        <w:tblLayout w:type="fixed"/>
        <w:tblLook w:val="0000"/>
      </w:tblPr>
      <w:tblGrid>
        <w:gridCol w:w="1609"/>
        <w:gridCol w:w="6195"/>
        <w:gridCol w:w="2076"/>
      </w:tblGrid>
      <w:tr>
        <w:tblPrEx>
          <w:tblW w:w="0" w:type="auto"/>
          <w:jc w:val="center"/>
          <w:tblBorders>
            <w:top w:val="thinThickSmallGap" w:sz="18" w:space="0" w:color="auto"/>
            <w:left w:val="thinThickSmallGap" w:sz="18" w:space="0" w:color="auto"/>
            <w:bottom w:val="thinThickSmallGap" w:sz="18" w:space="0" w:color="auto"/>
            <w:right w:val="thinThickSmallGap" w:sz="18" w:space="0" w:color="auto"/>
            <w:insideH w:val="single" w:sz="8" w:space="0" w:color="auto"/>
            <w:insideV w:val="single" w:sz="8" w:space="0" w:color="auto"/>
          </w:tblBorders>
          <w:tblLayout w:type="fixed"/>
          <w:tblLook w:val="0000"/>
        </w:tblPrEx>
        <w:trPr>
          <w:trHeight w:val="743"/>
          <w:jc w:val="center"/>
        </w:trPr>
        <w:tc>
          <w:tcPr>
            <w:tcW w:w="1609" w:type="dxa"/>
            <w:tcBorders>
              <w:top w:val="thinThickSmallGap" w:sz="18" w:space="0" w:color="auto"/>
              <w:bottom w:val="single" w:sz="8" w:space="0" w:color="auto"/>
            </w:tcBorders>
            <w:shd w:val="clear" w:color="auto" w:fill="00FFFF"/>
            <w:vAlign w:val="center"/>
          </w:tcPr>
          <w:p w:rsidR="00B37071">
            <w:pPr>
              <w:pStyle w:val="Normal0"/>
              <w:spacing w:line="0" w:lineRule="atLeast"/>
              <w:jc w:val="center"/>
              <w:rPr>
                <w:rFonts w:ascii="宋体" w:hAnsi="宋体"/>
                <w:b/>
                <w:sz w:val="24"/>
                <w:szCs w:val="24"/>
              </w:rPr>
            </w:pPr>
            <w:r>
              <w:rPr>
                <w:rFonts w:ascii="宋体" w:hAnsi="宋体" w:hint="eastAsia"/>
                <w:b/>
                <w:sz w:val="24"/>
                <w:szCs w:val="24"/>
              </w:rPr>
              <w:t>序号</w:t>
            </w:r>
          </w:p>
        </w:tc>
        <w:tc>
          <w:tcPr>
            <w:tcW w:w="6195" w:type="dxa"/>
            <w:tcBorders>
              <w:top w:val="thinThickSmallGap" w:sz="18" w:space="0" w:color="auto"/>
              <w:bottom w:val="single" w:sz="8" w:space="0" w:color="auto"/>
            </w:tcBorders>
            <w:shd w:val="clear" w:color="auto" w:fill="00FFFF"/>
            <w:vAlign w:val="center"/>
          </w:tcPr>
          <w:p w:rsidR="00B37071">
            <w:pPr>
              <w:pStyle w:val="Normal0"/>
              <w:spacing w:line="0" w:lineRule="atLeast"/>
              <w:jc w:val="center"/>
              <w:rPr>
                <w:rFonts w:ascii="宋体" w:hAnsi="宋体"/>
                <w:b/>
                <w:sz w:val="24"/>
                <w:szCs w:val="24"/>
              </w:rPr>
            </w:pPr>
            <w:r>
              <w:rPr>
                <w:rFonts w:ascii="宋体" w:hAnsi="宋体" w:hint="eastAsia"/>
                <w:b/>
                <w:sz w:val="24"/>
                <w:szCs w:val="24"/>
              </w:rPr>
              <w:t>名</w:t>
            </w:r>
            <w:r>
              <w:rPr>
                <w:rFonts w:ascii="宋体" w:hAnsi="宋体" w:hint="eastAsia"/>
                <w:b/>
                <w:sz w:val="24"/>
                <w:szCs w:val="24"/>
              </w:rPr>
              <w:t xml:space="preserve">            </w:t>
            </w:r>
            <w:r>
              <w:rPr>
                <w:rFonts w:ascii="宋体" w:hAnsi="宋体" w:hint="eastAsia"/>
                <w:b/>
                <w:sz w:val="24"/>
                <w:szCs w:val="24"/>
              </w:rPr>
              <w:t>称</w:t>
            </w:r>
          </w:p>
        </w:tc>
        <w:tc>
          <w:tcPr>
            <w:tcW w:w="2076" w:type="dxa"/>
            <w:tcBorders>
              <w:top w:val="thinThickSmallGap" w:sz="18" w:space="0" w:color="auto"/>
              <w:bottom w:val="single" w:sz="8" w:space="0" w:color="auto"/>
            </w:tcBorders>
            <w:shd w:val="clear" w:color="auto" w:fill="00FFFF"/>
            <w:vAlign w:val="center"/>
          </w:tcPr>
          <w:p w:rsidR="00B37071">
            <w:pPr>
              <w:pStyle w:val="Normal0"/>
              <w:spacing w:line="0" w:lineRule="atLeast"/>
              <w:jc w:val="center"/>
              <w:rPr>
                <w:rFonts w:ascii="宋体" w:hAnsi="宋体"/>
                <w:b/>
                <w:sz w:val="24"/>
                <w:szCs w:val="24"/>
              </w:rPr>
            </w:pPr>
            <w:r>
              <w:rPr>
                <w:rFonts w:ascii="宋体" w:hAnsi="宋体" w:hint="eastAsia"/>
                <w:b/>
                <w:sz w:val="24"/>
                <w:szCs w:val="24"/>
              </w:rPr>
              <w:t>编号或文号</w:t>
            </w:r>
          </w:p>
        </w:tc>
      </w:tr>
      <w:tr>
        <w:tblPrEx>
          <w:tblW w:w="0" w:type="auto"/>
          <w:jc w:val="center"/>
          <w:tblLayout w:type="fixed"/>
          <w:tblLook w:val="0000"/>
        </w:tblPrEx>
        <w:trPr>
          <w:trHeight w:val="627"/>
          <w:jc w:val="center"/>
        </w:trPr>
        <w:tc>
          <w:tcPr>
            <w:tcW w:w="1609" w:type="dxa"/>
            <w:tcBorders>
              <w:top w:val="single" w:sz="8" w:space="0" w:color="auto"/>
            </w:tcBorders>
            <w:vAlign w:val="center"/>
          </w:tcPr>
          <w:p w:rsidR="00B37071">
            <w:pPr>
              <w:pStyle w:val="Normal0"/>
              <w:spacing w:line="0" w:lineRule="atLeast"/>
              <w:jc w:val="center"/>
              <w:rPr>
                <w:rFonts w:ascii="宋体" w:hAnsi="宋体"/>
                <w:sz w:val="24"/>
                <w:szCs w:val="24"/>
              </w:rPr>
            </w:pPr>
            <w:r>
              <w:rPr>
                <w:rFonts w:ascii="宋体" w:hAnsi="宋体" w:hint="eastAsia"/>
                <w:sz w:val="24"/>
                <w:szCs w:val="24"/>
              </w:rPr>
              <w:t>1</w:t>
            </w:r>
          </w:p>
        </w:tc>
        <w:tc>
          <w:tcPr>
            <w:tcW w:w="6195" w:type="dxa"/>
            <w:tcBorders>
              <w:top w:val="single" w:sz="8" w:space="0" w:color="auto"/>
            </w:tcBorders>
            <w:vAlign w:val="center"/>
          </w:tcPr>
          <w:p w:rsidR="00B37071">
            <w:pPr>
              <w:pStyle w:val="Normal0"/>
              <w:spacing w:line="0" w:lineRule="atLeast"/>
              <w:jc w:val="center"/>
              <w:rPr>
                <w:rFonts w:ascii="宋体" w:hAnsi="宋体"/>
                <w:sz w:val="24"/>
                <w:szCs w:val="24"/>
              </w:rPr>
            </w:pPr>
            <w:r>
              <w:rPr>
                <w:rFonts w:ascii="宋体" w:hAnsi="宋体" w:hint="eastAsia"/>
                <w:sz w:val="24"/>
                <w:szCs w:val="24"/>
              </w:rPr>
              <w:t>《建筑地基处理技术规范》</w:t>
            </w:r>
          </w:p>
        </w:tc>
        <w:tc>
          <w:tcPr>
            <w:tcW w:w="2076" w:type="dxa"/>
            <w:tcBorders>
              <w:top w:val="single" w:sz="8" w:space="0" w:color="auto"/>
            </w:tcBorders>
            <w:vAlign w:val="center"/>
          </w:tcPr>
          <w:p w:rsidR="00B37071">
            <w:pPr>
              <w:pStyle w:val="Normal0"/>
              <w:spacing w:line="0" w:lineRule="atLeast"/>
              <w:jc w:val="center"/>
              <w:rPr>
                <w:rFonts w:ascii="宋体" w:hAnsi="宋体"/>
                <w:sz w:val="24"/>
                <w:szCs w:val="24"/>
              </w:rPr>
            </w:pPr>
            <w:r>
              <w:rPr>
                <w:rFonts w:ascii="宋体" w:hAnsi="宋体" w:hint="eastAsia"/>
                <w:sz w:val="24"/>
                <w:szCs w:val="24"/>
              </w:rPr>
              <w:t>JGJ79-20</w:t>
            </w:r>
            <w:r>
              <w:rPr>
                <w:rFonts w:ascii="宋体" w:hAnsi="宋体" w:hint="eastAsia"/>
                <w:sz w:val="24"/>
                <w:szCs w:val="24"/>
              </w:rPr>
              <w:t>1</w:t>
            </w:r>
            <w:r>
              <w:rPr>
                <w:rFonts w:ascii="宋体" w:hAnsi="宋体" w:hint="eastAsia"/>
                <w:sz w:val="24"/>
                <w:szCs w:val="24"/>
              </w:rPr>
              <w:t>2</w:t>
            </w:r>
          </w:p>
        </w:tc>
      </w:tr>
      <w:tr>
        <w:tblPrEx>
          <w:tblW w:w="0" w:type="auto"/>
          <w:jc w:val="center"/>
          <w:tblLayout w:type="fixed"/>
          <w:tblLook w:val="0000"/>
        </w:tblPrEx>
        <w:trPr>
          <w:trHeight w:val="627"/>
          <w:jc w:val="center"/>
        </w:trPr>
        <w:tc>
          <w:tcPr>
            <w:tcW w:w="1609" w:type="dxa"/>
            <w:tcBorders>
              <w:top w:val="single" w:sz="8" w:space="0" w:color="auto"/>
            </w:tcBorders>
            <w:vAlign w:val="center"/>
          </w:tcPr>
          <w:p w:rsidR="00B37071">
            <w:pPr>
              <w:pStyle w:val="Normal0"/>
              <w:spacing w:line="0" w:lineRule="atLeast"/>
              <w:jc w:val="center"/>
              <w:rPr>
                <w:rFonts w:ascii="宋体" w:hAnsi="宋体"/>
                <w:sz w:val="24"/>
                <w:szCs w:val="24"/>
              </w:rPr>
            </w:pPr>
            <w:r>
              <w:rPr>
                <w:rFonts w:ascii="宋体" w:hAnsi="宋体" w:hint="eastAsia"/>
                <w:sz w:val="24"/>
                <w:szCs w:val="24"/>
              </w:rPr>
              <w:t>2</w:t>
            </w:r>
          </w:p>
        </w:tc>
        <w:tc>
          <w:tcPr>
            <w:tcW w:w="6195" w:type="dxa"/>
            <w:tcBorders>
              <w:top w:val="single" w:sz="8" w:space="0" w:color="auto"/>
            </w:tcBorders>
            <w:vAlign w:val="center"/>
          </w:tcPr>
          <w:p w:rsidR="00B37071">
            <w:pPr>
              <w:pStyle w:val="Normal0"/>
              <w:spacing w:line="0" w:lineRule="atLeast"/>
              <w:jc w:val="center"/>
              <w:rPr>
                <w:rFonts w:ascii="宋体" w:hAnsi="宋体"/>
                <w:sz w:val="24"/>
                <w:szCs w:val="24"/>
              </w:rPr>
            </w:pPr>
            <w:r>
              <w:rPr>
                <w:rFonts w:ascii="宋体" w:hAnsi="宋体" w:hint="eastAsia"/>
                <w:sz w:val="24"/>
                <w:szCs w:val="24"/>
              </w:rPr>
              <w:t>《复合地基技术规范》</w:t>
            </w:r>
          </w:p>
        </w:tc>
        <w:tc>
          <w:tcPr>
            <w:tcW w:w="2076" w:type="dxa"/>
            <w:tcBorders>
              <w:top w:val="single" w:sz="8" w:space="0" w:color="auto"/>
            </w:tcBorders>
            <w:vAlign w:val="center"/>
          </w:tcPr>
          <w:p w:rsidR="00B37071">
            <w:pPr>
              <w:pStyle w:val="Normal0"/>
              <w:spacing w:line="0" w:lineRule="atLeast"/>
              <w:jc w:val="center"/>
              <w:rPr>
                <w:rFonts w:ascii="宋体" w:hAnsi="宋体"/>
                <w:sz w:val="24"/>
                <w:szCs w:val="24"/>
              </w:rPr>
            </w:pPr>
            <w:r>
              <w:rPr>
                <w:rFonts w:ascii="宋体" w:hAnsi="宋体" w:hint="eastAsia"/>
                <w:sz w:val="24"/>
                <w:szCs w:val="24"/>
              </w:rPr>
              <w:t>GB/T50783-2012</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3</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《建筑施工安全检查标准》</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JGJ59-2011</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4</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《建筑地基基础设计规范》</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GB5007-2011</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5</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《施工现场临时用电安全技术规范》</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JGJ46-2005</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6</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《建筑桩基技术规范》</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JGJ94-2008</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7</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《建筑地基基础工程质量验收规范》</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GB50202-2002</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8</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《工程测量规范》</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GB50026-2007</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9</w:t>
            </w:r>
          </w:p>
        </w:tc>
        <w:tc>
          <w:tcPr>
            <w:tcW w:w="6195"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《建筑工程施工质量验收统一标准》</w:t>
            </w:r>
          </w:p>
        </w:tc>
        <w:tc>
          <w:tcPr>
            <w:tcW w:w="2076"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GB50300-20</w:t>
            </w:r>
            <w:r>
              <w:rPr>
                <w:rFonts w:ascii="宋体" w:hAnsi="宋体" w:hint="eastAsia"/>
                <w:sz w:val="24"/>
                <w:szCs w:val="24"/>
              </w:rPr>
              <w:t>13</w:t>
            </w:r>
          </w:p>
        </w:tc>
      </w:tr>
      <w:tr>
        <w:tblPrEx>
          <w:tblW w:w="0" w:type="auto"/>
          <w:jc w:val="center"/>
          <w:tblLayout w:type="fixed"/>
          <w:tblLook w:val="0000"/>
        </w:tblPrEx>
        <w:trPr>
          <w:trHeight w:val="627"/>
          <w:jc w:val="center"/>
        </w:trPr>
        <w:tc>
          <w:tcPr>
            <w:tcW w:w="1609" w:type="dxa"/>
            <w:vAlign w:val="center"/>
          </w:tcPr>
          <w:p w:rsidR="00B37071">
            <w:pPr>
              <w:pStyle w:val="Normal0"/>
              <w:spacing w:line="0" w:lineRule="atLeast"/>
              <w:jc w:val="center"/>
              <w:rPr>
                <w:rFonts w:ascii="宋体" w:hAnsi="宋体"/>
                <w:sz w:val="24"/>
                <w:szCs w:val="24"/>
              </w:rPr>
            </w:pPr>
            <w:r>
              <w:rPr>
                <w:rFonts w:ascii="宋体" w:hAnsi="宋体" w:hint="eastAsia"/>
                <w:sz w:val="24"/>
                <w:szCs w:val="24"/>
              </w:rPr>
              <w:t>10</w:t>
            </w:r>
          </w:p>
        </w:tc>
        <w:tc>
          <w:tcPr>
            <w:tcW w:w="6195" w:type="dxa"/>
            <w:vAlign w:val="center"/>
          </w:tcPr>
          <w:p w:rsidR="00B37071">
            <w:pPr>
              <w:pStyle w:val="Normal0"/>
              <w:jc w:val="center"/>
              <w:rPr>
                <w:rFonts w:ascii="宋体" w:hAnsi="宋体"/>
                <w:sz w:val="24"/>
                <w:szCs w:val="24"/>
              </w:rPr>
            </w:pPr>
            <w:r>
              <w:rPr>
                <w:rFonts w:ascii="宋体" w:hAnsi="宋体" w:hint="eastAsia"/>
                <w:sz w:val="24"/>
                <w:szCs w:val="24"/>
              </w:rPr>
              <w:t>《福建省建筑工程文件管理规程》</w:t>
            </w:r>
            <w:r>
              <w:rPr>
                <w:rFonts w:ascii="宋体" w:hAnsi="宋体" w:hint="eastAsia"/>
                <w:sz w:val="24"/>
                <w:szCs w:val="24"/>
              </w:rPr>
              <w:t>(</w:t>
            </w:r>
            <w:r>
              <w:rPr>
                <w:rFonts w:ascii="宋体" w:hAnsi="宋体" w:hint="eastAsia"/>
                <w:sz w:val="24"/>
                <w:szCs w:val="24"/>
              </w:rPr>
              <w:t>施工分册</w:t>
            </w:r>
            <w:r>
              <w:rPr>
                <w:rFonts w:ascii="宋体" w:hAnsi="宋体" w:hint="eastAsia"/>
                <w:sz w:val="24"/>
                <w:szCs w:val="24"/>
              </w:rPr>
              <w:t>)</w:t>
            </w:r>
          </w:p>
        </w:tc>
        <w:tc>
          <w:tcPr>
            <w:tcW w:w="2076" w:type="dxa"/>
            <w:vAlign w:val="center"/>
          </w:tcPr>
          <w:p w:rsidR="00B37071">
            <w:pPr>
              <w:pStyle w:val="Normal0"/>
              <w:jc w:val="center"/>
              <w:rPr>
                <w:rFonts w:ascii="宋体" w:hAnsi="宋体"/>
                <w:sz w:val="24"/>
                <w:szCs w:val="24"/>
              </w:rPr>
            </w:pPr>
            <w:r>
              <w:rPr>
                <w:rFonts w:ascii="宋体" w:hAnsi="宋体" w:hint="eastAsia"/>
                <w:sz w:val="24"/>
                <w:szCs w:val="24"/>
              </w:rPr>
              <w:t>DBJ13-56-20</w:t>
            </w:r>
            <w:r>
              <w:rPr>
                <w:rFonts w:ascii="宋体" w:hAnsi="宋体" w:hint="eastAsia"/>
                <w:sz w:val="24"/>
                <w:szCs w:val="24"/>
              </w:rPr>
              <w:t>11</w:t>
            </w:r>
          </w:p>
        </w:tc>
      </w:tr>
      <w:tr>
        <w:tblPrEx>
          <w:tblW w:w="0" w:type="auto"/>
          <w:jc w:val="center"/>
          <w:tblLayout w:type="fixed"/>
          <w:tblLook w:val="0000"/>
        </w:tblPrEx>
        <w:trPr>
          <w:trHeight w:val="785"/>
          <w:jc w:val="center"/>
        </w:trPr>
        <w:tc>
          <w:tcPr>
            <w:tcW w:w="1609" w:type="dxa"/>
            <w:vAlign w:val="center"/>
          </w:tcPr>
          <w:p w:rsidR="00B37071">
            <w:pPr>
              <w:pStyle w:val="Normal0"/>
              <w:jc w:val="center"/>
              <w:rPr>
                <w:rFonts w:ascii="宋体" w:hAnsi="宋体"/>
                <w:sz w:val="24"/>
                <w:szCs w:val="24"/>
              </w:rPr>
            </w:pPr>
            <w:r>
              <w:rPr>
                <w:rFonts w:ascii="宋体" w:hAnsi="宋体" w:hint="eastAsia"/>
                <w:sz w:val="24"/>
                <w:szCs w:val="24"/>
              </w:rPr>
              <w:t>11</w:t>
            </w:r>
          </w:p>
        </w:tc>
        <w:tc>
          <w:tcPr>
            <w:tcW w:w="6195" w:type="dxa"/>
            <w:vAlign w:val="center"/>
          </w:tcPr>
          <w:p w:rsidR="00B37071">
            <w:pPr>
              <w:pStyle w:val="Normal0"/>
              <w:jc w:val="center"/>
              <w:rPr>
                <w:rFonts w:ascii="宋体" w:hAnsi="宋体"/>
                <w:sz w:val="24"/>
                <w:szCs w:val="24"/>
              </w:rPr>
            </w:pPr>
            <w:r>
              <w:rPr>
                <w:rFonts w:ascii="宋体" w:hAnsi="宋体" w:hint="eastAsia"/>
                <w:sz w:val="24"/>
                <w:szCs w:val="24"/>
              </w:rPr>
              <w:t>《建设工程归档整理规范》</w:t>
            </w:r>
          </w:p>
        </w:tc>
        <w:tc>
          <w:tcPr>
            <w:tcW w:w="2076" w:type="dxa"/>
            <w:vAlign w:val="center"/>
          </w:tcPr>
          <w:p w:rsidR="00B37071">
            <w:pPr>
              <w:pStyle w:val="Normal0"/>
              <w:jc w:val="center"/>
              <w:rPr>
                <w:rFonts w:ascii="宋体" w:hAnsi="宋体"/>
                <w:sz w:val="24"/>
                <w:szCs w:val="24"/>
              </w:rPr>
            </w:pPr>
            <w:r>
              <w:rPr>
                <w:rFonts w:ascii="宋体" w:hAnsi="宋体" w:hint="eastAsia"/>
                <w:sz w:val="24"/>
                <w:szCs w:val="24"/>
              </w:rPr>
              <w:t>GB/T50328-20</w:t>
            </w:r>
            <w:r>
              <w:rPr>
                <w:rFonts w:ascii="宋体" w:hAnsi="宋体" w:hint="eastAsia"/>
                <w:sz w:val="24"/>
                <w:szCs w:val="24"/>
              </w:rPr>
              <w:t>14</w:t>
            </w:r>
          </w:p>
        </w:tc>
      </w:tr>
    </w:tbl>
    <w:p w:rsidR="00B37071">
      <w:pPr>
        <w:pStyle w:val="Normal0"/>
        <w:snapToGrid w:val="0"/>
        <w:spacing w:before="120" w:beforeLines="50" w:line="360" w:lineRule="auto"/>
        <w:rPr>
          <w:rFonts w:ascii="宋体" w:hAnsi="宋体"/>
          <w:sz w:val="24"/>
          <w:szCs w:val="24"/>
        </w:rPr>
      </w:pPr>
      <w:r>
        <w:rPr>
          <w:rFonts w:ascii="宋体" w:hAnsi="宋体" w:hint="eastAsia"/>
          <w:sz w:val="24"/>
          <w:szCs w:val="24"/>
        </w:rPr>
        <w:t>此次软基处理施工除参照以上施工标准执行外，还应遵循其它相关国家及地方规范及标准。</w:t>
      </w:r>
    </w:p>
    <w:p w:rsidR="00B37071">
      <w:pPr>
        <w:pStyle w:val="Normal0"/>
        <w:spacing w:line="360" w:lineRule="auto"/>
        <w:rPr>
          <w:rFonts w:ascii="宋体" w:hAnsi="宋体"/>
          <w:b/>
          <w:color w:val="000000"/>
          <w:sz w:val="24"/>
        </w:rPr>
      </w:pPr>
      <w:bookmarkStart w:id="14" w:name="_Toc187600814"/>
      <w:r>
        <w:rPr>
          <w:rFonts w:ascii="宋体" w:hAnsi="宋体" w:hint="eastAsia"/>
          <w:b/>
          <w:sz w:val="24"/>
          <w:szCs w:val="24"/>
        </w:rPr>
        <w:t>1.</w:t>
      </w:r>
      <w:bookmarkEnd w:id="14"/>
      <w:r>
        <w:rPr>
          <w:rFonts w:ascii="宋体" w:hAnsi="宋体" w:hint="eastAsia"/>
          <w:b/>
          <w:sz w:val="24"/>
          <w:szCs w:val="24"/>
        </w:rPr>
        <w:t>4</w:t>
      </w:r>
      <w:r>
        <w:rPr>
          <w:rFonts w:ascii="宋体" w:hAnsi="宋体"/>
          <w:b/>
          <w:color w:val="000000"/>
          <w:sz w:val="24"/>
        </w:rPr>
        <w:t xml:space="preserve"> GB/T19001</w:t>
      </w:r>
      <w:r>
        <w:rPr>
          <w:rFonts w:ascii="宋体" w:hAnsi="宋体" w:hint="eastAsia"/>
          <w:b/>
          <w:color w:val="000000"/>
          <w:sz w:val="24"/>
        </w:rPr>
        <w:t>-</w:t>
      </w:r>
      <w:r>
        <w:rPr>
          <w:rFonts w:ascii="宋体" w:hAnsi="宋体"/>
          <w:b/>
          <w:color w:val="000000"/>
          <w:sz w:val="24"/>
        </w:rPr>
        <w:t>20</w:t>
      </w:r>
      <w:r>
        <w:rPr>
          <w:rFonts w:ascii="宋体" w:hAnsi="宋体" w:hint="eastAsia"/>
          <w:b/>
          <w:color w:val="000000"/>
          <w:sz w:val="24"/>
        </w:rPr>
        <w:t>16</w:t>
      </w:r>
      <w:r>
        <w:rPr>
          <w:rFonts w:ascii="宋体" w:hAnsi="宋体" w:hint="eastAsia"/>
          <w:b/>
          <w:color w:val="000000"/>
          <w:sz w:val="24"/>
        </w:rPr>
        <w:t>质量管理体系要求</w:t>
      </w:r>
    </w:p>
    <w:p w:rsidR="00B37071">
      <w:pPr>
        <w:pStyle w:val="Normal0"/>
        <w:spacing w:line="360" w:lineRule="auto"/>
        <w:ind w:firstLine="480" w:firstLineChars="200"/>
        <w:rPr>
          <w:rFonts w:ascii="宋体" w:hAnsi="宋体"/>
          <w:b/>
          <w:color w:val="000000"/>
          <w:sz w:val="24"/>
        </w:rPr>
      </w:pPr>
      <w:r>
        <w:rPr>
          <w:rFonts w:ascii="宋体" w:hAnsi="宋体"/>
          <w:b/>
          <w:color w:val="000000"/>
          <w:sz w:val="24"/>
        </w:rPr>
        <w:t>GB/T24001-20</w:t>
      </w:r>
      <w:r>
        <w:rPr>
          <w:rFonts w:ascii="宋体" w:hAnsi="宋体" w:hint="eastAsia"/>
          <w:b/>
          <w:color w:val="000000"/>
          <w:sz w:val="24"/>
        </w:rPr>
        <w:t>16</w:t>
      </w:r>
      <w:r>
        <w:rPr>
          <w:rFonts w:ascii="宋体" w:hAnsi="宋体" w:hint="eastAsia"/>
          <w:b/>
          <w:color w:val="000000"/>
          <w:sz w:val="24"/>
        </w:rPr>
        <w:t>环境管理体系要求及使用指南</w:t>
      </w:r>
    </w:p>
    <w:p w:rsidR="00B37071">
      <w:pPr>
        <w:pStyle w:val="Normal0"/>
        <w:spacing w:line="360" w:lineRule="auto"/>
        <w:ind w:firstLine="480" w:firstLineChars="200"/>
        <w:rPr>
          <w:rFonts w:ascii="宋体" w:hAnsi="宋体"/>
          <w:b/>
          <w:color w:val="000000"/>
          <w:sz w:val="24"/>
        </w:rPr>
      </w:pPr>
      <w:r>
        <w:rPr>
          <w:rFonts w:ascii="宋体" w:hAnsi="宋体"/>
          <w:b/>
          <w:color w:val="000000"/>
          <w:sz w:val="24"/>
        </w:rPr>
        <w:t>GB/T28001-20</w:t>
      </w:r>
      <w:r>
        <w:rPr>
          <w:rFonts w:ascii="宋体" w:hAnsi="宋体" w:hint="eastAsia"/>
          <w:b/>
          <w:color w:val="000000"/>
          <w:sz w:val="24"/>
        </w:rPr>
        <w:t>1</w:t>
      </w:r>
      <w:r>
        <w:rPr>
          <w:rFonts w:ascii="宋体" w:hAnsi="宋体"/>
          <w:b/>
          <w:color w:val="000000"/>
          <w:sz w:val="24"/>
        </w:rPr>
        <w:t>1</w:t>
      </w:r>
      <w:r>
        <w:rPr>
          <w:rFonts w:ascii="宋体" w:hAnsi="宋体" w:hint="eastAsia"/>
          <w:b/>
          <w:color w:val="000000"/>
          <w:sz w:val="24"/>
        </w:rPr>
        <w:t>职业健康安全管理体系规范</w:t>
      </w:r>
    </w:p>
    <w:p w:rsidR="00B37071">
      <w:pPr>
        <w:pStyle w:val="Normal0"/>
        <w:spacing w:line="360" w:lineRule="auto"/>
        <w:rPr>
          <w:rFonts w:ascii="宋体" w:hAnsi="宋体"/>
          <w:b/>
          <w:sz w:val="24"/>
          <w:szCs w:val="24"/>
        </w:rPr>
      </w:pPr>
      <w:r>
        <w:rPr>
          <w:rFonts w:ascii="宋体" w:hAnsi="宋体" w:hint="eastAsia"/>
          <w:b/>
          <w:sz w:val="24"/>
          <w:szCs w:val="24"/>
        </w:rPr>
        <w:t>1.</w:t>
      </w:r>
      <w:r>
        <w:rPr>
          <w:rFonts w:ascii="宋体" w:hAnsi="宋体" w:hint="eastAsia"/>
          <w:b/>
          <w:sz w:val="24"/>
          <w:szCs w:val="24"/>
        </w:rPr>
        <w:t>5</w:t>
      </w:r>
      <w:r>
        <w:rPr>
          <w:rFonts w:ascii="宋体" w:hAnsi="宋体" w:hint="eastAsia"/>
          <w:b/>
          <w:sz w:val="24"/>
          <w:szCs w:val="24"/>
        </w:rPr>
        <w:t>公司企业标准</w:t>
      </w:r>
    </w:p>
    <w:p w:rsidR="00B37071">
      <w:pPr>
        <w:pStyle w:val="Normal0"/>
        <w:spacing w:line="360" w:lineRule="auto"/>
        <w:rPr>
          <w:rFonts w:ascii="宋体" w:hAnsi="宋体"/>
          <w:b/>
          <w:sz w:val="24"/>
          <w:szCs w:val="24"/>
        </w:rPr>
      </w:pPr>
      <w:r>
        <w:rPr>
          <w:rFonts w:ascii="宋体" w:hAnsi="宋体" w:hint="eastAsia"/>
          <w:sz w:val="24"/>
          <w:szCs w:val="24"/>
        </w:rPr>
        <w:t>1.</w:t>
      </w:r>
      <w:r>
        <w:rPr>
          <w:rFonts w:ascii="宋体" w:hAnsi="宋体" w:hint="eastAsia"/>
          <w:sz w:val="24"/>
          <w:szCs w:val="24"/>
        </w:rPr>
        <w:t>5</w:t>
      </w:r>
      <w:r>
        <w:rPr>
          <w:rFonts w:ascii="宋体" w:hAnsi="宋体" w:hint="eastAsia"/>
          <w:sz w:val="24"/>
          <w:szCs w:val="24"/>
        </w:rPr>
        <w:t>.1</w:t>
      </w:r>
      <w:r>
        <w:rPr>
          <w:rFonts w:ascii="宋体" w:hAnsi="宋体" w:hint="eastAsia"/>
          <w:b/>
          <w:sz w:val="24"/>
          <w:szCs w:val="24"/>
        </w:rPr>
        <w:t>《质量、环境和职业健康安全管理手册》</w:t>
      </w:r>
      <w:r>
        <w:rPr>
          <w:rFonts w:ascii="宋体" w:hAnsi="宋体" w:hint="eastAsia"/>
          <w:b/>
          <w:sz w:val="24"/>
          <w:szCs w:val="24"/>
        </w:rPr>
        <w:t>2011</w:t>
      </w:r>
      <w:r>
        <w:rPr>
          <w:rFonts w:ascii="宋体" w:hAnsi="宋体" w:hint="eastAsia"/>
          <w:b/>
          <w:sz w:val="24"/>
          <w:szCs w:val="24"/>
        </w:rPr>
        <w:t>版</w:t>
      </w:r>
    </w:p>
    <w:p w:rsidR="00B37071">
      <w:pPr>
        <w:pStyle w:val="Normal0"/>
        <w:snapToGrid w:val="0"/>
        <w:spacing w:before="120" w:beforeLines="50" w:line="360" w:lineRule="auto"/>
        <w:rPr>
          <w:rFonts w:ascii="宋体" w:hAnsi="宋体"/>
          <w:sz w:val="24"/>
          <w:szCs w:val="24"/>
        </w:rPr>
        <w:sectPr>
          <w:pgSz w:w="11907" w:h="16840"/>
          <w:pgMar w:top="1418" w:right="1123" w:bottom="1418" w:left="1418" w:header="851" w:footer="851" w:gutter="0"/>
          <w:pgNumType w:fmt="numberInDash" w:start="0"/>
          <w:cols w:space="708"/>
          <w:docGrid w:linePitch="312"/>
        </w:sectPr>
      </w:pPr>
      <w:r>
        <w:rPr>
          <w:rFonts w:ascii="宋体" w:hAnsi="宋体" w:hint="eastAsia"/>
          <w:sz w:val="24"/>
          <w:szCs w:val="24"/>
        </w:rPr>
        <w:t>1.</w:t>
      </w:r>
      <w:r>
        <w:rPr>
          <w:rFonts w:ascii="宋体" w:hAnsi="宋体" w:hint="eastAsia"/>
          <w:sz w:val="24"/>
          <w:szCs w:val="24"/>
        </w:rPr>
        <w:t>5</w:t>
      </w:r>
      <w:r>
        <w:rPr>
          <w:rFonts w:ascii="宋体" w:hAnsi="宋体" w:hint="eastAsia"/>
          <w:sz w:val="24"/>
          <w:szCs w:val="24"/>
        </w:rPr>
        <w:t>.2</w:t>
      </w:r>
      <w:r>
        <w:rPr>
          <w:rFonts w:ascii="宋体" w:hAnsi="宋体" w:hint="eastAsia"/>
          <w:b/>
          <w:sz w:val="24"/>
          <w:szCs w:val="24"/>
        </w:rPr>
        <w:t>《管理体系过程手册汇编》</w:t>
      </w:r>
      <w:r>
        <w:rPr>
          <w:rFonts w:ascii="宋体" w:hAnsi="宋体" w:hint="eastAsia"/>
          <w:b/>
          <w:sz w:val="24"/>
          <w:szCs w:val="24"/>
        </w:rPr>
        <w:t>2011</w:t>
      </w:r>
      <w:r>
        <w:rPr>
          <w:rFonts w:ascii="宋体" w:hAnsi="宋体" w:hint="eastAsia"/>
          <w:b/>
          <w:sz w:val="24"/>
          <w:szCs w:val="24"/>
        </w:rPr>
        <w:t>版</w:t>
      </w:r>
    </w:p>
    <w:p w:rsidR="00B37071">
      <w:pPr>
        <w:pStyle w:val="Normal0"/>
        <w:spacing w:line="360" w:lineRule="auto"/>
        <w:outlineLvl w:val="0"/>
        <w:rPr>
          <w:rFonts w:ascii="宋体" w:hAnsi="宋体"/>
          <w:sz w:val="24"/>
          <w:szCs w:val="24"/>
        </w:rPr>
      </w:pPr>
      <w:bookmarkStart w:id="15" w:name="_Toc360632714"/>
      <w:r>
        <w:rPr>
          <w:rFonts w:ascii="宋体" w:hAnsi="宋体"/>
          <w:b/>
          <w:sz w:val="28"/>
          <w:szCs w:val="28"/>
        </w:rPr>
        <w:t>2</w:t>
      </w:r>
      <w:r>
        <w:rPr>
          <w:rFonts w:ascii="宋体" w:hAnsi="宋体" w:hint="eastAsia"/>
          <w:b/>
          <w:sz w:val="28"/>
          <w:szCs w:val="28"/>
        </w:rPr>
        <w:t>、</w:t>
      </w:r>
      <w:r>
        <w:rPr>
          <w:rFonts w:hint="eastAsia"/>
          <w:b/>
          <w:sz w:val="28"/>
          <w:szCs w:val="28"/>
        </w:rPr>
        <w:t>工程概况</w:t>
      </w:r>
      <w:bookmarkEnd w:id="15"/>
    </w:p>
    <w:p w:rsidR="00B37071">
      <w:pPr>
        <w:pStyle w:val="Normal0"/>
        <w:spacing w:line="360" w:lineRule="auto"/>
        <w:outlineLvl w:val="1"/>
        <w:rPr>
          <w:rFonts w:ascii="宋体" w:hAnsi="宋体"/>
          <w:sz w:val="24"/>
          <w:szCs w:val="24"/>
        </w:rPr>
      </w:pPr>
      <w:bookmarkStart w:id="16" w:name="_Toc360632715"/>
      <w:r>
        <w:rPr>
          <w:rFonts w:ascii="宋体" w:hAnsi="宋体" w:hint="eastAsia"/>
          <w:sz w:val="24"/>
          <w:szCs w:val="24"/>
        </w:rPr>
        <w:t>2.1</w:t>
      </w:r>
      <w:r>
        <w:rPr>
          <w:rFonts w:ascii="宋体" w:hAnsi="宋体" w:hint="eastAsia"/>
          <w:sz w:val="24"/>
          <w:szCs w:val="24"/>
        </w:rPr>
        <w:t>、工程简介</w:t>
      </w:r>
      <w:bookmarkEnd w:id="16"/>
    </w:p>
    <w:p w:rsidR="00B37071">
      <w:pPr>
        <w:pStyle w:val="Normal0"/>
        <w:spacing w:line="360" w:lineRule="auto"/>
        <w:ind w:firstLine="480" w:firstLineChars="200"/>
        <w:outlineLvl w:val="1"/>
        <w:rPr>
          <w:sz w:val="24"/>
          <w:szCs w:val="24"/>
        </w:rPr>
      </w:pPr>
      <w:r>
        <w:rPr>
          <w:rFonts w:hint="eastAsia"/>
          <w:sz w:val="24"/>
          <w:szCs w:val="24"/>
        </w:rPr>
        <w:t>拟建“海峡文化艺术中心项目”</w:t>
      </w:r>
      <w:r>
        <w:rPr>
          <w:rFonts w:hint="eastAsia"/>
          <w:sz w:val="24"/>
          <w:szCs w:val="24"/>
        </w:rPr>
        <w:t>位于福州市仓山区城门镇。拟建建筑物主要包括</w:t>
      </w:r>
      <w:r>
        <w:rPr>
          <w:rFonts w:hint="eastAsia"/>
          <w:sz w:val="24"/>
          <w:szCs w:val="24"/>
        </w:rPr>
        <w:t>5</w:t>
      </w:r>
      <w:r>
        <w:rPr>
          <w:rFonts w:hint="eastAsia"/>
          <w:sz w:val="24"/>
          <w:szCs w:val="24"/>
        </w:rPr>
        <w:t>幢大型文化娱乐建筑</w:t>
      </w:r>
      <w:r>
        <w:rPr>
          <w:rFonts w:hint="eastAsia"/>
          <w:sz w:val="24"/>
          <w:szCs w:val="24"/>
        </w:rPr>
        <w:t>(</w:t>
      </w:r>
      <w:r>
        <w:rPr>
          <w:rFonts w:hint="eastAsia"/>
          <w:sz w:val="24"/>
          <w:szCs w:val="24"/>
        </w:rPr>
        <w:t>分别为多功能厅、歌剧院、音乐厅、</w:t>
      </w:r>
      <w:r>
        <w:rPr>
          <w:rFonts w:hint="eastAsia"/>
          <w:sz w:val="24"/>
          <w:szCs w:val="24"/>
        </w:rPr>
        <w:t>艺术博物馆</w:t>
      </w:r>
      <w:r>
        <w:rPr>
          <w:rFonts w:hint="eastAsia"/>
          <w:sz w:val="24"/>
          <w:szCs w:val="24"/>
        </w:rPr>
        <w:t>、影视</w:t>
      </w:r>
      <w:r>
        <w:rPr>
          <w:rFonts w:hint="eastAsia"/>
          <w:sz w:val="24"/>
          <w:szCs w:val="24"/>
        </w:rPr>
        <w:t>中心</w:t>
      </w:r>
      <w:r>
        <w:rPr>
          <w:rFonts w:hint="eastAsia"/>
          <w:sz w:val="24"/>
          <w:szCs w:val="24"/>
        </w:rPr>
        <w:t>)</w:t>
      </w:r>
      <w:r>
        <w:rPr>
          <w:rFonts w:hint="eastAsia"/>
          <w:sz w:val="24"/>
          <w:szCs w:val="24"/>
        </w:rPr>
        <w:t>、</w:t>
      </w:r>
      <w:r>
        <w:rPr>
          <w:rFonts w:hint="eastAsia"/>
          <w:sz w:val="24"/>
          <w:szCs w:val="24"/>
        </w:rPr>
        <w:t>3</w:t>
      </w:r>
      <w:r>
        <w:rPr>
          <w:rFonts w:hint="eastAsia"/>
          <w:sz w:val="24"/>
          <w:szCs w:val="24"/>
        </w:rPr>
        <w:t>幢能源中心</w:t>
      </w:r>
      <w:r>
        <w:rPr>
          <w:rFonts w:hint="eastAsia"/>
          <w:sz w:val="24"/>
          <w:szCs w:val="24"/>
        </w:rPr>
        <w:t>。现有场地地面标高约为罗零</w:t>
      </w:r>
      <w:r>
        <w:rPr>
          <w:rFonts w:hint="eastAsia"/>
          <w:sz w:val="24"/>
          <w:szCs w:val="24"/>
        </w:rPr>
        <w:t>4.670</w:t>
      </w:r>
      <w:r>
        <w:rPr>
          <w:rFonts w:hint="eastAsia"/>
          <w:sz w:val="24"/>
          <w:szCs w:val="24"/>
        </w:rPr>
        <w:t>～</w:t>
      </w:r>
      <w:r>
        <w:rPr>
          <w:rFonts w:hint="eastAsia"/>
          <w:sz w:val="24"/>
          <w:szCs w:val="24"/>
        </w:rPr>
        <w:t>6.890m</w:t>
      </w:r>
      <w:r>
        <w:rPr>
          <w:rFonts w:hint="eastAsia"/>
          <w:sz w:val="24"/>
          <w:szCs w:val="24"/>
        </w:rPr>
        <w:t>。由于场地需要回填</w:t>
      </w:r>
      <w:r>
        <w:rPr>
          <w:rFonts w:hint="eastAsia"/>
          <w:sz w:val="24"/>
          <w:szCs w:val="24"/>
        </w:rPr>
        <w:t>4.0~5.5m</w:t>
      </w:r>
      <w:r>
        <w:rPr>
          <w:rFonts w:hint="eastAsia"/>
          <w:sz w:val="24"/>
          <w:szCs w:val="24"/>
        </w:rPr>
        <w:t>，为减轻附加沉降和不均匀沉降，需要对室外地基进行处理。</w:t>
      </w:r>
    </w:p>
    <w:p w:rsidR="00B37071">
      <w:pPr>
        <w:pStyle w:val="Normal0"/>
        <w:spacing w:line="360" w:lineRule="auto"/>
        <w:outlineLvl w:val="1"/>
        <w:rPr>
          <w:rFonts w:ascii="宋体" w:hAnsi="宋体"/>
        </w:rPr>
      </w:pPr>
      <w:bookmarkStart w:id="17" w:name="_Toc360632717"/>
      <w:r>
        <w:rPr>
          <w:rFonts w:ascii="宋体" w:hAnsi="宋体"/>
          <w:sz w:val="24"/>
        </w:rPr>
        <w:t>2.</w:t>
      </w:r>
      <w:r>
        <w:rPr>
          <w:rFonts w:ascii="宋体" w:hAnsi="宋体" w:hint="eastAsia"/>
          <w:sz w:val="24"/>
        </w:rPr>
        <w:t>2</w:t>
      </w:r>
      <w:r>
        <w:rPr>
          <w:rFonts w:ascii="宋体" w:hAnsi="宋体" w:hint="eastAsia"/>
          <w:sz w:val="24"/>
        </w:rPr>
        <w:t>、工程建设概况</w:t>
      </w:r>
      <w:bookmarkEnd w:id="17"/>
      <w:r>
        <w:rPr>
          <w:rFonts w:ascii="宋体" w:hAnsi="宋体"/>
        </w:rPr>
        <w:t xml:space="preserve">                             </w:t>
      </w:r>
    </w:p>
    <w:p w:rsidR="00B37071">
      <w:pPr>
        <w:pStyle w:val="Normal0"/>
        <w:tabs>
          <w:tab w:val="left" w:pos="7035"/>
        </w:tabs>
        <w:spacing w:line="300" w:lineRule="auto"/>
        <w:ind w:right="140" w:firstLine="3752" w:firstLineChars="1340"/>
        <w:rPr>
          <w:rFonts w:ascii="宋体" w:hAnsi="宋体"/>
          <w:szCs w:val="21"/>
        </w:rPr>
      </w:pPr>
      <w:r>
        <w:rPr>
          <w:rFonts w:ascii="宋体" w:hAnsi="宋体" w:hint="eastAsia"/>
          <w:b/>
          <w:sz w:val="28"/>
          <w:szCs w:val="28"/>
        </w:rPr>
        <w:t>工程建设概况</w:t>
      </w:r>
      <w:r>
        <w:rPr>
          <w:rFonts w:ascii="宋体" w:hAnsi="宋体" w:hint="eastAsia"/>
          <w:b/>
          <w:sz w:val="28"/>
          <w:szCs w:val="28"/>
        </w:rPr>
        <w:t xml:space="preserve"> </w:t>
      </w:r>
      <w:r>
        <w:rPr>
          <w:rFonts w:ascii="宋体" w:hAnsi="宋体" w:hint="eastAsia"/>
          <w:sz w:val="24"/>
          <w:szCs w:val="24"/>
        </w:rPr>
        <w:t xml:space="preserve">                  </w:t>
      </w:r>
      <w:r>
        <w:rPr>
          <w:rFonts w:ascii="宋体" w:hAnsi="宋体" w:hint="eastAsia"/>
          <w:sz w:val="24"/>
          <w:szCs w:val="24"/>
        </w:rPr>
        <w:t>表</w:t>
      </w:r>
      <w:r>
        <w:rPr>
          <w:rFonts w:ascii="宋体" w:hAnsi="宋体" w:hint="eastAsia"/>
          <w:sz w:val="24"/>
          <w:szCs w:val="24"/>
        </w:rPr>
        <w:t>2.2</w:t>
      </w:r>
      <w:r>
        <w:rPr>
          <w:rFonts w:ascii="宋体" w:hAnsi="宋体" w:hint="eastAsia"/>
          <w:sz w:val="24"/>
          <w:szCs w:val="24"/>
        </w:rPr>
        <w:t>－</w:t>
      </w:r>
      <w:r>
        <w:rPr>
          <w:rFonts w:ascii="宋体" w:hAnsi="宋体" w:hint="eastAsia"/>
          <w:sz w:val="24"/>
          <w:szCs w:val="24"/>
        </w:rPr>
        <w:t>1</w:t>
      </w:r>
    </w:p>
    <w:tbl>
      <w:tblPr>
        <w:tblStyle w:val="TableNormal"/>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6" w:space="0" w:color="auto"/>
          <w:insideV w:val="single" w:sz="6" w:space="0" w:color="auto"/>
        </w:tblBorders>
        <w:tblLayout w:type="fixed"/>
        <w:tblCellMar>
          <w:top w:w="28" w:type="dxa"/>
        </w:tblCellMar>
        <w:tblLook w:val="0000"/>
      </w:tblPr>
      <w:tblGrid>
        <w:gridCol w:w="1537"/>
        <w:gridCol w:w="3668"/>
        <w:gridCol w:w="1085"/>
        <w:gridCol w:w="3410"/>
      </w:tblGrid>
      <w:tr>
        <w:tblPrEx>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6" w:space="0" w:color="auto"/>
            <w:insideV w:val="single" w:sz="6" w:space="0" w:color="auto"/>
          </w:tblBorders>
          <w:tblLayout w:type="fixed"/>
          <w:tblCellMar>
            <w:top w:w="28" w:type="dxa"/>
          </w:tblCellMar>
          <w:tblLook w:val="0000"/>
        </w:tblPrEx>
        <w:trPr>
          <w:trHeight w:val="1013"/>
          <w:jc w:val="center"/>
        </w:trPr>
        <w:tc>
          <w:tcPr>
            <w:tcW w:w="1537" w:type="dxa"/>
            <w:tcBorders>
              <w:top w:val="thinThickSmallGap" w:sz="24"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工程名称</w:t>
            </w:r>
          </w:p>
        </w:tc>
        <w:tc>
          <w:tcPr>
            <w:tcW w:w="3668" w:type="dxa"/>
            <w:shd w:val="clear" w:color="auto" w:fill="auto"/>
            <w:vAlign w:val="center"/>
          </w:tcPr>
          <w:p w:rsidR="00B37071">
            <w:pPr>
              <w:pStyle w:val="Normal0"/>
              <w:widowControl/>
              <w:spacing w:line="400" w:lineRule="exact"/>
              <w:jc w:val="center"/>
              <w:rPr>
                <w:rFonts w:ascii="宋体" w:hAnsi="宋体"/>
                <w:kern w:val="0"/>
                <w:sz w:val="21"/>
                <w:szCs w:val="21"/>
              </w:rPr>
            </w:pPr>
            <w:r>
              <w:rPr>
                <w:rFonts w:ascii="宋体" w:hAnsi="宋体" w:hint="eastAsia"/>
                <w:kern w:val="0"/>
                <w:sz w:val="21"/>
                <w:szCs w:val="21"/>
              </w:rPr>
              <w:t>海峡文化艺术中心地基处理工程</w:t>
            </w:r>
          </w:p>
        </w:tc>
        <w:tc>
          <w:tcPr>
            <w:tcW w:w="1085" w:type="dxa"/>
            <w:tcBorders>
              <w:top w:val="thinThickSmallGap" w:sz="24"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工程地址</w:t>
            </w:r>
          </w:p>
        </w:tc>
        <w:tc>
          <w:tcPr>
            <w:tcW w:w="3410" w:type="dxa"/>
            <w:vAlign w:val="center"/>
          </w:tcPr>
          <w:p w:rsidR="00B37071">
            <w:pPr>
              <w:pStyle w:val="Normal0"/>
              <w:widowControl/>
              <w:spacing w:line="400" w:lineRule="exact"/>
              <w:jc w:val="center"/>
              <w:rPr>
                <w:rFonts w:ascii="宋体" w:hAnsi="宋体"/>
                <w:kern w:val="0"/>
                <w:sz w:val="21"/>
                <w:szCs w:val="21"/>
              </w:rPr>
            </w:pPr>
            <w:r>
              <w:rPr>
                <w:rFonts w:ascii="宋体" w:hAnsi="宋体" w:hint="eastAsia"/>
                <w:kern w:val="0"/>
                <w:sz w:val="21"/>
                <w:szCs w:val="21"/>
              </w:rPr>
              <w:t>福州市南江滨路北侧、闽江南岸，规划马尾大桥西侧</w:t>
            </w:r>
          </w:p>
        </w:tc>
      </w:tr>
      <w:tr>
        <w:tblPrEx>
          <w:tblW w:w="0" w:type="auto"/>
          <w:jc w:val="center"/>
          <w:tblLayout w:type="fixed"/>
          <w:tblCellMar>
            <w:top w:w="28" w:type="dxa"/>
          </w:tblCellMar>
          <w:tblLook w:val="0000"/>
        </w:tblPrEx>
        <w:trPr>
          <w:trHeight w:val="930"/>
          <w:jc w:val="center"/>
        </w:trPr>
        <w:tc>
          <w:tcPr>
            <w:tcW w:w="1537" w:type="dxa"/>
            <w:tcBorders>
              <w:top w:val="single" w:sz="6"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建设单位</w:t>
            </w:r>
          </w:p>
        </w:tc>
        <w:tc>
          <w:tcPr>
            <w:tcW w:w="3668" w:type="dxa"/>
            <w:shd w:val="clear" w:color="auto" w:fill="auto"/>
            <w:vAlign w:val="center"/>
          </w:tcPr>
          <w:p w:rsidR="00B37071">
            <w:pPr>
              <w:pStyle w:val="Normal0"/>
              <w:widowControl/>
              <w:spacing w:line="400" w:lineRule="exact"/>
              <w:jc w:val="center"/>
              <w:rPr>
                <w:rFonts w:ascii="宋体" w:hAnsi="宋体"/>
                <w:kern w:val="0"/>
                <w:sz w:val="21"/>
                <w:szCs w:val="21"/>
              </w:rPr>
            </w:pPr>
            <w:r>
              <w:rPr>
                <w:rFonts w:ascii="宋体" w:hAnsi="宋体" w:hint="eastAsia"/>
                <w:kern w:val="0"/>
                <w:sz w:val="21"/>
                <w:szCs w:val="21"/>
              </w:rPr>
              <w:t>福州海峡文化艺术中心建设开发有限公司</w:t>
            </w:r>
          </w:p>
        </w:tc>
        <w:tc>
          <w:tcPr>
            <w:tcW w:w="1085" w:type="dxa"/>
            <w:tcBorders>
              <w:top w:val="single" w:sz="6"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勘察单位</w:t>
            </w:r>
          </w:p>
        </w:tc>
        <w:tc>
          <w:tcPr>
            <w:tcW w:w="3410" w:type="dxa"/>
            <w:vAlign w:val="center"/>
          </w:tcPr>
          <w:p w:rsidR="00B37071">
            <w:pPr>
              <w:pStyle w:val="Normal0"/>
              <w:widowControl/>
              <w:spacing w:line="400" w:lineRule="exact"/>
              <w:jc w:val="center"/>
              <w:rPr>
                <w:rFonts w:ascii="宋体" w:hAnsi="宋体"/>
                <w:kern w:val="0"/>
                <w:sz w:val="21"/>
                <w:szCs w:val="21"/>
              </w:rPr>
            </w:pPr>
            <w:r>
              <w:rPr>
                <w:rFonts w:ascii="宋体" w:hAnsi="宋体" w:hint="eastAsia"/>
                <w:kern w:val="0"/>
                <w:sz w:val="21"/>
                <w:szCs w:val="21"/>
              </w:rPr>
              <w:t>化工部福州地质工程勘察院</w:t>
            </w:r>
          </w:p>
        </w:tc>
      </w:tr>
      <w:tr>
        <w:tblPrEx>
          <w:tblW w:w="0" w:type="auto"/>
          <w:jc w:val="center"/>
          <w:tblLayout w:type="fixed"/>
          <w:tblCellMar>
            <w:top w:w="28" w:type="dxa"/>
          </w:tblCellMar>
          <w:tblLook w:val="0000"/>
        </w:tblPrEx>
        <w:trPr>
          <w:trHeight w:val="832"/>
          <w:jc w:val="center"/>
        </w:trPr>
        <w:tc>
          <w:tcPr>
            <w:tcW w:w="1537" w:type="dxa"/>
            <w:tcBorders>
              <w:top w:val="single" w:sz="6"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设计单位</w:t>
            </w:r>
          </w:p>
        </w:tc>
        <w:tc>
          <w:tcPr>
            <w:tcW w:w="3668" w:type="dxa"/>
            <w:shd w:val="clear" w:color="auto" w:fill="auto"/>
            <w:vAlign w:val="center"/>
          </w:tcPr>
          <w:p w:rsidR="00B37071">
            <w:pPr>
              <w:pStyle w:val="Normal0"/>
              <w:spacing w:line="400" w:lineRule="exact"/>
              <w:ind w:left="945" w:hanging="945" w:hangingChars="450"/>
              <w:jc w:val="center"/>
              <w:rPr>
                <w:rFonts w:ascii="宋体" w:hAnsi="宋体"/>
                <w:kern w:val="0"/>
                <w:sz w:val="21"/>
                <w:szCs w:val="21"/>
              </w:rPr>
            </w:pPr>
            <w:r>
              <w:rPr>
                <w:rFonts w:ascii="宋体" w:hAnsi="宋体" w:hint="eastAsia"/>
                <w:kern w:val="0"/>
                <w:sz w:val="21"/>
                <w:szCs w:val="21"/>
              </w:rPr>
              <w:t>福建省建筑设计研究院</w:t>
            </w:r>
          </w:p>
        </w:tc>
        <w:tc>
          <w:tcPr>
            <w:tcW w:w="1085" w:type="dxa"/>
            <w:tcBorders>
              <w:top w:val="single" w:sz="6"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监理单位</w:t>
            </w:r>
          </w:p>
        </w:tc>
        <w:tc>
          <w:tcPr>
            <w:tcW w:w="3410" w:type="dxa"/>
            <w:vAlign w:val="center"/>
          </w:tcPr>
          <w:p w:rsidR="00B37071">
            <w:pPr>
              <w:pStyle w:val="Normal0"/>
              <w:widowControl/>
              <w:spacing w:line="400" w:lineRule="exact"/>
              <w:jc w:val="center"/>
              <w:rPr>
                <w:rFonts w:ascii="宋体" w:hAnsi="宋体"/>
                <w:kern w:val="0"/>
                <w:sz w:val="21"/>
                <w:szCs w:val="21"/>
              </w:rPr>
            </w:pPr>
            <w:r>
              <w:rPr>
                <w:rFonts w:ascii="宋体" w:hAnsi="宋体" w:hint="eastAsia"/>
                <w:kern w:val="0"/>
                <w:sz w:val="21"/>
                <w:szCs w:val="21"/>
              </w:rPr>
              <w:t>厦门协诚工程建设监理有限公司</w:t>
            </w:r>
          </w:p>
        </w:tc>
      </w:tr>
      <w:tr>
        <w:tblPrEx>
          <w:tblW w:w="0" w:type="auto"/>
          <w:jc w:val="center"/>
          <w:tblLayout w:type="fixed"/>
          <w:tblCellMar>
            <w:top w:w="28" w:type="dxa"/>
          </w:tblCellMar>
          <w:tblLook w:val="0000"/>
        </w:tblPrEx>
        <w:trPr>
          <w:trHeight w:val="751"/>
          <w:jc w:val="center"/>
        </w:trPr>
        <w:tc>
          <w:tcPr>
            <w:tcW w:w="1537" w:type="dxa"/>
            <w:tcBorders>
              <w:top w:val="single" w:sz="6"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质量监督部门</w:t>
            </w:r>
          </w:p>
        </w:tc>
        <w:tc>
          <w:tcPr>
            <w:tcW w:w="3668" w:type="dxa"/>
            <w:shd w:val="clear" w:color="auto" w:fill="auto"/>
            <w:vAlign w:val="center"/>
          </w:tcPr>
          <w:p w:rsidR="00B37071">
            <w:pPr>
              <w:pStyle w:val="Normal0"/>
              <w:spacing w:line="400" w:lineRule="exact"/>
              <w:ind w:left="945" w:hanging="945" w:hangingChars="450"/>
              <w:jc w:val="center"/>
              <w:rPr>
                <w:rFonts w:ascii="宋体" w:hAnsi="宋体"/>
                <w:kern w:val="0"/>
                <w:sz w:val="21"/>
                <w:szCs w:val="21"/>
              </w:rPr>
            </w:pPr>
            <w:r>
              <w:rPr>
                <w:rFonts w:ascii="宋体" w:hAnsi="宋体" w:hint="eastAsia"/>
                <w:kern w:val="0"/>
                <w:sz w:val="21"/>
                <w:szCs w:val="21"/>
              </w:rPr>
              <w:t>福州市安全质量监督站</w:t>
            </w:r>
          </w:p>
        </w:tc>
        <w:tc>
          <w:tcPr>
            <w:tcW w:w="1085" w:type="dxa"/>
            <w:tcBorders>
              <w:top w:val="single" w:sz="6" w:space="0" w:color="auto"/>
              <w:bottom w:val="single" w:sz="6" w:space="0" w:color="auto"/>
            </w:tcBorders>
            <w:shd w:val="clear" w:color="auto" w:fill="00FFFF"/>
            <w:vAlign w:val="center"/>
          </w:tcPr>
          <w:p w:rsidR="00B37071">
            <w:pPr>
              <w:pStyle w:val="Normal0"/>
              <w:spacing w:line="400" w:lineRule="exact"/>
              <w:jc w:val="center"/>
              <w:rPr>
                <w:rFonts w:ascii="宋体" w:hAnsi="宋体"/>
                <w:sz w:val="21"/>
                <w:szCs w:val="21"/>
              </w:rPr>
            </w:pPr>
            <w:r>
              <w:rPr>
                <w:rFonts w:ascii="宋体" w:hAnsi="宋体" w:hint="eastAsia"/>
                <w:sz w:val="21"/>
                <w:szCs w:val="21"/>
              </w:rPr>
              <w:t>总包单位</w:t>
            </w:r>
          </w:p>
        </w:tc>
        <w:tc>
          <w:tcPr>
            <w:tcW w:w="3410" w:type="dxa"/>
            <w:vAlign w:val="center"/>
          </w:tcPr>
          <w:p w:rsidR="00B37071">
            <w:pPr>
              <w:pStyle w:val="Normal0"/>
              <w:spacing w:line="400" w:lineRule="exact"/>
              <w:jc w:val="center"/>
              <w:rPr>
                <w:rFonts w:ascii="宋体" w:hAnsi="宋体"/>
                <w:sz w:val="21"/>
                <w:szCs w:val="21"/>
              </w:rPr>
            </w:pPr>
            <w:r>
              <w:rPr>
                <w:rFonts w:ascii="宋体" w:hAnsi="宋体" w:hint="eastAsia"/>
                <w:sz w:val="21"/>
                <w:szCs w:val="21"/>
              </w:rPr>
              <w:t>中建海峡建设发展有限公司</w:t>
            </w:r>
          </w:p>
        </w:tc>
      </w:tr>
      <w:tr>
        <w:tblPrEx>
          <w:tblW w:w="0" w:type="auto"/>
          <w:jc w:val="center"/>
          <w:tblLayout w:type="fixed"/>
          <w:tblCellMar>
            <w:top w:w="28" w:type="dxa"/>
          </w:tblCellMar>
          <w:tblLook w:val="0000"/>
        </w:tblPrEx>
        <w:trPr>
          <w:trHeight w:val="777"/>
          <w:jc w:val="center"/>
        </w:trPr>
        <w:tc>
          <w:tcPr>
            <w:tcW w:w="1537" w:type="dxa"/>
            <w:tcBorders>
              <w:top w:val="single" w:sz="6" w:space="0" w:color="auto"/>
              <w:bottom w:val="thinThickSmallGap" w:sz="24" w:space="0" w:color="auto"/>
            </w:tcBorders>
            <w:shd w:val="clear" w:color="auto" w:fill="00FFFF"/>
            <w:vAlign w:val="center"/>
          </w:tcPr>
          <w:p w:rsidR="00B37071">
            <w:pPr>
              <w:pStyle w:val="Normal0"/>
              <w:spacing w:line="360" w:lineRule="auto"/>
              <w:jc w:val="center"/>
              <w:rPr>
                <w:rFonts w:ascii="宋体" w:hAnsi="宋体"/>
                <w:sz w:val="21"/>
                <w:szCs w:val="21"/>
              </w:rPr>
            </w:pPr>
            <w:r>
              <w:rPr>
                <w:rFonts w:ascii="宋体" w:hAnsi="宋体" w:hint="eastAsia"/>
                <w:sz w:val="21"/>
                <w:szCs w:val="21"/>
              </w:rPr>
              <w:t>地基</w:t>
            </w:r>
            <w:r>
              <w:rPr>
                <w:rFonts w:ascii="宋体" w:hAnsi="宋体" w:hint="eastAsia"/>
                <w:sz w:val="21"/>
                <w:szCs w:val="21"/>
              </w:rPr>
              <w:t>处理</w:t>
            </w:r>
          </w:p>
        </w:tc>
        <w:tc>
          <w:tcPr>
            <w:tcW w:w="3668" w:type="dxa"/>
            <w:shd w:val="clear" w:color="auto" w:fill="auto"/>
            <w:vAlign w:val="center"/>
          </w:tcPr>
          <w:p w:rsidR="00B37071">
            <w:pPr>
              <w:pStyle w:val="Normal0"/>
              <w:spacing w:line="400" w:lineRule="exact"/>
              <w:ind w:left="945" w:hanging="945" w:hangingChars="450"/>
              <w:jc w:val="center"/>
              <w:rPr>
                <w:rFonts w:ascii="宋体" w:hAnsi="宋体"/>
                <w:kern w:val="0"/>
                <w:sz w:val="21"/>
                <w:szCs w:val="21"/>
              </w:rPr>
            </w:pPr>
            <w:r>
              <w:rPr>
                <w:rFonts w:ascii="宋体" w:hAnsi="宋体" w:hint="eastAsia"/>
                <w:kern w:val="0"/>
                <w:sz w:val="21"/>
                <w:szCs w:val="21"/>
              </w:rPr>
              <w:t>水泥搅拌桩</w:t>
            </w:r>
            <w:r>
              <w:rPr>
                <w:rFonts w:ascii="宋体" w:hAnsi="宋体" w:hint="eastAsia"/>
                <w:kern w:val="0"/>
                <w:sz w:val="21"/>
                <w:szCs w:val="21"/>
              </w:rPr>
              <w:t>/</w:t>
            </w:r>
            <w:r>
              <w:rPr>
                <w:rFonts w:ascii="宋体" w:hAnsi="宋体" w:hint="eastAsia"/>
                <w:kern w:val="0"/>
                <w:sz w:val="21"/>
                <w:szCs w:val="21"/>
              </w:rPr>
              <w:t>高压旋喷桩</w:t>
            </w:r>
          </w:p>
        </w:tc>
        <w:tc>
          <w:tcPr>
            <w:tcW w:w="1085" w:type="dxa"/>
            <w:tcBorders>
              <w:top w:val="single" w:sz="6" w:space="0" w:color="auto"/>
              <w:bottom w:val="thinThickSmallGap" w:sz="24" w:space="0" w:color="auto"/>
            </w:tcBorders>
            <w:shd w:val="clear" w:color="auto" w:fill="00FFFF"/>
            <w:vAlign w:val="center"/>
          </w:tcPr>
          <w:p w:rsidR="00B37071">
            <w:pPr>
              <w:pStyle w:val="Normal0"/>
              <w:spacing w:line="360" w:lineRule="auto"/>
              <w:jc w:val="center"/>
              <w:rPr>
                <w:rFonts w:ascii="宋体" w:hAnsi="宋体"/>
                <w:sz w:val="21"/>
                <w:szCs w:val="21"/>
              </w:rPr>
            </w:pPr>
            <w:r>
              <w:rPr>
                <w:rFonts w:ascii="宋体" w:hAnsi="宋体" w:hint="eastAsia"/>
                <w:sz w:val="21"/>
                <w:szCs w:val="21"/>
              </w:rPr>
              <w:t>工</w:t>
            </w:r>
            <w:r>
              <w:rPr>
                <w:rFonts w:ascii="宋体" w:hAnsi="宋体" w:hint="eastAsia"/>
                <w:sz w:val="21"/>
                <w:szCs w:val="21"/>
              </w:rPr>
              <w:t xml:space="preserve">  </w:t>
            </w:r>
            <w:r>
              <w:rPr>
                <w:rFonts w:ascii="宋体" w:hAnsi="宋体" w:hint="eastAsia"/>
                <w:sz w:val="21"/>
                <w:szCs w:val="21"/>
              </w:rPr>
              <w:t>期</w:t>
            </w:r>
          </w:p>
        </w:tc>
        <w:tc>
          <w:tcPr>
            <w:tcW w:w="3410" w:type="dxa"/>
            <w:vAlign w:val="center"/>
          </w:tcPr>
          <w:p w:rsidR="00B37071">
            <w:pPr>
              <w:pStyle w:val="Normal0"/>
              <w:spacing w:line="360" w:lineRule="auto"/>
              <w:jc w:val="center"/>
              <w:rPr>
                <w:rFonts w:ascii="宋体" w:hAnsi="宋体"/>
                <w:color w:val="FF0000"/>
                <w:sz w:val="21"/>
                <w:szCs w:val="21"/>
              </w:rPr>
            </w:pPr>
            <w:r>
              <w:rPr>
                <w:rFonts w:ascii="宋体" w:hAnsi="宋体" w:hint="eastAsia"/>
                <w:sz w:val="21"/>
                <w:szCs w:val="21"/>
              </w:rPr>
              <w:t>87</w:t>
            </w:r>
            <w:r>
              <w:rPr>
                <w:rFonts w:ascii="宋体" w:hAnsi="宋体" w:hint="eastAsia"/>
                <w:sz w:val="21"/>
                <w:szCs w:val="21"/>
              </w:rPr>
              <w:t>日历天</w:t>
            </w:r>
          </w:p>
        </w:tc>
      </w:tr>
    </w:tbl>
    <w:p w:rsidR="00B37071">
      <w:pPr>
        <w:pStyle w:val="Normal0"/>
        <w:spacing w:line="360" w:lineRule="auto"/>
        <w:outlineLvl w:val="1"/>
        <w:rPr>
          <w:rFonts w:ascii="宋体" w:hAnsi="宋体"/>
          <w:sz w:val="24"/>
          <w:szCs w:val="24"/>
        </w:rPr>
      </w:pPr>
      <w:bookmarkStart w:id="18" w:name="_Toc360632718"/>
      <w:r>
        <w:rPr>
          <w:rFonts w:ascii="宋体" w:hAnsi="宋体" w:hint="eastAsia"/>
          <w:sz w:val="24"/>
          <w:szCs w:val="24"/>
        </w:rPr>
        <w:t>2.3</w:t>
      </w:r>
      <w:r>
        <w:rPr>
          <w:rFonts w:ascii="宋体" w:hAnsi="宋体" w:hint="eastAsia"/>
          <w:sz w:val="24"/>
          <w:szCs w:val="24"/>
        </w:rPr>
        <w:t>、</w:t>
      </w:r>
      <w:r>
        <w:rPr>
          <w:rFonts w:ascii="宋体" w:hAnsi="宋体" w:hint="eastAsia"/>
          <w:sz w:val="24"/>
          <w:szCs w:val="24"/>
        </w:rPr>
        <w:t>地基</w:t>
      </w:r>
      <w:r>
        <w:rPr>
          <w:rFonts w:ascii="宋体" w:hAnsi="宋体" w:hint="eastAsia"/>
          <w:sz w:val="24"/>
          <w:szCs w:val="24"/>
        </w:rPr>
        <w:t>处理设计概况</w:t>
      </w:r>
      <w:bookmarkEnd w:id="18"/>
    </w:p>
    <w:p w:rsidR="00B37071">
      <w:pPr>
        <w:pStyle w:val="Normal0"/>
        <w:spacing w:line="360" w:lineRule="auto"/>
        <w:ind w:firstLine="480" w:firstLineChars="200"/>
        <w:rPr>
          <w:sz w:val="24"/>
          <w:szCs w:val="24"/>
        </w:rPr>
      </w:pPr>
      <w:r>
        <w:rPr>
          <w:rFonts w:hint="eastAsia"/>
          <w:sz w:val="24"/>
          <w:szCs w:val="24"/>
        </w:rPr>
        <w:t>海峡文化艺术中心地基</w:t>
      </w:r>
      <w:r>
        <w:rPr>
          <w:rFonts w:hint="eastAsia"/>
          <w:sz w:val="24"/>
          <w:szCs w:val="24"/>
        </w:rPr>
        <w:t>处理施工段原场地为主要不良地质条件为淤泥</w:t>
      </w:r>
      <w:r>
        <w:rPr>
          <w:rFonts w:hint="eastAsia"/>
          <w:sz w:val="24"/>
          <w:szCs w:val="24"/>
        </w:rPr>
        <w:t>夹砂</w:t>
      </w:r>
      <w:r>
        <w:rPr>
          <w:rFonts w:hint="eastAsia"/>
          <w:sz w:val="24"/>
          <w:szCs w:val="24"/>
        </w:rPr>
        <w:t>。为了减小工后沉降量，保证基底稳定，解决结构物处沉降变形等病害，设计采用水泥搅拌桩对软土地基进行处理，</w:t>
      </w:r>
      <w:r>
        <w:rPr>
          <w:rFonts w:hint="eastAsia"/>
          <w:sz w:val="24"/>
          <w:szCs w:val="24"/>
        </w:rPr>
        <w:t>水泥搅拌</w:t>
      </w:r>
      <w:r>
        <w:rPr>
          <w:rFonts w:hint="eastAsia"/>
          <w:sz w:val="24"/>
          <w:szCs w:val="24"/>
        </w:rPr>
        <w:t>桩桩径为</w:t>
      </w:r>
      <w:r>
        <w:rPr>
          <w:rFonts w:hint="eastAsia"/>
          <w:sz w:val="24"/>
          <w:szCs w:val="24"/>
        </w:rPr>
        <w:t>500mm</w:t>
      </w:r>
      <w:r>
        <w:rPr>
          <w:rFonts w:hint="eastAsia"/>
          <w:sz w:val="24"/>
          <w:szCs w:val="24"/>
        </w:rPr>
        <w:t>，桩距</w:t>
      </w:r>
      <w:r>
        <w:rPr>
          <w:sz w:val="24"/>
          <w:szCs w:val="24"/>
        </w:rPr>
        <w:t>1.</w:t>
      </w:r>
      <w:r>
        <w:rPr>
          <w:rFonts w:hint="eastAsia"/>
          <w:sz w:val="24"/>
          <w:szCs w:val="24"/>
        </w:rPr>
        <w:t>0</w:t>
      </w:r>
      <w:r>
        <w:rPr>
          <w:sz w:val="24"/>
          <w:szCs w:val="24"/>
        </w:rPr>
        <w:t>m</w:t>
      </w:r>
      <w:r>
        <w:rPr>
          <w:rFonts w:hint="eastAsia"/>
          <w:sz w:val="24"/>
          <w:szCs w:val="24"/>
        </w:rPr>
        <w:t>×</w:t>
      </w:r>
      <w:r>
        <w:rPr>
          <w:sz w:val="24"/>
          <w:szCs w:val="24"/>
        </w:rPr>
        <w:t>1.</w:t>
      </w:r>
      <w:r>
        <w:rPr>
          <w:rFonts w:hint="eastAsia"/>
          <w:sz w:val="24"/>
          <w:szCs w:val="24"/>
        </w:rPr>
        <w:t>0</w:t>
      </w:r>
      <w:r>
        <w:rPr>
          <w:sz w:val="24"/>
          <w:szCs w:val="24"/>
        </w:rPr>
        <w:t>m</w:t>
      </w:r>
      <w:r>
        <w:rPr>
          <w:rFonts w:hint="eastAsia"/>
          <w:sz w:val="24"/>
          <w:szCs w:val="24"/>
        </w:rPr>
        <w:t>×</w:t>
      </w:r>
      <w:r>
        <w:rPr>
          <w:rFonts w:hint="eastAsia"/>
          <w:sz w:val="24"/>
          <w:szCs w:val="24"/>
        </w:rPr>
        <w:t>1.0m</w:t>
      </w:r>
      <w:r>
        <w:rPr>
          <w:rFonts w:hint="eastAsia"/>
          <w:sz w:val="24"/>
          <w:szCs w:val="24"/>
        </w:rPr>
        <w:t>、</w:t>
      </w:r>
      <w:r>
        <w:rPr>
          <w:rFonts w:hint="eastAsia"/>
          <w:sz w:val="24"/>
          <w:szCs w:val="24"/>
        </w:rPr>
        <w:t>1.5m</w:t>
      </w:r>
      <w:r>
        <w:rPr>
          <w:rFonts w:hint="eastAsia"/>
          <w:sz w:val="24"/>
          <w:szCs w:val="24"/>
        </w:rPr>
        <w:t>×</w:t>
      </w:r>
      <w:r>
        <w:rPr>
          <w:rFonts w:hint="eastAsia"/>
          <w:sz w:val="24"/>
          <w:szCs w:val="24"/>
        </w:rPr>
        <w:t>1.5m</w:t>
      </w:r>
      <w:r>
        <w:rPr>
          <w:rFonts w:hint="eastAsia"/>
          <w:sz w:val="24"/>
          <w:szCs w:val="24"/>
        </w:rPr>
        <w:t>×</w:t>
      </w:r>
      <w:r>
        <w:rPr>
          <w:rFonts w:hint="eastAsia"/>
          <w:sz w:val="24"/>
          <w:szCs w:val="24"/>
        </w:rPr>
        <w:t>1.5m</w:t>
      </w:r>
      <w:r>
        <w:rPr>
          <w:rFonts w:hint="eastAsia"/>
          <w:sz w:val="24"/>
          <w:szCs w:val="24"/>
        </w:rPr>
        <w:t>、</w:t>
      </w:r>
      <w:r>
        <w:rPr>
          <w:rFonts w:hint="eastAsia"/>
          <w:sz w:val="24"/>
          <w:szCs w:val="24"/>
        </w:rPr>
        <w:t>2.0m</w:t>
      </w:r>
      <w:r>
        <w:rPr>
          <w:rFonts w:hint="eastAsia"/>
          <w:sz w:val="24"/>
          <w:szCs w:val="24"/>
        </w:rPr>
        <w:t>×</w:t>
      </w:r>
      <w:r>
        <w:rPr>
          <w:rFonts w:hint="eastAsia"/>
          <w:sz w:val="24"/>
          <w:szCs w:val="24"/>
        </w:rPr>
        <w:t>2.0m</w:t>
      </w:r>
      <w:r>
        <w:rPr>
          <w:rFonts w:hint="eastAsia"/>
          <w:sz w:val="24"/>
          <w:szCs w:val="24"/>
        </w:rPr>
        <w:t>×</w:t>
      </w:r>
      <w:r>
        <w:rPr>
          <w:rFonts w:hint="eastAsia"/>
          <w:sz w:val="24"/>
          <w:szCs w:val="24"/>
        </w:rPr>
        <w:t>2.0m</w:t>
      </w:r>
      <w:r>
        <w:rPr>
          <w:rFonts w:hint="eastAsia"/>
          <w:sz w:val="24"/>
          <w:szCs w:val="24"/>
        </w:rPr>
        <w:t>按等边</w:t>
      </w:r>
      <w:r>
        <w:rPr>
          <w:rFonts w:hint="eastAsia"/>
          <w:sz w:val="24"/>
          <w:szCs w:val="24"/>
        </w:rPr>
        <w:t>三角形</w:t>
      </w:r>
      <w:r>
        <w:rPr>
          <w:rFonts w:hint="eastAsia"/>
          <w:sz w:val="24"/>
          <w:szCs w:val="24"/>
        </w:rPr>
        <w:t>布置，桩身长度</w:t>
      </w:r>
      <w:r>
        <w:rPr>
          <w:rFonts w:hint="eastAsia"/>
          <w:sz w:val="24"/>
          <w:szCs w:val="24"/>
        </w:rPr>
        <w:t>按设计要求，总桩数约为</w:t>
      </w:r>
      <w:r>
        <w:rPr>
          <w:rFonts w:hint="eastAsia"/>
          <w:sz w:val="24"/>
          <w:szCs w:val="24"/>
        </w:rPr>
        <w:t>15779</w:t>
      </w:r>
      <w:r>
        <w:rPr>
          <w:rFonts w:hint="eastAsia"/>
          <w:sz w:val="24"/>
          <w:szCs w:val="24"/>
        </w:rPr>
        <w:t>根，</w:t>
      </w:r>
      <w:r>
        <w:rPr>
          <w:rFonts w:hint="eastAsia"/>
          <w:sz w:val="24"/>
          <w:szCs w:val="24"/>
        </w:rPr>
        <w:t>场地内</w:t>
      </w:r>
      <w:r>
        <w:rPr>
          <w:rFonts w:hint="eastAsia"/>
          <w:sz w:val="24"/>
          <w:szCs w:val="24"/>
        </w:rPr>
        <w:t>3-3</w:t>
      </w:r>
      <w:r>
        <w:rPr>
          <w:rFonts w:hint="eastAsia"/>
          <w:sz w:val="24"/>
          <w:szCs w:val="24"/>
        </w:rPr>
        <w:t>剖面、</w:t>
      </w:r>
      <w:r>
        <w:rPr>
          <w:rFonts w:hint="eastAsia"/>
          <w:sz w:val="24"/>
          <w:szCs w:val="24"/>
        </w:rPr>
        <w:t>6-6</w:t>
      </w:r>
      <w:r>
        <w:rPr>
          <w:rFonts w:hint="eastAsia"/>
          <w:sz w:val="24"/>
          <w:szCs w:val="24"/>
        </w:rPr>
        <w:t>剖面、</w:t>
      </w:r>
      <w:r>
        <w:rPr>
          <w:rFonts w:hint="eastAsia"/>
          <w:sz w:val="24"/>
          <w:szCs w:val="24"/>
        </w:rPr>
        <w:t>20-20</w:t>
      </w:r>
      <w:r>
        <w:rPr>
          <w:rFonts w:hint="eastAsia"/>
          <w:sz w:val="24"/>
          <w:szCs w:val="24"/>
        </w:rPr>
        <w:t>剖面上部填细砂层中局部可能含有</w:t>
      </w:r>
      <w:r>
        <w:rPr>
          <w:rFonts w:hint="eastAsia"/>
          <w:sz w:val="24"/>
          <w:szCs w:val="24"/>
        </w:rPr>
        <w:t>回</w:t>
      </w:r>
      <w:r>
        <w:rPr>
          <w:rFonts w:hint="eastAsia"/>
          <w:sz w:val="24"/>
          <w:szCs w:val="24"/>
        </w:rPr>
        <w:t>填块石，若</w:t>
      </w:r>
      <w:r>
        <w:rPr>
          <w:rFonts w:hint="eastAsia"/>
          <w:sz w:val="24"/>
          <w:szCs w:val="24"/>
        </w:rPr>
        <w:t>回</w:t>
      </w:r>
      <w:r>
        <w:rPr>
          <w:rFonts w:hint="eastAsia"/>
          <w:sz w:val="24"/>
          <w:szCs w:val="24"/>
        </w:rPr>
        <w:t>填块石仅在表层</w:t>
      </w:r>
      <w:r>
        <w:rPr>
          <w:rFonts w:hint="eastAsia"/>
          <w:sz w:val="24"/>
          <w:szCs w:val="24"/>
        </w:rPr>
        <w:t>1m</w:t>
      </w:r>
      <w:r>
        <w:rPr>
          <w:rFonts w:hint="eastAsia"/>
          <w:sz w:val="24"/>
          <w:szCs w:val="24"/>
        </w:rPr>
        <w:t>之内出露，场地</w:t>
      </w:r>
      <w:r>
        <w:rPr>
          <w:rFonts w:hint="eastAsia"/>
          <w:sz w:val="24"/>
          <w:szCs w:val="24"/>
        </w:rPr>
        <w:t>回</w:t>
      </w:r>
      <w:r>
        <w:rPr>
          <w:rFonts w:hint="eastAsia"/>
          <w:sz w:val="24"/>
          <w:szCs w:val="24"/>
        </w:rPr>
        <w:t>填前应先挖除；若</w:t>
      </w:r>
      <w:r>
        <w:rPr>
          <w:rFonts w:hint="eastAsia"/>
          <w:sz w:val="24"/>
          <w:szCs w:val="24"/>
        </w:rPr>
        <w:t>回</w:t>
      </w:r>
      <w:r>
        <w:rPr>
          <w:rFonts w:hint="eastAsia"/>
          <w:sz w:val="24"/>
          <w:szCs w:val="24"/>
        </w:rPr>
        <w:t>填块石较厚，水泥搅拌桩无法施工，局部改用高压旋喷桩。高压旋喷桩∅</w:t>
      </w:r>
      <w:r>
        <w:rPr>
          <w:rFonts w:hint="eastAsia"/>
          <w:sz w:val="24"/>
          <w:szCs w:val="24"/>
        </w:rPr>
        <w:t>600@1800(</w:t>
      </w:r>
      <w:r>
        <w:rPr>
          <w:rFonts w:hint="eastAsia"/>
          <w:sz w:val="24"/>
          <w:szCs w:val="24"/>
        </w:rPr>
        <w:t>交界位置</w:t>
      </w:r>
      <w:r>
        <w:rPr>
          <w:rFonts w:hint="eastAsia"/>
          <w:sz w:val="24"/>
          <w:szCs w:val="24"/>
        </w:rPr>
        <w:t>@</w:t>
      </w:r>
      <w:r>
        <w:rPr>
          <w:rFonts w:hint="eastAsia"/>
          <w:sz w:val="24"/>
          <w:szCs w:val="24"/>
        </w:rPr>
        <w:t>1200)</w:t>
      </w:r>
      <w:r>
        <w:rPr>
          <w:rFonts w:hint="eastAsia"/>
          <w:sz w:val="24"/>
          <w:szCs w:val="24"/>
        </w:rPr>
        <w:t>，正三角形布置。本次地基处理范围主要为场地内的消防道路、行车道路、茉莉花广场、室外与主体结构交界位置</w:t>
      </w:r>
      <w:r>
        <w:rPr>
          <w:rFonts w:hint="eastAsia"/>
          <w:sz w:val="24"/>
          <w:szCs w:val="24"/>
        </w:rPr>
        <w:t>及主干道与停车场交界位置</w:t>
      </w:r>
      <w:r>
        <w:rPr>
          <w:rFonts w:hint="eastAsia"/>
          <w:sz w:val="24"/>
          <w:szCs w:val="24"/>
        </w:rPr>
        <w:t>。总处理面积约</w:t>
      </w:r>
      <w:r>
        <w:rPr>
          <w:rFonts w:hint="eastAsia"/>
          <w:sz w:val="24"/>
          <w:szCs w:val="24"/>
        </w:rPr>
        <w:t>39400</w:t>
      </w:r>
      <w:r>
        <w:rPr>
          <w:rFonts w:hint="eastAsia"/>
          <w:sz w:val="24"/>
          <w:szCs w:val="24"/>
        </w:rPr>
        <w:t>㎡</w:t>
      </w:r>
      <w:r>
        <w:rPr>
          <w:rFonts w:hint="eastAsia"/>
          <w:sz w:val="24"/>
          <w:szCs w:val="24"/>
        </w:rPr>
        <w:t>。</w:t>
      </w:r>
    </w:p>
    <w:p w:rsidR="00B37071">
      <w:pPr>
        <w:pStyle w:val="Normal0"/>
        <w:spacing w:line="360" w:lineRule="auto"/>
        <w:ind w:firstLine="480" w:firstLineChars="200"/>
        <w:jc w:val="center"/>
        <w:rPr>
          <w:b/>
          <w:bCs/>
          <w:sz w:val="24"/>
          <w:szCs w:val="24"/>
        </w:rPr>
        <w:sectPr>
          <w:type w:val="nextPage"/>
          <w:pgSz w:w="11907" w:h="16840"/>
          <w:pgMar w:top="1418" w:right="1123" w:bottom="1418" w:left="1418" w:header="851" w:footer="851" w:gutter="0"/>
          <w:pgNumType w:fmt="numberInDash" w:start="1"/>
          <w:cols w:space="708"/>
          <w:titlePg w:val="0"/>
          <w:docGrid w:linePitch="312"/>
        </w:sectPr>
      </w:pPr>
      <w:r>
        <w:rPr>
          <w:rFonts w:hint="eastAsia"/>
          <w:b/>
          <w:bCs/>
          <w:sz w:val="24"/>
          <w:szCs w:val="24"/>
        </w:rPr>
        <w:t xml:space="preserve">                       </w:t>
      </w:r>
      <w:r>
        <w:rPr>
          <w:rFonts w:hint="eastAsia"/>
          <w:b/>
          <w:bCs/>
          <w:sz w:val="24"/>
          <w:szCs w:val="24"/>
        </w:rPr>
        <w:t>主要施工内容</w:t>
      </w:r>
      <w:r>
        <w:rPr>
          <w:rFonts w:hint="eastAsia"/>
          <w:b/>
          <w:bCs/>
          <w:sz w:val="24"/>
          <w:szCs w:val="24"/>
        </w:rPr>
        <w:t xml:space="preserve">                         </w:t>
      </w:r>
      <w:r>
        <w:rPr>
          <w:rFonts w:hint="eastAsia"/>
          <w:sz w:val="24"/>
          <w:szCs w:val="24"/>
        </w:rPr>
        <w:t>表</w:t>
      </w:r>
      <w:r>
        <w:rPr>
          <w:rFonts w:hint="eastAsia"/>
          <w:sz w:val="24"/>
          <w:szCs w:val="24"/>
        </w:rPr>
        <w:t>2.3-1</w:t>
      </w:r>
    </w:p>
    <w:tbl>
      <w:tblPr>
        <w:tblStyle w:val="TableNormal"/>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000"/>
      </w:tblPr>
      <w:tblGrid>
        <w:gridCol w:w="1314"/>
        <w:gridCol w:w="1680"/>
        <w:gridCol w:w="1530"/>
        <w:gridCol w:w="2051"/>
        <w:gridCol w:w="992"/>
        <w:gridCol w:w="1973"/>
      </w:tblGrid>
      <w:tr>
        <w:tblPrEx>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000"/>
        </w:tblPrEx>
        <w:trPr>
          <w:trHeight w:val="1009"/>
          <w:jc w:val="center"/>
        </w:trPr>
        <w:tc>
          <w:tcPr>
            <w:tcW w:w="1314" w:type="dxa"/>
            <w:tcBorders>
              <w:top w:val="thinThickSmallGap" w:sz="24" w:space="0" w:color="auto"/>
              <w:bottom w:val="single" w:sz="6" w:space="0" w:color="auto"/>
            </w:tcBorders>
            <w:shd w:val="clear" w:color="auto" w:fill="00FFFF"/>
            <w:vAlign w:val="center"/>
          </w:tcPr>
          <w:p w:rsidR="00B37071">
            <w:pPr>
              <w:pStyle w:val="Normal0"/>
              <w:jc w:val="center"/>
              <w:rPr>
                <w:rFonts w:ascii="宋体" w:hAnsi="宋体"/>
                <w:color w:val="000000"/>
                <w:sz w:val="21"/>
                <w:szCs w:val="21"/>
              </w:rPr>
            </w:pPr>
            <w:r>
              <w:rPr>
                <w:rFonts w:ascii="宋体" w:hAnsi="宋体"/>
                <w:color w:val="000000"/>
                <w:sz w:val="21"/>
                <w:szCs w:val="21"/>
              </w:rPr>
              <w:t>序号</w:t>
            </w:r>
          </w:p>
        </w:tc>
        <w:tc>
          <w:tcPr>
            <w:tcW w:w="1680" w:type="dxa"/>
            <w:tcBorders>
              <w:top w:val="thinThickSmallGap" w:sz="24" w:space="0" w:color="auto"/>
              <w:bottom w:val="single" w:sz="6" w:space="0" w:color="auto"/>
            </w:tcBorders>
            <w:shd w:val="clear" w:color="auto" w:fill="00FFFF"/>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项目</w:t>
            </w:r>
          </w:p>
        </w:tc>
        <w:tc>
          <w:tcPr>
            <w:tcW w:w="1530" w:type="dxa"/>
            <w:tcBorders>
              <w:top w:val="thinThickSmallGap" w:sz="24" w:space="0" w:color="auto"/>
              <w:bottom w:val="single" w:sz="6" w:space="0" w:color="auto"/>
            </w:tcBorders>
            <w:shd w:val="clear" w:color="auto" w:fill="00FFFF"/>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总桩数</w:t>
            </w:r>
          </w:p>
        </w:tc>
        <w:tc>
          <w:tcPr>
            <w:tcW w:w="2051" w:type="dxa"/>
            <w:tcBorders>
              <w:top w:val="thinThickSmallGap" w:sz="24" w:space="0" w:color="auto"/>
              <w:bottom w:val="single" w:sz="6" w:space="0" w:color="auto"/>
            </w:tcBorders>
            <w:shd w:val="clear" w:color="auto" w:fill="00FFFF"/>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水泥用量</w:t>
            </w:r>
          </w:p>
        </w:tc>
        <w:tc>
          <w:tcPr>
            <w:tcW w:w="992" w:type="dxa"/>
            <w:tcBorders>
              <w:top w:val="thinThickSmallGap" w:sz="24" w:space="0" w:color="auto"/>
              <w:bottom w:val="single" w:sz="6" w:space="0" w:color="auto"/>
              <w:right w:val="single" w:sz="4" w:space="0" w:color="auto"/>
            </w:tcBorders>
            <w:shd w:val="clear" w:color="auto" w:fill="00FFFF"/>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施工</w:t>
            </w:r>
          </w:p>
          <w:p w:rsidR="00B37071">
            <w:pPr>
              <w:pStyle w:val="Normal0"/>
              <w:jc w:val="center"/>
              <w:rPr>
                <w:rFonts w:ascii="宋体" w:hAnsi="宋体"/>
                <w:color w:val="000000"/>
                <w:sz w:val="21"/>
                <w:szCs w:val="21"/>
              </w:rPr>
            </w:pPr>
            <w:r>
              <w:rPr>
                <w:rFonts w:ascii="宋体" w:hAnsi="宋体" w:hint="eastAsia"/>
                <w:color w:val="000000"/>
                <w:sz w:val="21"/>
                <w:szCs w:val="21"/>
              </w:rPr>
              <w:t>桩长</w:t>
            </w:r>
          </w:p>
        </w:tc>
        <w:tc>
          <w:tcPr>
            <w:tcW w:w="1973" w:type="dxa"/>
            <w:tcBorders>
              <w:top w:val="thinThickSmallGap" w:sz="24" w:space="0" w:color="auto"/>
              <w:left w:val="single" w:sz="4" w:space="0" w:color="auto"/>
              <w:bottom w:val="single" w:sz="6" w:space="0" w:color="auto"/>
            </w:tcBorders>
            <w:shd w:val="clear" w:color="auto" w:fill="00FFFF"/>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提升（下沉）速度</w:t>
            </w:r>
          </w:p>
        </w:tc>
      </w:tr>
      <w:tr>
        <w:tblPrEx>
          <w:tblW w:w="0" w:type="auto"/>
          <w:jc w:val="center"/>
          <w:tblLayout w:type="fixed"/>
          <w:tblLook w:val="0000"/>
        </w:tblPrEx>
        <w:trPr>
          <w:trHeight w:val="1289"/>
          <w:jc w:val="center"/>
        </w:trPr>
        <w:tc>
          <w:tcPr>
            <w:tcW w:w="1314" w:type="dxa"/>
            <w:tcBorders>
              <w:top w:val="single" w:sz="6" w:space="0" w:color="auto"/>
              <w:bottom w:val="single" w:sz="6" w:space="0" w:color="auto"/>
            </w:tcBorders>
            <w:vAlign w:val="center"/>
          </w:tcPr>
          <w:p w:rsidR="00B37071">
            <w:pPr>
              <w:pStyle w:val="Normal0"/>
              <w:overflowPunct w:val="0"/>
              <w:topLinePunct/>
              <w:jc w:val="center"/>
              <w:rPr>
                <w:rFonts w:ascii="宋体" w:hAnsi="宋体"/>
                <w:color w:val="000000"/>
                <w:sz w:val="21"/>
                <w:szCs w:val="21"/>
              </w:rPr>
            </w:pPr>
            <w:r>
              <w:rPr>
                <w:rFonts w:ascii="宋体" w:hAnsi="宋体" w:hint="eastAsia"/>
                <w:color w:val="000000"/>
                <w:sz w:val="21"/>
                <w:szCs w:val="21"/>
              </w:rPr>
              <w:t>1</w:t>
            </w:r>
          </w:p>
        </w:tc>
        <w:tc>
          <w:tcPr>
            <w:tcW w:w="1680" w:type="dxa"/>
            <w:tcBorders>
              <w:top w:val="single" w:sz="6" w:space="0" w:color="auto"/>
              <w:bottom w:val="single" w:sz="6" w:space="0" w:color="auto"/>
            </w:tcBorders>
            <w:vAlign w:val="center"/>
          </w:tcPr>
          <w:p w:rsidR="00B37071">
            <w:pPr>
              <w:pStyle w:val="Normal0"/>
              <w:overflowPunct w:val="0"/>
              <w:topLinePunct/>
              <w:jc w:val="center"/>
              <w:rPr>
                <w:rFonts w:ascii="宋体" w:hAnsi="宋体"/>
                <w:color w:val="000000"/>
                <w:sz w:val="21"/>
                <w:szCs w:val="21"/>
              </w:rPr>
            </w:pPr>
            <w:r>
              <w:rPr>
                <w:rFonts w:ascii="宋体" w:hAnsi="宋体" w:hint="eastAsia"/>
                <w:color w:val="000000"/>
                <w:sz w:val="21"/>
                <w:szCs w:val="21"/>
              </w:rPr>
              <w:t>水泥搅拌桩</w:t>
            </w:r>
          </w:p>
        </w:tc>
        <w:tc>
          <w:tcPr>
            <w:tcW w:w="1530" w:type="dxa"/>
            <w:tcBorders>
              <w:top w:val="single" w:sz="6" w:space="0" w:color="auto"/>
              <w:bottom w:val="single" w:sz="6" w:space="0" w:color="auto"/>
            </w:tcBorders>
            <w:vAlign w:val="center"/>
          </w:tcPr>
          <w:p w:rsidR="00B37071">
            <w:pPr>
              <w:pStyle w:val="Normal0"/>
              <w:overflowPunct w:val="0"/>
              <w:topLinePunct/>
              <w:jc w:val="center"/>
              <w:rPr>
                <w:rFonts w:ascii="宋体" w:hAnsi="宋体"/>
                <w:color w:val="000000"/>
                <w:sz w:val="21"/>
                <w:szCs w:val="21"/>
                <w:vertAlign w:val="superscript"/>
              </w:rPr>
            </w:pPr>
            <w:r>
              <w:rPr>
                <w:rFonts w:ascii="宋体" w:hAnsi="宋体" w:hint="eastAsia"/>
                <w:color w:val="000000"/>
                <w:sz w:val="21"/>
                <w:szCs w:val="21"/>
              </w:rPr>
              <w:t>约</w:t>
            </w:r>
            <w:r>
              <w:rPr>
                <w:rFonts w:ascii="宋体" w:hAnsi="宋体" w:hint="eastAsia"/>
                <w:color w:val="000000"/>
                <w:sz w:val="21"/>
                <w:szCs w:val="21"/>
              </w:rPr>
              <w:t>15779</w:t>
            </w:r>
            <w:r>
              <w:rPr>
                <w:rFonts w:ascii="宋体" w:hAnsi="宋体" w:hint="eastAsia"/>
                <w:color w:val="000000"/>
                <w:sz w:val="21"/>
                <w:szCs w:val="21"/>
              </w:rPr>
              <w:t>根</w:t>
            </w:r>
          </w:p>
        </w:tc>
        <w:tc>
          <w:tcPr>
            <w:tcW w:w="2051" w:type="dxa"/>
            <w:tcBorders>
              <w:top w:val="single" w:sz="6" w:space="0" w:color="auto"/>
              <w:bottom w:val="single" w:sz="6" w:space="0" w:color="auto"/>
            </w:tcBorders>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水泥掺量为</w:t>
            </w:r>
            <w:r>
              <w:rPr>
                <w:rFonts w:ascii="宋体" w:hAnsi="宋体" w:hint="eastAsia"/>
                <w:color w:val="000000"/>
                <w:sz w:val="21"/>
                <w:szCs w:val="21"/>
              </w:rPr>
              <w:t>20</w:t>
            </w:r>
            <w:r>
              <w:rPr>
                <w:rFonts w:ascii="宋体" w:hAnsi="宋体" w:hint="eastAsia"/>
                <w:color w:val="000000"/>
                <w:sz w:val="21"/>
                <w:szCs w:val="21"/>
              </w:rPr>
              <w:t>%</w:t>
            </w:r>
          </w:p>
        </w:tc>
        <w:tc>
          <w:tcPr>
            <w:tcW w:w="992" w:type="dxa"/>
            <w:tcBorders>
              <w:top w:val="single" w:sz="6" w:space="0" w:color="auto"/>
              <w:right w:val="single" w:sz="4" w:space="0" w:color="auto"/>
            </w:tcBorders>
            <w:vAlign w:val="center"/>
          </w:tcPr>
          <w:p w:rsidR="00B37071">
            <w:pPr>
              <w:pStyle w:val="Normal0"/>
              <w:jc w:val="center"/>
              <w:rPr>
                <w:rFonts w:ascii="宋体" w:hAnsi="宋体"/>
                <w:color w:val="000000"/>
                <w:sz w:val="21"/>
                <w:szCs w:val="21"/>
              </w:rPr>
            </w:pPr>
            <w:r>
              <w:rPr>
                <w:rFonts w:ascii="宋体" w:hAnsi="宋体" w:hint="eastAsia"/>
                <w:color w:val="000000"/>
                <w:sz w:val="21"/>
                <w:szCs w:val="21"/>
              </w:rPr>
              <w:t>约</w:t>
            </w:r>
            <w:r>
              <w:rPr>
                <w:rFonts w:ascii="宋体" w:hAnsi="宋体" w:hint="eastAsia"/>
                <w:color w:val="000000"/>
                <w:sz w:val="21"/>
                <w:szCs w:val="21"/>
              </w:rPr>
              <w:t>9</w:t>
            </w:r>
          </w:p>
          <w:p w:rsidR="00B37071">
            <w:pPr>
              <w:pStyle w:val="Normal0"/>
              <w:jc w:val="center"/>
              <w:rPr>
                <w:rFonts w:ascii="宋体" w:hAnsi="宋体"/>
                <w:color w:val="000000"/>
                <w:sz w:val="21"/>
                <w:szCs w:val="21"/>
              </w:rPr>
            </w:pPr>
            <w:r>
              <w:rPr>
                <w:rFonts w:ascii="宋体" w:hAnsi="宋体" w:hint="eastAsia"/>
                <w:color w:val="000000"/>
                <w:sz w:val="21"/>
                <w:szCs w:val="21"/>
              </w:rPr>
              <w:t>～</w:t>
            </w:r>
            <w:r>
              <w:rPr>
                <w:rFonts w:ascii="宋体" w:hAnsi="宋体" w:hint="eastAsia"/>
                <w:color w:val="000000"/>
                <w:sz w:val="21"/>
                <w:szCs w:val="21"/>
              </w:rPr>
              <w:t>1</w:t>
            </w:r>
            <w:r>
              <w:rPr>
                <w:rFonts w:ascii="宋体" w:hAnsi="宋体" w:hint="eastAsia"/>
                <w:color w:val="000000"/>
                <w:sz w:val="21"/>
                <w:szCs w:val="21"/>
              </w:rPr>
              <w:t>5</w:t>
            </w:r>
            <w:r>
              <w:rPr>
                <w:rFonts w:ascii="宋体" w:hAnsi="宋体" w:hint="eastAsia"/>
                <w:color w:val="000000"/>
                <w:sz w:val="21"/>
                <w:szCs w:val="21"/>
              </w:rPr>
              <w:t>m</w:t>
            </w:r>
          </w:p>
        </w:tc>
        <w:tc>
          <w:tcPr>
            <w:tcW w:w="1973" w:type="dxa"/>
            <w:tcBorders>
              <w:top w:val="single" w:sz="6" w:space="0" w:color="auto"/>
              <w:left w:val="single" w:sz="4" w:space="0" w:color="auto"/>
              <w:bottom w:val="single" w:sz="4" w:space="0" w:color="auto"/>
            </w:tcBorders>
            <w:vAlign w:val="center"/>
          </w:tcPr>
          <w:p w:rsidR="00B37071">
            <w:pPr>
              <w:pStyle w:val="Normal0"/>
              <w:rPr>
                <w:rFonts w:ascii="宋体" w:hAnsi="宋体"/>
                <w:color w:val="000000"/>
                <w:sz w:val="18"/>
                <w:szCs w:val="18"/>
              </w:rPr>
            </w:pPr>
            <w:r>
              <w:rPr>
                <w:rFonts w:ascii="宋体" w:hAnsi="宋体" w:hint="eastAsia"/>
                <w:color w:val="000000"/>
                <w:sz w:val="18"/>
                <w:szCs w:val="18"/>
              </w:rPr>
              <w:t>提升</w:t>
            </w:r>
            <w:r>
              <w:rPr>
                <w:rFonts w:ascii="宋体" w:hAnsi="宋体" w:hint="eastAsia"/>
                <w:color w:val="000000"/>
                <w:sz w:val="18"/>
                <w:szCs w:val="18"/>
              </w:rPr>
              <w:t>0.</w:t>
            </w:r>
            <w:r>
              <w:rPr>
                <w:rFonts w:ascii="宋体" w:hAnsi="宋体" w:hint="eastAsia"/>
                <w:color w:val="000000"/>
                <w:sz w:val="18"/>
                <w:szCs w:val="18"/>
              </w:rPr>
              <w:t>6</w:t>
            </w:r>
            <w:r>
              <w:rPr>
                <w:rFonts w:ascii="宋体" w:hAnsi="宋体" w:hint="eastAsia"/>
                <w:color w:val="000000"/>
                <w:sz w:val="18"/>
                <w:szCs w:val="18"/>
              </w:rPr>
              <w:t>m/min</w:t>
            </w:r>
          </w:p>
          <w:p w:rsidR="00B37071">
            <w:pPr>
              <w:pStyle w:val="Normal0"/>
              <w:rPr>
                <w:rFonts w:ascii="宋体" w:hAnsi="宋体"/>
                <w:color w:val="000000"/>
                <w:sz w:val="18"/>
                <w:szCs w:val="18"/>
              </w:rPr>
            </w:pPr>
            <w:r>
              <w:rPr>
                <w:rFonts w:ascii="宋体" w:hAnsi="宋体" w:hint="eastAsia"/>
                <w:color w:val="000000"/>
                <w:sz w:val="18"/>
                <w:szCs w:val="18"/>
              </w:rPr>
              <w:t>下沉</w:t>
            </w:r>
            <w:r>
              <w:rPr>
                <w:rFonts w:ascii="宋体" w:hAnsi="宋体" w:hint="eastAsia"/>
                <w:color w:val="000000"/>
                <w:sz w:val="18"/>
                <w:szCs w:val="18"/>
              </w:rPr>
              <w:t>0.6</w:t>
            </w:r>
            <w:r>
              <w:rPr>
                <w:rFonts w:ascii="宋体" w:hAnsi="宋体" w:hint="eastAsia"/>
                <w:color w:val="000000"/>
                <w:sz w:val="18"/>
                <w:szCs w:val="18"/>
              </w:rPr>
              <w:t>m/min</w:t>
            </w:r>
          </w:p>
        </w:tc>
      </w:tr>
      <w:tr>
        <w:tblPrEx>
          <w:tblW w:w="0" w:type="auto"/>
          <w:jc w:val="center"/>
          <w:tblLayout w:type="fixed"/>
          <w:tblLook w:val="0000"/>
        </w:tblPrEx>
        <w:trPr>
          <w:trHeight w:val="966"/>
          <w:jc w:val="center"/>
        </w:trPr>
        <w:tc>
          <w:tcPr>
            <w:tcW w:w="9540" w:type="dxa"/>
            <w:gridSpan w:val="6"/>
            <w:tcBorders>
              <w:top w:val="single" w:sz="6" w:space="0" w:color="auto"/>
            </w:tcBorders>
            <w:vAlign w:val="center"/>
          </w:tcPr>
          <w:p w:rsidR="00B37071">
            <w:pPr>
              <w:pStyle w:val="Normal0"/>
              <w:ind w:firstLine="105" w:firstLineChars="50"/>
              <w:rPr>
                <w:rFonts w:ascii="宋体" w:hAnsi="宋体"/>
                <w:color w:val="000000"/>
                <w:sz w:val="21"/>
                <w:szCs w:val="21"/>
              </w:rPr>
            </w:pPr>
            <w:r>
              <w:rPr>
                <w:rFonts w:ascii="宋体" w:hAnsi="宋体" w:hint="eastAsia"/>
                <w:color w:val="000000"/>
                <w:sz w:val="21"/>
                <w:szCs w:val="21"/>
              </w:rPr>
              <w:t>备注：</w:t>
            </w:r>
            <w:r>
              <w:rPr>
                <w:rFonts w:hint="eastAsia"/>
                <w:sz w:val="21"/>
                <w:szCs w:val="21"/>
              </w:rPr>
              <w:t>若</w:t>
            </w:r>
            <w:r>
              <w:rPr>
                <w:rFonts w:hint="eastAsia"/>
                <w:sz w:val="21"/>
                <w:szCs w:val="21"/>
              </w:rPr>
              <w:t>回</w:t>
            </w:r>
            <w:r>
              <w:rPr>
                <w:rFonts w:hint="eastAsia"/>
                <w:sz w:val="21"/>
                <w:szCs w:val="21"/>
              </w:rPr>
              <w:t>填块石</w:t>
            </w:r>
            <w:r>
              <w:rPr>
                <w:rFonts w:hint="eastAsia"/>
                <w:sz w:val="21"/>
                <w:szCs w:val="21"/>
              </w:rPr>
              <w:t>层</w:t>
            </w:r>
            <w:r>
              <w:rPr>
                <w:rFonts w:hint="eastAsia"/>
                <w:sz w:val="21"/>
                <w:szCs w:val="21"/>
              </w:rPr>
              <w:t>较厚，水泥搅拌桩无法施工，改用高压旋喷桩。高压旋喷桩∅</w:t>
            </w:r>
            <w:r>
              <w:rPr>
                <w:rFonts w:hint="eastAsia"/>
                <w:sz w:val="21"/>
                <w:szCs w:val="21"/>
              </w:rPr>
              <w:t>600@1800(</w:t>
            </w:r>
            <w:r>
              <w:rPr>
                <w:rFonts w:hint="eastAsia"/>
                <w:sz w:val="21"/>
                <w:szCs w:val="21"/>
              </w:rPr>
              <w:t>交界位置</w:t>
            </w:r>
            <w:r>
              <w:rPr>
                <w:rFonts w:hint="eastAsia"/>
                <w:sz w:val="21"/>
                <w:szCs w:val="21"/>
              </w:rPr>
              <w:t>@1200)</w:t>
            </w:r>
            <w:r>
              <w:rPr>
                <w:rFonts w:hint="eastAsia"/>
                <w:sz w:val="21"/>
                <w:szCs w:val="21"/>
              </w:rPr>
              <w:t>，正三角形布置</w:t>
            </w:r>
            <w:r>
              <w:rPr>
                <w:rFonts w:hint="eastAsia"/>
                <w:sz w:val="21"/>
                <w:szCs w:val="21"/>
              </w:rPr>
              <w:t>。</w:t>
            </w:r>
          </w:p>
        </w:tc>
      </w:tr>
    </w:tbl>
    <w:p w:rsidR="00B37071">
      <w:pPr>
        <w:pStyle w:val="Normal0"/>
        <w:spacing w:line="360" w:lineRule="auto"/>
        <w:outlineLvl w:val="1"/>
        <w:rPr>
          <w:rFonts w:ascii="宋体" w:hAnsi="宋体"/>
          <w:sz w:val="24"/>
          <w:szCs w:val="24"/>
        </w:rPr>
      </w:pPr>
      <w:bookmarkStart w:id="19" w:name="_Toc153760091"/>
      <w:bookmarkStart w:id="20" w:name="_Toc171557198"/>
      <w:bookmarkStart w:id="21" w:name="_Toc172503516"/>
      <w:bookmarkStart w:id="22" w:name="_Toc248473397"/>
      <w:bookmarkStart w:id="23" w:name="_Toc360632719"/>
      <w:bookmarkStart w:id="24" w:name="_Toc166139690"/>
      <w:bookmarkStart w:id="25" w:name="_Toc166143243"/>
      <w:bookmarkStart w:id="26" w:name="_Toc166143333"/>
      <w:bookmarkStart w:id="27" w:name="_Toc166143423"/>
      <w:bookmarkStart w:id="28" w:name="_Toc167112937"/>
      <w:bookmarkStart w:id="29" w:name="_Toc297905481"/>
      <w:r>
        <w:rPr>
          <w:rFonts w:ascii="宋体" w:hAnsi="宋体" w:hint="eastAsia"/>
          <w:sz w:val="24"/>
          <w:szCs w:val="24"/>
        </w:rPr>
        <w:t>2.4</w:t>
      </w:r>
      <w:r>
        <w:rPr>
          <w:rFonts w:ascii="宋体" w:hAnsi="宋体" w:hint="eastAsia"/>
          <w:sz w:val="24"/>
          <w:szCs w:val="24"/>
        </w:rPr>
        <w:t>场地岩土工程地质条件</w:t>
      </w:r>
      <w:bookmarkEnd w:id="19"/>
      <w:bookmarkEnd w:id="20"/>
      <w:bookmarkEnd w:id="21"/>
      <w:bookmarkEnd w:id="22"/>
      <w:bookmarkEnd w:id="23"/>
    </w:p>
    <w:p w:rsidR="00B37071">
      <w:pPr>
        <w:pStyle w:val="Normal0"/>
        <w:spacing w:before="50" w:line="360" w:lineRule="auto"/>
        <w:outlineLvl w:val="2"/>
        <w:rPr>
          <w:rFonts w:ascii="宋体" w:hAnsi="宋体"/>
          <w:bCs/>
          <w:sz w:val="24"/>
        </w:rPr>
      </w:pPr>
      <w:bookmarkStart w:id="30" w:name="_Toc171557199"/>
      <w:bookmarkStart w:id="31" w:name="_Toc172503517"/>
      <w:r>
        <w:rPr>
          <w:rFonts w:ascii="宋体" w:hAnsi="宋体" w:hint="eastAsia"/>
          <w:bCs/>
          <w:sz w:val="24"/>
        </w:rPr>
        <w:t>2</w:t>
      </w:r>
      <w:r>
        <w:rPr>
          <w:rFonts w:ascii="宋体" w:hAnsi="宋体" w:hint="eastAsia"/>
          <w:sz w:val="24"/>
          <w:szCs w:val="24"/>
        </w:rPr>
        <w:t>.4.1</w:t>
      </w:r>
      <w:r>
        <w:rPr>
          <w:rFonts w:ascii="宋体" w:hAnsi="宋体" w:hint="eastAsia"/>
          <w:sz w:val="24"/>
          <w:szCs w:val="24"/>
        </w:rPr>
        <w:t>场地地形地貌</w:t>
      </w:r>
      <w:bookmarkEnd w:id="30"/>
      <w:bookmarkEnd w:id="31"/>
    </w:p>
    <w:p w:rsidR="00B37071">
      <w:pPr>
        <w:pStyle w:val="Normal0"/>
        <w:spacing w:before="50" w:line="360" w:lineRule="auto"/>
        <w:ind w:firstLine="480" w:firstLineChars="200"/>
        <w:outlineLvl w:val="2"/>
        <w:rPr>
          <w:rFonts w:ascii="宋体" w:hAnsi="宋体"/>
          <w:sz w:val="24"/>
        </w:rPr>
      </w:pPr>
      <w:bookmarkStart w:id="32" w:name="_Toc171557200"/>
      <w:bookmarkStart w:id="33" w:name="_Toc172503518"/>
      <w:r>
        <w:rPr>
          <w:rFonts w:ascii="宋体" w:hAnsi="宋体" w:hint="eastAsia"/>
          <w:sz w:val="24"/>
        </w:rPr>
        <w:t>拟建场地位于福州市仓山区城门镇下洋村与梁厝村交界处，用地范围分属下洋村和梁厝村辖地，现场地东侧为规划拟建的海峡文化艺术中心沿江花瓣景观工程，且临近闽江；</w:t>
      </w:r>
      <w:r>
        <w:rPr>
          <w:rFonts w:ascii="宋体" w:hAnsi="宋体" w:hint="eastAsia"/>
          <w:sz w:val="24"/>
        </w:rPr>
        <w:t>原</w:t>
      </w:r>
      <w:r>
        <w:rPr>
          <w:rFonts w:ascii="宋体" w:hAnsi="宋体" w:hint="eastAsia"/>
          <w:sz w:val="24"/>
        </w:rPr>
        <w:t>场地北、西侧及中部为鱼塘、原梁厝河</w:t>
      </w:r>
      <w:r>
        <w:rPr>
          <w:rFonts w:ascii="宋体" w:hAnsi="宋体" w:hint="eastAsia"/>
          <w:sz w:val="24"/>
        </w:rPr>
        <w:t>、原梁厝河河堤</w:t>
      </w:r>
      <w:r>
        <w:rPr>
          <w:rFonts w:ascii="宋体" w:hAnsi="宋体" w:hint="eastAsia"/>
          <w:sz w:val="24"/>
        </w:rPr>
        <w:t>及菜地</w:t>
      </w:r>
      <w:r>
        <w:rPr>
          <w:rFonts w:ascii="宋体" w:hAnsi="宋体" w:hint="eastAsia"/>
          <w:sz w:val="24"/>
        </w:rPr>
        <w:t>。</w:t>
      </w:r>
    </w:p>
    <w:p w:rsidR="00B37071">
      <w:pPr>
        <w:pStyle w:val="Normal0"/>
        <w:spacing w:before="50" w:line="360" w:lineRule="auto"/>
        <w:outlineLvl w:val="2"/>
        <w:rPr>
          <w:rFonts w:ascii="宋体" w:hAnsi="宋体"/>
          <w:sz w:val="24"/>
          <w:szCs w:val="24"/>
        </w:rPr>
      </w:pPr>
      <w:r>
        <w:rPr>
          <w:rFonts w:ascii="宋体" w:hAnsi="宋体" w:hint="eastAsia"/>
          <w:sz w:val="24"/>
          <w:szCs w:val="24"/>
        </w:rPr>
        <w:t>2.4.2</w:t>
      </w:r>
      <w:r>
        <w:rPr>
          <w:rFonts w:ascii="宋体" w:hAnsi="宋体" w:hint="eastAsia"/>
          <w:sz w:val="24"/>
          <w:szCs w:val="24"/>
        </w:rPr>
        <w:t>场地岩土层岩性及分布情况</w:t>
      </w:r>
      <w:bookmarkEnd w:id="32"/>
      <w:bookmarkEnd w:id="33"/>
    </w:p>
    <w:p w:rsidR="00B37071">
      <w:pPr>
        <w:pStyle w:val="Normal0"/>
        <w:spacing w:line="360" w:lineRule="auto"/>
        <w:ind w:firstLine="480" w:firstLineChars="200"/>
        <w:rPr>
          <w:sz w:val="24"/>
        </w:rPr>
      </w:pPr>
      <w:r>
        <w:rPr>
          <w:rFonts w:hint="eastAsia"/>
          <w:sz w:val="24"/>
        </w:rPr>
        <w:t>本场地主要岩土层分为</w:t>
      </w:r>
      <w:r>
        <w:rPr>
          <w:rFonts w:hint="eastAsia"/>
          <w:sz w:val="24"/>
        </w:rPr>
        <w:t>9</w:t>
      </w:r>
      <w:r>
        <w:rPr>
          <w:rFonts w:hint="eastAsia"/>
          <w:sz w:val="24"/>
        </w:rPr>
        <w:t>层，自上而下分述如下：</w:t>
      </w:r>
    </w:p>
    <w:p w:rsidR="00B37071">
      <w:pPr>
        <w:pStyle w:val="Normal0"/>
        <w:spacing w:line="360" w:lineRule="auto"/>
        <w:ind w:firstLine="480" w:firstLineChars="200"/>
        <w:rPr>
          <w:sz w:val="24"/>
        </w:rPr>
      </w:pPr>
      <w:bookmarkStart w:id="34" w:name="_Toc166139691"/>
      <w:bookmarkStart w:id="35" w:name="_Toc166143244"/>
      <w:bookmarkStart w:id="36" w:name="_Toc166143334"/>
      <w:bookmarkStart w:id="37" w:name="_Toc166143424"/>
      <w:bookmarkStart w:id="38" w:name="_Toc167112938"/>
      <w:bookmarkStart w:id="39" w:name="_Toc297905482"/>
      <w:bookmarkEnd w:id="24"/>
      <w:bookmarkEnd w:id="25"/>
      <w:bookmarkEnd w:id="26"/>
      <w:bookmarkEnd w:id="27"/>
      <w:bookmarkEnd w:id="28"/>
      <w:bookmarkEnd w:id="29"/>
      <w:r>
        <w:rPr>
          <w:rFonts w:hint="eastAsia"/>
          <w:sz w:val="24"/>
        </w:rPr>
        <w:t>①</w:t>
      </w:r>
      <w:r>
        <w:rPr>
          <w:rFonts w:hint="eastAsia"/>
          <w:sz w:val="24"/>
        </w:rPr>
        <w:t>填土（</w:t>
      </w:r>
      <w:r>
        <w:rPr>
          <w:rFonts w:hint="eastAsia"/>
          <w:sz w:val="24"/>
        </w:rPr>
        <w:t>Q4ml</w:t>
      </w:r>
      <w:r>
        <w:rPr>
          <w:rFonts w:hint="eastAsia"/>
          <w:sz w:val="24"/>
        </w:rPr>
        <w:t>）：人工堆填成因。根据填土时间及成分的不同，可细分为四个亚层：</w:t>
      </w:r>
    </w:p>
    <w:p w:rsidR="00B37071">
      <w:pPr>
        <w:pStyle w:val="Normal0"/>
        <w:spacing w:line="360" w:lineRule="auto"/>
        <w:ind w:firstLine="480" w:firstLineChars="200"/>
        <w:rPr>
          <w:sz w:val="24"/>
        </w:rPr>
      </w:pPr>
      <w:r>
        <w:rPr>
          <w:rFonts w:hint="eastAsia"/>
          <w:sz w:val="24"/>
        </w:rPr>
        <w:t>①</w:t>
      </w:r>
      <w:r>
        <w:rPr>
          <w:rFonts w:hint="eastAsia"/>
          <w:sz w:val="24"/>
        </w:rPr>
        <w:t>-1</w:t>
      </w:r>
      <w:r>
        <w:rPr>
          <w:rFonts w:hint="eastAsia"/>
          <w:sz w:val="24"/>
        </w:rPr>
        <w:t>填细砂：灰黄色，湿～饱和，以松散为主。以人工堆填细砂为主，粒径大于</w:t>
      </w:r>
      <w:r>
        <w:rPr>
          <w:rFonts w:hint="eastAsia"/>
          <w:sz w:val="24"/>
        </w:rPr>
        <w:t>0.075mm</w:t>
      </w:r>
      <w:r>
        <w:rPr>
          <w:rFonts w:hint="eastAsia"/>
          <w:sz w:val="24"/>
        </w:rPr>
        <w:t>颗粒平均含量占</w:t>
      </w:r>
      <w:r>
        <w:rPr>
          <w:rFonts w:hint="eastAsia"/>
          <w:sz w:val="24"/>
        </w:rPr>
        <w:t>86.1%</w:t>
      </w:r>
      <w:r>
        <w:rPr>
          <w:rFonts w:hint="eastAsia"/>
          <w:sz w:val="24"/>
        </w:rPr>
        <w:t>。主要为勘察施工期间堆填而成，在拟建展览厅东北侧堆填时间约</w:t>
      </w:r>
      <w:r>
        <w:rPr>
          <w:rFonts w:hint="eastAsia"/>
          <w:sz w:val="24"/>
        </w:rPr>
        <w:t>3-5</w:t>
      </w:r>
      <w:r>
        <w:rPr>
          <w:rFonts w:hint="eastAsia"/>
          <w:sz w:val="24"/>
        </w:rPr>
        <w:t>年。均匀性差。实测标准贯入试验锤击数</w:t>
      </w:r>
      <w:r>
        <w:rPr>
          <w:rFonts w:hint="eastAsia"/>
          <w:sz w:val="24"/>
        </w:rPr>
        <w:t>N</w:t>
      </w:r>
      <w:r>
        <w:rPr>
          <w:rFonts w:hint="eastAsia"/>
          <w:sz w:val="24"/>
        </w:rPr>
        <w:t>（下同）</w:t>
      </w:r>
      <w:r>
        <w:rPr>
          <w:rFonts w:hint="eastAsia"/>
          <w:sz w:val="24"/>
        </w:rPr>
        <w:t>=3-12</w:t>
      </w:r>
      <w:r>
        <w:rPr>
          <w:rFonts w:hint="eastAsia"/>
          <w:sz w:val="24"/>
        </w:rPr>
        <w:t>击，平均值—</w:t>
      </w:r>
      <w:r>
        <w:rPr>
          <w:rFonts w:hint="eastAsia"/>
          <w:sz w:val="24"/>
        </w:rPr>
        <w:t>N</w:t>
      </w:r>
      <w:r>
        <w:rPr>
          <w:rFonts w:hint="eastAsia"/>
          <w:sz w:val="24"/>
        </w:rPr>
        <w:t>（下同）</w:t>
      </w:r>
      <w:r>
        <w:rPr>
          <w:rFonts w:hint="eastAsia"/>
          <w:sz w:val="24"/>
        </w:rPr>
        <w:t>=6.3</w:t>
      </w:r>
      <w:r>
        <w:rPr>
          <w:rFonts w:hint="eastAsia"/>
          <w:sz w:val="24"/>
        </w:rPr>
        <w:t>击。本亚层分布于场地大部分地段，分布厚度</w:t>
      </w:r>
      <w:r>
        <w:rPr>
          <w:rFonts w:hint="eastAsia"/>
          <w:sz w:val="24"/>
        </w:rPr>
        <w:t>0.40</w:t>
      </w:r>
      <w:r>
        <w:rPr>
          <w:rFonts w:hint="eastAsia"/>
          <w:sz w:val="24"/>
        </w:rPr>
        <w:t>～</w:t>
      </w:r>
      <w:r>
        <w:rPr>
          <w:rFonts w:hint="eastAsia"/>
          <w:sz w:val="24"/>
        </w:rPr>
        <w:t>6.20m</w:t>
      </w:r>
      <w:r>
        <w:rPr>
          <w:rFonts w:hint="eastAsia"/>
          <w:sz w:val="24"/>
        </w:rPr>
        <w:t>，层顶标高</w:t>
      </w:r>
      <w:r>
        <w:rPr>
          <w:rFonts w:hint="eastAsia"/>
          <w:sz w:val="24"/>
        </w:rPr>
        <w:t>2.64</w:t>
      </w:r>
      <w:r>
        <w:rPr>
          <w:rFonts w:hint="eastAsia"/>
          <w:sz w:val="24"/>
        </w:rPr>
        <w:t>～</w:t>
      </w:r>
      <w:r>
        <w:rPr>
          <w:rFonts w:hint="eastAsia"/>
          <w:sz w:val="24"/>
        </w:rPr>
        <w:t>6.61m</w:t>
      </w:r>
      <w:r>
        <w:rPr>
          <w:rFonts w:hint="eastAsia"/>
          <w:sz w:val="24"/>
        </w:rPr>
        <w:t>。</w:t>
      </w:r>
    </w:p>
    <w:p w:rsidR="00B37071">
      <w:pPr>
        <w:pStyle w:val="Normal0"/>
        <w:spacing w:line="360" w:lineRule="auto"/>
        <w:ind w:firstLine="480" w:firstLineChars="200"/>
        <w:rPr>
          <w:sz w:val="24"/>
        </w:rPr>
      </w:pPr>
      <w:r>
        <w:rPr>
          <w:rFonts w:hint="eastAsia"/>
          <w:sz w:val="24"/>
        </w:rPr>
        <w:t>①</w:t>
      </w:r>
      <w:r>
        <w:rPr>
          <w:rFonts w:hint="eastAsia"/>
          <w:sz w:val="24"/>
        </w:rPr>
        <w:t>-2</w:t>
      </w:r>
      <w:r>
        <w:rPr>
          <w:rFonts w:hint="eastAsia"/>
          <w:sz w:val="24"/>
        </w:rPr>
        <w:t>素填土：灰黄色，湿～饱和，松散，以粘性土为主，约含</w:t>
      </w:r>
      <w:r>
        <w:rPr>
          <w:rFonts w:hint="eastAsia"/>
          <w:sz w:val="24"/>
        </w:rPr>
        <w:t>5%</w:t>
      </w:r>
      <w:r>
        <w:rPr>
          <w:rFonts w:hint="eastAsia"/>
          <w:sz w:val="24"/>
        </w:rPr>
        <w:t>碎石，堆填时间约</w:t>
      </w:r>
      <w:r>
        <w:rPr>
          <w:rFonts w:hint="eastAsia"/>
          <w:sz w:val="24"/>
        </w:rPr>
        <w:t>10</w:t>
      </w:r>
      <w:r>
        <w:rPr>
          <w:rFonts w:hint="eastAsia"/>
          <w:sz w:val="24"/>
        </w:rPr>
        <w:t>年。均匀性差。</w:t>
      </w:r>
      <w:r>
        <w:rPr>
          <w:rFonts w:hint="eastAsia"/>
          <w:sz w:val="24"/>
        </w:rPr>
        <w:t>N=3-8</w:t>
      </w:r>
      <w:r>
        <w:rPr>
          <w:rFonts w:hint="eastAsia"/>
          <w:sz w:val="24"/>
        </w:rPr>
        <w:t>击，—</w:t>
      </w:r>
      <w:r>
        <w:rPr>
          <w:rFonts w:hint="eastAsia"/>
          <w:sz w:val="24"/>
        </w:rPr>
        <w:t>N=5.1</w:t>
      </w:r>
      <w:r>
        <w:rPr>
          <w:rFonts w:hint="eastAsia"/>
          <w:sz w:val="24"/>
        </w:rPr>
        <w:t>击。本亚层主要分布在鱼塘堤岸及场地西南侧的菜地地段，分布厚度</w:t>
      </w:r>
      <w:r>
        <w:rPr>
          <w:rFonts w:hint="eastAsia"/>
          <w:sz w:val="24"/>
        </w:rPr>
        <w:t>0.40</w:t>
      </w:r>
      <w:r>
        <w:rPr>
          <w:rFonts w:hint="eastAsia"/>
          <w:sz w:val="24"/>
        </w:rPr>
        <w:t>～</w:t>
      </w:r>
      <w:r>
        <w:rPr>
          <w:rFonts w:hint="eastAsia"/>
          <w:sz w:val="24"/>
        </w:rPr>
        <w:t>4.10m</w:t>
      </w:r>
      <w:r>
        <w:rPr>
          <w:rFonts w:hint="eastAsia"/>
          <w:sz w:val="24"/>
        </w:rPr>
        <w:t>，层顶标高</w:t>
      </w:r>
      <w:r>
        <w:rPr>
          <w:rFonts w:hint="eastAsia"/>
          <w:sz w:val="24"/>
        </w:rPr>
        <w:t>5.04</w:t>
      </w:r>
      <w:r>
        <w:rPr>
          <w:rFonts w:hint="eastAsia"/>
          <w:sz w:val="24"/>
        </w:rPr>
        <w:t>～</w:t>
      </w:r>
      <w:r>
        <w:rPr>
          <w:rFonts w:hint="eastAsia"/>
          <w:sz w:val="24"/>
        </w:rPr>
        <w:t>7.04m</w:t>
      </w:r>
      <w:r>
        <w:rPr>
          <w:rFonts w:hint="eastAsia"/>
          <w:sz w:val="24"/>
        </w:rPr>
        <w:t>。</w:t>
      </w:r>
    </w:p>
    <w:p w:rsidR="00B37071">
      <w:pPr>
        <w:pStyle w:val="Normal0"/>
        <w:spacing w:line="360" w:lineRule="auto"/>
        <w:ind w:firstLine="480" w:firstLineChars="200"/>
        <w:rPr>
          <w:sz w:val="24"/>
        </w:rPr>
      </w:pPr>
      <w:r>
        <w:rPr>
          <w:rFonts w:hint="eastAsia"/>
          <w:sz w:val="24"/>
        </w:rPr>
        <w:t>①</w:t>
      </w:r>
      <w:r>
        <w:rPr>
          <w:rFonts w:hint="eastAsia"/>
          <w:sz w:val="24"/>
        </w:rPr>
        <w:t>-3</w:t>
      </w:r>
      <w:r>
        <w:rPr>
          <w:rFonts w:hint="eastAsia"/>
          <w:sz w:val="24"/>
        </w:rPr>
        <w:t>杂填土：浅灰色，灰黄色，稍湿～饱和，松散～稍密。主要成分为粘性土，不均匀含有碎块石、建筑垃圾等，硬质物含量约占</w:t>
      </w:r>
      <w:r>
        <w:rPr>
          <w:rFonts w:hint="eastAsia"/>
          <w:sz w:val="24"/>
        </w:rPr>
        <w:t>10-25%</w:t>
      </w:r>
      <w:r>
        <w:rPr>
          <w:rFonts w:hint="eastAsia"/>
          <w:sz w:val="24"/>
        </w:rPr>
        <w:t>，堆填时间约</w:t>
      </w:r>
      <w:r>
        <w:rPr>
          <w:rFonts w:hint="eastAsia"/>
          <w:sz w:val="24"/>
        </w:rPr>
        <w:t>5-10</w:t>
      </w:r>
      <w:r>
        <w:rPr>
          <w:rFonts w:hint="eastAsia"/>
          <w:sz w:val="24"/>
        </w:rPr>
        <w:t>年，局部为勘察施工期间堆填。均匀性差。重型圆锥动力触探试验（</w:t>
      </w:r>
      <w:r>
        <w:rPr>
          <w:rFonts w:hint="eastAsia"/>
          <w:sz w:val="24"/>
        </w:rPr>
        <w:t>DPT</w:t>
      </w:r>
      <w:r>
        <w:rPr>
          <w:rFonts w:hint="eastAsia"/>
          <w:sz w:val="24"/>
        </w:rPr>
        <w:t>）经杆长修正后的单孔平均击数</w:t>
      </w:r>
      <w:r>
        <w:rPr>
          <w:rFonts w:hint="eastAsia"/>
          <w:sz w:val="24"/>
        </w:rPr>
        <w:t>N63.5=3.4-12.0</w:t>
      </w:r>
      <w:r>
        <w:rPr>
          <w:rFonts w:hint="eastAsia"/>
          <w:sz w:val="24"/>
        </w:rPr>
        <w:t>击</w:t>
      </w:r>
      <w:r>
        <w:rPr>
          <w:rFonts w:hint="eastAsia"/>
          <w:sz w:val="24"/>
        </w:rPr>
        <w:t>/10cm</w:t>
      </w:r>
      <w:r>
        <w:rPr>
          <w:rFonts w:hint="eastAsia"/>
          <w:sz w:val="24"/>
        </w:rPr>
        <w:t>，整个场地平均值—</w:t>
      </w:r>
      <w:r>
        <w:rPr>
          <w:rFonts w:hint="eastAsia"/>
          <w:sz w:val="24"/>
        </w:rPr>
        <w:t>N63.5=7.1</w:t>
      </w:r>
      <w:r>
        <w:rPr>
          <w:rFonts w:hint="eastAsia"/>
          <w:sz w:val="24"/>
        </w:rPr>
        <w:t>击</w:t>
      </w:r>
      <w:r>
        <w:rPr>
          <w:rFonts w:hint="eastAsia"/>
          <w:sz w:val="24"/>
        </w:rPr>
        <w:t>/10cm</w:t>
      </w:r>
      <w:r>
        <w:rPr>
          <w:rFonts w:hint="eastAsia"/>
          <w:sz w:val="24"/>
        </w:rPr>
        <w:t>。本亚层主要沿原防洪堤分布，</w:t>
      </w:r>
      <w:r>
        <w:rPr>
          <w:rFonts w:hint="eastAsia"/>
          <w:sz w:val="24"/>
        </w:rPr>
        <w:t>分布厚度</w:t>
      </w:r>
      <w:r>
        <w:rPr>
          <w:rFonts w:hint="eastAsia"/>
          <w:sz w:val="24"/>
        </w:rPr>
        <w:t>1.00</w:t>
      </w:r>
      <w:r>
        <w:rPr>
          <w:rFonts w:hint="eastAsia"/>
          <w:sz w:val="24"/>
        </w:rPr>
        <w:t>～</w:t>
      </w:r>
      <w:r>
        <w:rPr>
          <w:rFonts w:hint="eastAsia"/>
          <w:sz w:val="24"/>
        </w:rPr>
        <w:t>5.30m</w:t>
      </w:r>
      <w:r>
        <w:rPr>
          <w:rFonts w:hint="eastAsia"/>
          <w:sz w:val="24"/>
        </w:rPr>
        <w:t>，层顶埋深</w:t>
      </w:r>
      <w:r>
        <w:rPr>
          <w:rFonts w:hint="eastAsia"/>
          <w:sz w:val="24"/>
        </w:rPr>
        <w:t>0.00</w:t>
      </w:r>
      <w:r>
        <w:rPr>
          <w:rFonts w:hint="eastAsia"/>
          <w:sz w:val="24"/>
        </w:rPr>
        <w:t>～</w:t>
      </w:r>
      <w:r>
        <w:rPr>
          <w:rFonts w:hint="eastAsia"/>
          <w:sz w:val="24"/>
        </w:rPr>
        <w:t>1.40m</w:t>
      </w:r>
      <w:r>
        <w:rPr>
          <w:rFonts w:hint="eastAsia"/>
          <w:sz w:val="24"/>
        </w:rPr>
        <w:t>，层顶标高</w:t>
      </w:r>
      <w:r>
        <w:rPr>
          <w:rFonts w:hint="eastAsia"/>
          <w:sz w:val="24"/>
        </w:rPr>
        <w:t>4.78</w:t>
      </w:r>
      <w:r>
        <w:rPr>
          <w:rFonts w:hint="eastAsia"/>
          <w:sz w:val="24"/>
        </w:rPr>
        <w:t>～</w:t>
      </w:r>
      <w:r>
        <w:rPr>
          <w:rFonts w:hint="eastAsia"/>
          <w:sz w:val="24"/>
        </w:rPr>
        <w:t>7.00m</w:t>
      </w:r>
      <w:r>
        <w:rPr>
          <w:rFonts w:hint="eastAsia"/>
          <w:sz w:val="24"/>
        </w:rPr>
        <w:t>。</w:t>
      </w:r>
    </w:p>
    <w:p w:rsidR="00B37071">
      <w:pPr>
        <w:pStyle w:val="Normal0"/>
        <w:spacing w:line="360" w:lineRule="auto"/>
        <w:ind w:firstLine="480" w:firstLineChars="200"/>
        <w:rPr>
          <w:sz w:val="24"/>
        </w:rPr>
        <w:sectPr>
          <w:type w:val="nextPage"/>
          <w:pgSz w:w="11907" w:h="16840"/>
          <w:pgMar w:top="1418" w:right="1123" w:bottom="1418" w:left="1418" w:header="851" w:footer="851" w:gutter="0"/>
          <w:pgNumType w:fmt="numberInDash" w:start="2"/>
          <w:cols w:space="708"/>
          <w:titlePg w:val="0"/>
          <w:docGrid w:linePitch="312"/>
        </w:sectPr>
      </w:pPr>
      <w:r>
        <w:rPr>
          <w:rFonts w:hint="eastAsia"/>
          <w:sz w:val="24"/>
        </w:rPr>
        <w:t>①</w:t>
      </w:r>
      <w:r>
        <w:rPr>
          <w:rFonts w:hint="eastAsia"/>
          <w:sz w:val="24"/>
        </w:rPr>
        <w:t>-4</w:t>
      </w:r>
      <w:r>
        <w:rPr>
          <w:rFonts w:hint="eastAsia"/>
          <w:sz w:val="24"/>
        </w:rPr>
        <w:t>填块石：杂色，湿～饱和，中密～密实。以块石为主，块石粒径一般为</w:t>
      </w:r>
      <w:r>
        <w:rPr>
          <w:rFonts w:hint="eastAsia"/>
          <w:sz w:val="24"/>
        </w:rPr>
        <w:t>200-600mm</w:t>
      </w:r>
      <w:r>
        <w:rPr>
          <w:rFonts w:hint="eastAsia"/>
          <w:sz w:val="24"/>
        </w:rPr>
        <w:t>，呈棱角状为主，成分以中～微风化火山岩为主，含量约占</w:t>
      </w:r>
      <w:r>
        <w:rPr>
          <w:rFonts w:hint="eastAsia"/>
          <w:sz w:val="24"/>
        </w:rPr>
        <w:t>70</w:t>
      </w:r>
      <w:r>
        <w:rPr>
          <w:rFonts w:hint="eastAsia"/>
          <w:sz w:val="24"/>
        </w:rPr>
        <w:t>～</w:t>
      </w:r>
      <w:r>
        <w:rPr>
          <w:rFonts w:hint="eastAsia"/>
          <w:sz w:val="24"/>
        </w:rPr>
        <w:t>80%</w:t>
      </w:r>
    </w:p>
    <w:p w:rsidR="00B37071">
      <w:pPr>
        <w:pStyle w:val="Normal0"/>
        <w:spacing w:line="360" w:lineRule="auto"/>
        <w:ind w:firstLine="480" w:firstLineChars="200"/>
        <w:rPr>
          <w:sz w:val="24"/>
        </w:rPr>
      </w:pPr>
      <w:r>
        <w:rPr>
          <w:rFonts w:hint="eastAsia"/>
          <w:sz w:val="24"/>
        </w:rPr>
        <w:t>，块石间充填有粘性土</w:t>
      </w:r>
      <w:r>
        <w:rPr>
          <w:rFonts w:hint="eastAsia"/>
          <w:sz w:val="24"/>
        </w:rPr>
        <w:t>及砂砾，含量约</w:t>
      </w:r>
      <w:r>
        <w:rPr>
          <w:rFonts w:hint="eastAsia"/>
          <w:sz w:val="24"/>
        </w:rPr>
        <w:t>20%-30%</w:t>
      </w:r>
      <w:r>
        <w:rPr>
          <w:rFonts w:hint="eastAsia"/>
          <w:sz w:val="24"/>
        </w:rPr>
        <w:t>。均匀性差。重型圆锥动力触探试验（</w:t>
      </w:r>
      <w:r>
        <w:rPr>
          <w:rFonts w:hint="eastAsia"/>
          <w:sz w:val="24"/>
        </w:rPr>
        <w:t>DPT</w:t>
      </w:r>
      <w:r>
        <w:rPr>
          <w:rFonts w:hint="eastAsia"/>
          <w:sz w:val="24"/>
        </w:rPr>
        <w:t>）经杆长修正后的单孔平均击数</w:t>
      </w:r>
      <w:r>
        <w:rPr>
          <w:rFonts w:hint="eastAsia"/>
          <w:sz w:val="24"/>
        </w:rPr>
        <w:t>N63.5=14.7-57.0</w:t>
      </w:r>
      <w:r>
        <w:rPr>
          <w:rFonts w:hint="eastAsia"/>
          <w:sz w:val="24"/>
        </w:rPr>
        <w:t>击</w:t>
      </w:r>
      <w:r>
        <w:rPr>
          <w:rFonts w:hint="eastAsia"/>
          <w:sz w:val="24"/>
        </w:rPr>
        <w:t>/10cm</w:t>
      </w:r>
      <w:r>
        <w:rPr>
          <w:rFonts w:hint="eastAsia"/>
          <w:sz w:val="24"/>
        </w:rPr>
        <w:t>，整个场地平均值—</w:t>
      </w:r>
      <w:r>
        <w:rPr>
          <w:rFonts w:hint="eastAsia"/>
          <w:sz w:val="24"/>
        </w:rPr>
        <w:t>N63.5=45.0</w:t>
      </w:r>
      <w:r>
        <w:rPr>
          <w:rFonts w:hint="eastAsia"/>
          <w:sz w:val="24"/>
        </w:rPr>
        <w:t>击</w:t>
      </w:r>
      <w:r>
        <w:rPr>
          <w:rFonts w:hint="eastAsia"/>
          <w:sz w:val="24"/>
        </w:rPr>
        <w:t>/10cm</w:t>
      </w:r>
      <w:r>
        <w:rPr>
          <w:rFonts w:hint="eastAsia"/>
          <w:sz w:val="24"/>
        </w:rPr>
        <w:t>。堆填时间约</w:t>
      </w:r>
      <w:r>
        <w:rPr>
          <w:rFonts w:hint="eastAsia"/>
          <w:sz w:val="24"/>
        </w:rPr>
        <w:t>10</w:t>
      </w:r>
      <w:r>
        <w:rPr>
          <w:rFonts w:hint="eastAsia"/>
          <w:sz w:val="24"/>
        </w:rPr>
        <w:t>年。本亚层主要分布在原防洪堤和场地南侧影视厅及</w:t>
      </w:r>
      <w:r>
        <w:rPr>
          <w:rFonts w:hint="eastAsia"/>
          <w:sz w:val="24"/>
        </w:rPr>
        <w:t>其邻近外围地下室地段，分布厚度</w:t>
      </w:r>
      <w:r>
        <w:rPr>
          <w:rFonts w:hint="eastAsia"/>
          <w:sz w:val="24"/>
        </w:rPr>
        <w:t>1.00</w:t>
      </w:r>
      <w:r>
        <w:rPr>
          <w:rFonts w:hint="eastAsia"/>
          <w:sz w:val="24"/>
        </w:rPr>
        <w:t>～</w:t>
      </w:r>
      <w:r>
        <w:rPr>
          <w:rFonts w:hint="eastAsia"/>
          <w:sz w:val="24"/>
        </w:rPr>
        <w:t>9.60m</w:t>
      </w:r>
      <w:r>
        <w:rPr>
          <w:rFonts w:hint="eastAsia"/>
          <w:sz w:val="24"/>
        </w:rPr>
        <w:t>，层顶埋深</w:t>
      </w:r>
      <w:r>
        <w:rPr>
          <w:rFonts w:hint="eastAsia"/>
          <w:sz w:val="24"/>
        </w:rPr>
        <w:t>0.00</w:t>
      </w:r>
      <w:r>
        <w:rPr>
          <w:rFonts w:hint="eastAsia"/>
          <w:sz w:val="24"/>
        </w:rPr>
        <w:t>～</w:t>
      </w:r>
      <w:r>
        <w:rPr>
          <w:rFonts w:hint="eastAsia"/>
          <w:sz w:val="24"/>
        </w:rPr>
        <w:t>2.80m</w:t>
      </w:r>
      <w:r>
        <w:rPr>
          <w:rFonts w:hint="eastAsia"/>
          <w:sz w:val="24"/>
        </w:rPr>
        <w:t>，层顶标高</w:t>
      </w:r>
      <w:r>
        <w:rPr>
          <w:rFonts w:hint="eastAsia"/>
          <w:sz w:val="24"/>
        </w:rPr>
        <w:t>4.14</w:t>
      </w:r>
      <w:r>
        <w:rPr>
          <w:rFonts w:hint="eastAsia"/>
          <w:sz w:val="24"/>
        </w:rPr>
        <w:t>～</w:t>
      </w:r>
      <w:r>
        <w:rPr>
          <w:rFonts w:hint="eastAsia"/>
          <w:sz w:val="24"/>
        </w:rPr>
        <w:t>7.42m</w:t>
      </w:r>
      <w:r>
        <w:rPr>
          <w:rFonts w:hint="eastAsia"/>
          <w:sz w:val="24"/>
        </w:rPr>
        <w:t>。</w:t>
      </w:r>
    </w:p>
    <w:p w:rsidR="00B37071">
      <w:pPr>
        <w:pStyle w:val="Normal0"/>
        <w:spacing w:line="360" w:lineRule="auto"/>
        <w:ind w:firstLine="480" w:firstLineChars="200"/>
        <w:rPr>
          <w:sz w:val="24"/>
        </w:rPr>
      </w:pPr>
      <w:r>
        <w:rPr>
          <w:rFonts w:hint="eastAsia"/>
          <w:sz w:val="24"/>
        </w:rPr>
        <w:t>②粘土（</w:t>
      </w:r>
      <w:r>
        <w:rPr>
          <w:rFonts w:hint="eastAsia"/>
          <w:sz w:val="24"/>
        </w:rPr>
        <w:t>Q4al</w:t>
      </w:r>
      <w:r>
        <w:rPr>
          <w:rFonts w:hint="eastAsia"/>
          <w:sz w:val="24"/>
        </w:rPr>
        <w:t>）：冲积成因。灰黄色，可塑，湿～饱和。以粘土为主，局部为粉质粘土。含少量铁锰质氧化物，顶部含少量植物根茎等。粘性较强，捻面光滑，稍有光泽，干强度及韧性高，无摇震反应。</w:t>
      </w:r>
      <w:r>
        <w:rPr>
          <w:rFonts w:hint="eastAsia"/>
          <w:sz w:val="24"/>
        </w:rPr>
        <w:t>N=5-11</w:t>
      </w:r>
      <w:r>
        <w:rPr>
          <w:rFonts w:hint="eastAsia"/>
          <w:sz w:val="24"/>
        </w:rPr>
        <w:t>击，</w:t>
      </w:r>
      <w:r>
        <w:rPr>
          <w:rFonts w:hint="eastAsia"/>
          <w:sz w:val="24"/>
        </w:rPr>
        <w:t xml:space="preserve"> </w:t>
      </w:r>
      <w:r>
        <w:rPr>
          <w:rFonts w:hint="eastAsia"/>
          <w:sz w:val="24"/>
        </w:rPr>
        <w:t>—</w:t>
      </w:r>
      <w:r>
        <w:rPr>
          <w:rFonts w:hint="eastAsia"/>
          <w:sz w:val="24"/>
        </w:rPr>
        <w:t>N=7.2</w:t>
      </w:r>
      <w:r>
        <w:rPr>
          <w:rFonts w:hint="eastAsia"/>
          <w:sz w:val="24"/>
        </w:rPr>
        <w:t>击。本层主要分布在场地西南侧地段，分布厚度</w:t>
      </w:r>
      <w:r>
        <w:rPr>
          <w:rFonts w:hint="eastAsia"/>
          <w:sz w:val="24"/>
        </w:rPr>
        <w:t>0.80</w:t>
      </w:r>
      <w:r>
        <w:rPr>
          <w:rFonts w:hint="eastAsia"/>
          <w:sz w:val="24"/>
        </w:rPr>
        <w:t>～</w:t>
      </w:r>
      <w:r>
        <w:rPr>
          <w:rFonts w:hint="eastAsia"/>
          <w:sz w:val="24"/>
        </w:rPr>
        <w:t>4.10m</w:t>
      </w:r>
      <w:r>
        <w:rPr>
          <w:rFonts w:hint="eastAsia"/>
          <w:sz w:val="24"/>
        </w:rPr>
        <w:t>，层顶埋深</w:t>
      </w:r>
      <w:r>
        <w:rPr>
          <w:rFonts w:hint="eastAsia"/>
          <w:sz w:val="24"/>
        </w:rPr>
        <w:t>0.00</w:t>
      </w:r>
      <w:r>
        <w:rPr>
          <w:rFonts w:hint="eastAsia"/>
          <w:sz w:val="24"/>
        </w:rPr>
        <w:t>～</w:t>
      </w:r>
      <w:r>
        <w:rPr>
          <w:rFonts w:hint="eastAsia"/>
          <w:sz w:val="24"/>
        </w:rPr>
        <w:t>4.20m</w:t>
      </w:r>
      <w:r>
        <w:rPr>
          <w:rFonts w:hint="eastAsia"/>
          <w:sz w:val="24"/>
        </w:rPr>
        <w:t>，顶面标高</w:t>
      </w:r>
      <w:r>
        <w:rPr>
          <w:rFonts w:hint="eastAsia"/>
          <w:sz w:val="24"/>
        </w:rPr>
        <w:t>2.09</w:t>
      </w:r>
      <w:r>
        <w:rPr>
          <w:rFonts w:hint="eastAsia"/>
          <w:sz w:val="24"/>
        </w:rPr>
        <w:t>～</w:t>
      </w:r>
      <w:r>
        <w:rPr>
          <w:rFonts w:hint="eastAsia"/>
          <w:sz w:val="24"/>
        </w:rPr>
        <w:t>6.55m</w:t>
      </w:r>
      <w:r>
        <w:rPr>
          <w:rFonts w:hint="eastAsia"/>
          <w:sz w:val="24"/>
        </w:rPr>
        <w:t>。</w:t>
      </w:r>
    </w:p>
    <w:p w:rsidR="00B37071">
      <w:pPr>
        <w:pStyle w:val="Normal0"/>
        <w:spacing w:line="360" w:lineRule="auto"/>
        <w:ind w:firstLine="480" w:firstLineChars="200"/>
        <w:rPr>
          <w:sz w:val="24"/>
        </w:rPr>
      </w:pPr>
      <w:r>
        <w:rPr>
          <w:rFonts w:hint="eastAsia"/>
          <w:sz w:val="24"/>
        </w:rPr>
        <w:t>③淤泥夹砂（</w:t>
      </w:r>
      <w:r>
        <w:rPr>
          <w:rFonts w:hint="eastAsia"/>
          <w:sz w:val="24"/>
        </w:rPr>
        <w:t>Q4m</w:t>
      </w:r>
      <w:r>
        <w:rPr>
          <w:rFonts w:hint="eastAsia"/>
          <w:sz w:val="24"/>
        </w:rPr>
        <w:t>）：淤积成因。深灰色，饱和，流塑。以淤泥夹</w:t>
      </w:r>
      <w:r>
        <w:rPr>
          <w:rFonts w:hint="eastAsia"/>
          <w:sz w:val="24"/>
        </w:rPr>
        <w:t>砂为主，局部为淤泥质土。含有腐殖质，有机质含量为</w:t>
      </w:r>
      <w:r>
        <w:rPr>
          <w:rFonts w:hint="eastAsia"/>
          <w:sz w:val="24"/>
        </w:rPr>
        <w:t>6.87</w:t>
      </w:r>
      <w:r>
        <w:rPr>
          <w:rFonts w:hint="eastAsia"/>
          <w:sz w:val="24"/>
        </w:rPr>
        <w:t>～</w:t>
      </w:r>
      <w:r>
        <w:rPr>
          <w:rFonts w:hint="eastAsia"/>
          <w:sz w:val="24"/>
        </w:rPr>
        <w:t>9.97%</w:t>
      </w:r>
      <w:r>
        <w:rPr>
          <w:rFonts w:hint="eastAsia"/>
          <w:sz w:val="24"/>
        </w:rPr>
        <w:t>，平均值为</w:t>
      </w:r>
      <w:r>
        <w:rPr>
          <w:rFonts w:hint="eastAsia"/>
          <w:sz w:val="24"/>
        </w:rPr>
        <w:t>8.26%</w:t>
      </w:r>
      <w:r>
        <w:rPr>
          <w:rFonts w:hint="eastAsia"/>
          <w:sz w:val="24"/>
        </w:rPr>
        <w:t>。不均匀夹有</w:t>
      </w:r>
      <w:r>
        <w:rPr>
          <w:rFonts w:hint="eastAsia"/>
          <w:sz w:val="24"/>
        </w:rPr>
        <w:t>2-10cm</w:t>
      </w:r>
      <w:r>
        <w:rPr>
          <w:rFonts w:hint="eastAsia"/>
          <w:sz w:val="24"/>
        </w:rPr>
        <w:t>薄层粉细砂，含量约占</w:t>
      </w:r>
      <w:r>
        <w:rPr>
          <w:rFonts w:hint="eastAsia"/>
          <w:sz w:val="24"/>
        </w:rPr>
        <w:t>10-20%</w:t>
      </w:r>
      <w:r>
        <w:rPr>
          <w:rFonts w:hint="eastAsia"/>
          <w:sz w:val="24"/>
        </w:rPr>
        <w:t>。下部含砂量增多。捻面有砂感，稍有光泽，干强度、韧性中等，摇振反应慢。本层分布于场地绝大部分地段，分布厚度</w:t>
      </w:r>
      <w:r>
        <w:rPr>
          <w:rFonts w:hint="eastAsia"/>
          <w:sz w:val="24"/>
        </w:rPr>
        <w:t>0.50</w:t>
      </w:r>
      <w:r>
        <w:rPr>
          <w:rFonts w:hint="eastAsia"/>
          <w:sz w:val="24"/>
        </w:rPr>
        <w:t>～</w:t>
      </w:r>
      <w:r>
        <w:rPr>
          <w:rFonts w:hint="eastAsia"/>
          <w:sz w:val="24"/>
        </w:rPr>
        <w:t>13.30m</w:t>
      </w:r>
      <w:r>
        <w:rPr>
          <w:rFonts w:hint="eastAsia"/>
          <w:sz w:val="24"/>
        </w:rPr>
        <w:t>，层顶埋深</w:t>
      </w:r>
      <w:r>
        <w:rPr>
          <w:rFonts w:hint="eastAsia"/>
          <w:sz w:val="24"/>
        </w:rPr>
        <w:t>0.00</w:t>
      </w:r>
      <w:r>
        <w:rPr>
          <w:rFonts w:hint="eastAsia"/>
          <w:sz w:val="24"/>
        </w:rPr>
        <w:t>～</w:t>
      </w:r>
      <w:r>
        <w:rPr>
          <w:rFonts w:hint="eastAsia"/>
          <w:sz w:val="24"/>
        </w:rPr>
        <w:t>8.90m</w:t>
      </w:r>
      <w:r>
        <w:rPr>
          <w:rFonts w:hint="eastAsia"/>
          <w:sz w:val="24"/>
        </w:rPr>
        <w:t>，层顶标高</w:t>
      </w:r>
      <w:r>
        <w:rPr>
          <w:rFonts w:hint="eastAsia"/>
          <w:sz w:val="24"/>
        </w:rPr>
        <w:t>-1.78</w:t>
      </w:r>
      <w:r>
        <w:rPr>
          <w:rFonts w:hint="eastAsia"/>
          <w:sz w:val="24"/>
        </w:rPr>
        <w:t>～</w:t>
      </w:r>
      <w:r>
        <w:rPr>
          <w:rFonts w:hint="eastAsia"/>
          <w:sz w:val="24"/>
        </w:rPr>
        <w:t>5.40m</w:t>
      </w:r>
      <w:r>
        <w:rPr>
          <w:rFonts w:hint="eastAsia"/>
          <w:sz w:val="24"/>
        </w:rPr>
        <w:t>。</w:t>
      </w:r>
    </w:p>
    <w:p w:rsidR="00B37071">
      <w:pPr>
        <w:pStyle w:val="Normal0"/>
        <w:spacing w:line="360" w:lineRule="auto"/>
        <w:ind w:firstLine="480" w:firstLineChars="200"/>
        <w:rPr>
          <w:sz w:val="24"/>
        </w:rPr>
      </w:pPr>
      <w:r>
        <w:rPr>
          <w:rFonts w:hint="eastAsia"/>
          <w:sz w:val="24"/>
        </w:rPr>
        <w:t>④粉砂夹淤泥（</w:t>
      </w:r>
      <w:r>
        <w:rPr>
          <w:rFonts w:hint="eastAsia"/>
          <w:sz w:val="24"/>
        </w:rPr>
        <w:t>Q4al+m</w:t>
      </w:r>
      <w:r>
        <w:rPr>
          <w:rFonts w:hint="eastAsia"/>
          <w:sz w:val="24"/>
        </w:rPr>
        <w:t>）：冲淤积成因。灰色，饱和，松散～稍密，局部中密。以粉砂夹淤泥为主，局部为中细砂或淤泥夹砂。矿物成分以石英为主，不均匀夹有单层厚度</w:t>
      </w:r>
      <w:r>
        <w:rPr>
          <w:rFonts w:hint="eastAsia"/>
          <w:sz w:val="24"/>
        </w:rPr>
        <w:t>2-30cm</w:t>
      </w:r>
      <w:r>
        <w:rPr>
          <w:rFonts w:hint="eastAsia"/>
          <w:sz w:val="24"/>
        </w:rPr>
        <w:t>流塑状</w:t>
      </w:r>
      <w:r>
        <w:rPr>
          <w:rFonts w:hint="eastAsia"/>
          <w:sz w:val="24"/>
        </w:rPr>
        <w:t>淤泥，含量约占</w:t>
      </w:r>
      <w:r>
        <w:rPr>
          <w:rFonts w:hint="eastAsia"/>
          <w:sz w:val="24"/>
        </w:rPr>
        <w:t>10-15%</w:t>
      </w:r>
      <w:r>
        <w:rPr>
          <w:rFonts w:hint="eastAsia"/>
          <w:sz w:val="24"/>
        </w:rPr>
        <w:t>。粒径大于</w:t>
      </w:r>
      <w:r>
        <w:rPr>
          <w:rFonts w:hint="eastAsia"/>
          <w:sz w:val="24"/>
        </w:rPr>
        <w:t>0.075mm</w:t>
      </w:r>
      <w:r>
        <w:rPr>
          <w:rFonts w:hint="eastAsia"/>
          <w:sz w:val="24"/>
        </w:rPr>
        <w:t>颗粒平均含量占</w:t>
      </w:r>
      <w:r>
        <w:rPr>
          <w:rFonts w:hint="eastAsia"/>
          <w:sz w:val="24"/>
        </w:rPr>
        <w:t>75.4%</w:t>
      </w:r>
      <w:r>
        <w:rPr>
          <w:rFonts w:hint="eastAsia"/>
          <w:sz w:val="24"/>
        </w:rPr>
        <w:t>，颗粒呈次棱角状，分选性较差，级配较好。</w:t>
      </w:r>
      <w:r>
        <w:rPr>
          <w:rFonts w:hint="eastAsia"/>
          <w:sz w:val="24"/>
        </w:rPr>
        <w:t>N=7-19</w:t>
      </w:r>
      <w:r>
        <w:rPr>
          <w:rFonts w:hint="eastAsia"/>
          <w:sz w:val="24"/>
        </w:rPr>
        <w:t>击，</w:t>
      </w:r>
      <w:r>
        <w:rPr>
          <w:rFonts w:hint="eastAsia"/>
          <w:sz w:val="24"/>
        </w:rPr>
        <w:t xml:space="preserve"> </w:t>
      </w:r>
      <w:r>
        <w:rPr>
          <w:rFonts w:hint="eastAsia"/>
          <w:sz w:val="24"/>
        </w:rPr>
        <w:t>—</w:t>
      </w:r>
      <w:r>
        <w:rPr>
          <w:rFonts w:hint="eastAsia"/>
          <w:sz w:val="24"/>
        </w:rPr>
        <w:t>N=12.1</w:t>
      </w:r>
      <w:r>
        <w:rPr>
          <w:rFonts w:hint="eastAsia"/>
          <w:sz w:val="24"/>
        </w:rPr>
        <w:t>击。本层分布于场地绝大部分地段，分布厚度</w:t>
      </w:r>
      <w:r>
        <w:rPr>
          <w:rFonts w:hint="eastAsia"/>
          <w:sz w:val="24"/>
        </w:rPr>
        <w:t>1.10</w:t>
      </w:r>
      <w:r>
        <w:rPr>
          <w:rFonts w:hint="eastAsia"/>
          <w:sz w:val="24"/>
        </w:rPr>
        <w:t>～</w:t>
      </w:r>
      <w:r>
        <w:rPr>
          <w:rFonts w:hint="eastAsia"/>
          <w:sz w:val="24"/>
        </w:rPr>
        <w:t>15.10m</w:t>
      </w:r>
      <w:r>
        <w:rPr>
          <w:rFonts w:hint="eastAsia"/>
          <w:sz w:val="24"/>
        </w:rPr>
        <w:t>，顶面埋深为</w:t>
      </w:r>
      <w:r>
        <w:rPr>
          <w:rFonts w:hint="eastAsia"/>
          <w:sz w:val="24"/>
        </w:rPr>
        <w:t>1.80</w:t>
      </w:r>
      <w:r>
        <w:rPr>
          <w:rFonts w:hint="eastAsia"/>
          <w:sz w:val="24"/>
        </w:rPr>
        <w:t>～</w:t>
      </w:r>
      <w:r>
        <w:rPr>
          <w:rFonts w:hint="eastAsia"/>
          <w:sz w:val="24"/>
        </w:rPr>
        <w:t>14.50m</w:t>
      </w:r>
      <w:r>
        <w:rPr>
          <w:rFonts w:hint="eastAsia"/>
          <w:sz w:val="24"/>
        </w:rPr>
        <w:t>，顶面标高为</w:t>
      </w:r>
      <w:r>
        <w:rPr>
          <w:rFonts w:hint="eastAsia"/>
          <w:sz w:val="24"/>
        </w:rPr>
        <w:t>-9.29</w:t>
      </w:r>
      <w:r>
        <w:rPr>
          <w:rFonts w:hint="eastAsia"/>
          <w:sz w:val="24"/>
        </w:rPr>
        <w:t>～</w:t>
      </w:r>
      <w:r>
        <w:rPr>
          <w:rFonts w:hint="eastAsia"/>
          <w:sz w:val="24"/>
        </w:rPr>
        <w:t>3.51m</w:t>
      </w:r>
      <w:r>
        <w:rPr>
          <w:rFonts w:hint="eastAsia"/>
          <w:sz w:val="24"/>
        </w:rPr>
        <w:t>。本层在</w:t>
      </w:r>
      <w:r>
        <w:rPr>
          <w:rFonts w:hint="eastAsia"/>
          <w:sz w:val="24"/>
        </w:rPr>
        <w:t>ZK7</w:t>
      </w:r>
      <w:r>
        <w:rPr>
          <w:rFonts w:hint="eastAsia"/>
          <w:sz w:val="24"/>
        </w:rPr>
        <w:t>、</w:t>
      </w:r>
      <w:r>
        <w:rPr>
          <w:rFonts w:hint="eastAsia"/>
          <w:sz w:val="24"/>
        </w:rPr>
        <w:t>DK8</w:t>
      </w:r>
      <w:r>
        <w:rPr>
          <w:rFonts w:hint="eastAsia"/>
          <w:sz w:val="24"/>
        </w:rPr>
        <w:t>、</w:t>
      </w:r>
      <w:r>
        <w:rPr>
          <w:rFonts w:hint="eastAsia"/>
          <w:sz w:val="24"/>
        </w:rPr>
        <w:t>DK3</w:t>
      </w:r>
      <w:r>
        <w:rPr>
          <w:rFonts w:hint="eastAsia"/>
          <w:sz w:val="24"/>
        </w:rPr>
        <w:t>钻孔地段分布有厚度</w:t>
      </w:r>
      <w:r>
        <w:rPr>
          <w:rFonts w:hint="eastAsia"/>
          <w:sz w:val="24"/>
        </w:rPr>
        <w:t>2.50</w:t>
      </w:r>
      <w:r>
        <w:rPr>
          <w:rFonts w:hint="eastAsia"/>
          <w:sz w:val="24"/>
        </w:rPr>
        <w:t>～</w:t>
      </w:r>
      <w:r>
        <w:rPr>
          <w:rFonts w:hint="eastAsia"/>
          <w:sz w:val="24"/>
        </w:rPr>
        <w:t>3.60m</w:t>
      </w:r>
      <w:r>
        <w:rPr>
          <w:rFonts w:hint="eastAsia"/>
          <w:sz w:val="24"/>
        </w:rPr>
        <w:t>呈深灰色流塑状的淤泥夹砂（编号为④夹淤泥夹砂），具体位置详见工程地质剖面图。</w:t>
      </w:r>
    </w:p>
    <w:p w:rsidR="00B37071">
      <w:pPr>
        <w:pStyle w:val="Normal0"/>
        <w:spacing w:line="360" w:lineRule="auto"/>
        <w:ind w:firstLine="480" w:firstLineChars="200"/>
        <w:rPr>
          <w:sz w:val="24"/>
        </w:rPr>
      </w:pPr>
      <w:r>
        <w:rPr>
          <w:rFonts w:hint="eastAsia"/>
          <w:sz w:val="24"/>
        </w:rPr>
        <w:t>⑤淤泥夹砂（</w:t>
      </w:r>
      <w:r>
        <w:rPr>
          <w:rFonts w:hint="eastAsia"/>
          <w:sz w:val="24"/>
        </w:rPr>
        <w:t>Q4m</w:t>
      </w:r>
      <w:r>
        <w:rPr>
          <w:rFonts w:hint="eastAsia"/>
          <w:sz w:val="24"/>
        </w:rPr>
        <w:t>）：淤积成因。深灰色，饱和，流塑。以淤泥夹砂为主，局部为淤泥质土。含有腐</w:t>
      </w:r>
      <w:r>
        <w:rPr>
          <w:rFonts w:hint="eastAsia"/>
          <w:sz w:val="24"/>
        </w:rPr>
        <w:t>殖质，略具臭味，有机质含量为</w:t>
      </w:r>
      <w:r>
        <w:rPr>
          <w:rFonts w:hint="eastAsia"/>
          <w:sz w:val="24"/>
        </w:rPr>
        <w:t>2.34</w:t>
      </w:r>
      <w:r>
        <w:rPr>
          <w:rFonts w:hint="eastAsia"/>
          <w:sz w:val="24"/>
        </w:rPr>
        <w:t>～</w:t>
      </w:r>
      <w:r>
        <w:rPr>
          <w:rFonts w:hint="eastAsia"/>
          <w:sz w:val="24"/>
        </w:rPr>
        <w:t>9.92%</w:t>
      </w:r>
      <w:r>
        <w:rPr>
          <w:rFonts w:hint="eastAsia"/>
          <w:sz w:val="24"/>
        </w:rPr>
        <w:t>，平均值为</w:t>
      </w:r>
      <w:r>
        <w:rPr>
          <w:rFonts w:hint="eastAsia"/>
          <w:sz w:val="24"/>
        </w:rPr>
        <w:t>6.55%</w:t>
      </w:r>
      <w:r>
        <w:rPr>
          <w:rFonts w:hint="eastAsia"/>
          <w:sz w:val="24"/>
        </w:rPr>
        <w:t>。不均匀夹有</w:t>
      </w:r>
      <w:r>
        <w:rPr>
          <w:rFonts w:hint="eastAsia"/>
          <w:sz w:val="24"/>
        </w:rPr>
        <w:t>2-15cm</w:t>
      </w:r>
      <w:r>
        <w:rPr>
          <w:rFonts w:hint="eastAsia"/>
          <w:sz w:val="24"/>
        </w:rPr>
        <w:t>薄层粉细砂，含量约占</w:t>
      </w:r>
      <w:r>
        <w:rPr>
          <w:rFonts w:hint="eastAsia"/>
          <w:sz w:val="24"/>
        </w:rPr>
        <w:t>10-20%</w:t>
      </w:r>
      <w:r>
        <w:rPr>
          <w:rFonts w:hint="eastAsia"/>
          <w:sz w:val="24"/>
        </w:rPr>
        <w:t>。捻面有砂感，稍有光泽，干强度、韧性中等，摇振反应慢。本层分布于场地绝大部分地段，分布厚度</w:t>
      </w:r>
      <w:r>
        <w:rPr>
          <w:rFonts w:hint="eastAsia"/>
          <w:sz w:val="24"/>
        </w:rPr>
        <w:t>1.30</w:t>
      </w:r>
      <w:r>
        <w:rPr>
          <w:rFonts w:hint="eastAsia"/>
          <w:sz w:val="24"/>
        </w:rPr>
        <w:t>～</w:t>
      </w:r>
      <w:r>
        <w:rPr>
          <w:rFonts w:hint="eastAsia"/>
          <w:sz w:val="24"/>
        </w:rPr>
        <w:t>33.20m</w:t>
      </w:r>
      <w:r>
        <w:rPr>
          <w:rFonts w:hint="eastAsia"/>
          <w:sz w:val="24"/>
        </w:rPr>
        <w:t>（一般厚度为</w:t>
      </w:r>
      <w:r>
        <w:rPr>
          <w:rFonts w:hint="eastAsia"/>
          <w:sz w:val="24"/>
        </w:rPr>
        <w:t>5.00</w:t>
      </w:r>
      <w:r>
        <w:rPr>
          <w:rFonts w:hint="eastAsia"/>
          <w:sz w:val="24"/>
        </w:rPr>
        <w:t>～</w:t>
      </w:r>
      <w:r>
        <w:rPr>
          <w:rFonts w:hint="eastAsia"/>
          <w:sz w:val="24"/>
        </w:rPr>
        <w:t>25.00m</w:t>
      </w:r>
      <w:r>
        <w:rPr>
          <w:rFonts w:hint="eastAsia"/>
          <w:sz w:val="24"/>
        </w:rPr>
        <w:t>），层顶埋深</w:t>
      </w:r>
      <w:r>
        <w:rPr>
          <w:rFonts w:hint="eastAsia"/>
          <w:sz w:val="24"/>
        </w:rPr>
        <w:t>1.20</w:t>
      </w:r>
      <w:r>
        <w:rPr>
          <w:rFonts w:hint="eastAsia"/>
          <w:sz w:val="24"/>
        </w:rPr>
        <w:t>～</w:t>
      </w:r>
      <w:r>
        <w:rPr>
          <w:rFonts w:hint="eastAsia"/>
          <w:sz w:val="24"/>
        </w:rPr>
        <w:t>19.70m</w:t>
      </w:r>
      <w:r>
        <w:rPr>
          <w:rFonts w:hint="eastAsia"/>
          <w:sz w:val="24"/>
        </w:rPr>
        <w:t>，层顶标高</w:t>
      </w:r>
      <w:r>
        <w:rPr>
          <w:rFonts w:hint="eastAsia"/>
          <w:sz w:val="24"/>
        </w:rPr>
        <w:t>-16.06</w:t>
      </w:r>
      <w:r>
        <w:rPr>
          <w:rFonts w:hint="eastAsia"/>
          <w:sz w:val="24"/>
        </w:rPr>
        <w:t>～</w:t>
      </w:r>
      <w:r>
        <w:rPr>
          <w:rFonts w:hint="eastAsia"/>
          <w:sz w:val="24"/>
        </w:rPr>
        <w:t>4.36m</w:t>
      </w:r>
      <w:r>
        <w:rPr>
          <w:rFonts w:hint="eastAsia"/>
          <w:sz w:val="24"/>
        </w:rPr>
        <w:t>。</w:t>
      </w:r>
    </w:p>
    <w:p w:rsidR="00B37071">
      <w:pPr>
        <w:pStyle w:val="Normal0"/>
        <w:spacing w:line="360" w:lineRule="auto"/>
        <w:rPr>
          <w:sz w:val="24"/>
        </w:rPr>
      </w:pPr>
      <w:r>
        <w:rPr>
          <w:rFonts w:hint="eastAsia"/>
          <w:sz w:val="24"/>
        </w:rPr>
        <w:t>本层在</w:t>
      </w:r>
      <w:r>
        <w:rPr>
          <w:rFonts w:hint="eastAsia"/>
          <w:sz w:val="24"/>
        </w:rPr>
        <w:t>ZK71</w:t>
      </w:r>
      <w:r>
        <w:rPr>
          <w:rFonts w:hint="eastAsia"/>
          <w:sz w:val="24"/>
        </w:rPr>
        <w:t>、</w:t>
      </w:r>
      <w:r>
        <w:rPr>
          <w:rFonts w:hint="eastAsia"/>
          <w:sz w:val="24"/>
        </w:rPr>
        <w:t>ZK75</w:t>
      </w:r>
      <w:r>
        <w:rPr>
          <w:rFonts w:hint="eastAsia"/>
          <w:sz w:val="24"/>
        </w:rPr>
        <w:t>、</w:t>
      </w:r>
      <w:r>
        <w:rPr>
          <w:rFonts w:hint="eastAsia"/>
          <w:sz w:val="24"/>
        </w:rPr>
        <w:t>ZK79</w:t>
      </w:r>
      <w:r>
        <w:rPr>
          <w:rFonts w:hint="eastAsia"/>
          <w:sz w:val="24"/>
        </w:rPr>
        <w:t>、</w:t>
      </w:r>
      <w:r>
        <w:rPr>
          <w:rFonts w:hint="eastAsia"/>
          <w:sz w:val="24"/>
        </w:rPr>
        <w:t>DK43</w:t>
      </w:r>
      <w:r>
        <w:rPr>
          <w:rFonts w:hint="eastAsia"/>
          <w:sz w:val="24"/>
        </w:rPr>
        <w:t>钻孔地段分布有厚度</w:t>
      </w:r>
      <w:r>
        <w:rPr>
          <w:rFonts w:hint="eastAsia"/>
          <w:sz w:val="24"/>
        </w:rPr>
        <w:t>1.40</w:t>
      </w:r>
      <w:r>
        <w:rPr>
          <w:rFonts w:hint="eastAsia"/>
          <w:sz w:val="24"/>
        </w:rPr>
        <w:t>～</w:t>
      </w:r>
      <w:r>
        <w:rPr>
          <w:rFonts w:hint="eastAsia"/>
          <w:sz w:val="24"/>
        </w:rPr>
        <w:t>2.30m</w:t>
      </w:r>
      <w:r>
        <w:rPr>
          <w:rFonts w:hint="eastAsia"/>
          <w:sz w:val="24"/>
        </w:rPr>
        <w:t>呈灰色稍密状的粉砂夹淤泥（编号为⑤夹粉砂夹淤泥），具体位置详见工程地质剖面图。</w:t>
      </w:r>
    </w:p>
    <w:p w:rsidR="00B37071">
      <w:pPr>
        <w:pStyle w:val="Normal0"/>
        <w:spacing w:line="360" w:lineRule="auto"/>
        <w:ind w:firstLine="480" w:firstLineChars="200"/>
        <w:rPr>
          <w:sz w:val="24"/>
        </w:rPr>
        <w:sectPr>
          <w:type w:val="nextPage"/>
          <w:pgSz w:w="11907" w:h="16840"/>
          <w:pgMar w:top="1418" w:right="1123" w:bottom="1418" w:left="1418" w:header="851" w:footer="851" w:gutter="0"/>
          <w:pgNumType w:fmt="numberInDash" w:start="3"/>
          <w:cols w:space="708"/>
          <w:titlePg w:val="0"/>
          <w:docGrid w:linePitch="312"/>
        </w:sectPr>
      </w:pPr>
      <w:r>
        <w:rPr>
          <w:rFonts w:hint="eastAsia"/>
          <w:sz w:val="24"/>
        </w:rPr>
        <w:t>⑥</w:t>
      </w:r>
      <w:r>
        <w:rPr>
          <w:rFonts w:hint="eastAsia"/>
          <w:sz w:val="24"/>
        </w:rPr>
        <w:t>-1</w:t>
      </w:r>
      <w:r>
        <w:rPr>
          <w:rFonts w:hint="eastAsia"/>
          <w:sz w:val="24"/>
        </w:rPr>
        <w:t>粉质粘土（</w:t>
      </w:r>
      <w:r>
        <w:rPr>
          <w:rFonts w:hint="eastAsia"/>
          <w:sz w:val="24"/>
        </w:rPr>
        <w:t>Q4al</w:t>
      </w:r>
      <w:r>
        <w:rPr>
          <w:rFonts w:hint="eastAsia"/>
          <w:sz w:val="24"/>
        </w:rPr>
        <w:t>）：冲积成因。灰色、灰黄色，可塑，局部软可塑，饱和。以粉质粘土为主，部分为粘土，局部为粉土。含少量铁锰质氧化物</w:t>
      </w:r>
      <w:r>
        <w:rPr>
          <w:rFonts w:hint="eastAsia"/>
          <w:sz w:val="24"/>
        </w:rPr>
        <w:t xml:space="preserve">, </w:t>
      </w:r>
      <w:r>
        <w:rPr>
          <w:rFonts w:hint="eastAsia"/>
          <w:sz w:val="24"/>
        </w:rPr>
        <w:t>局部地段不均匀夹有单层厚度</w:t>
      </w:r>
      <w:r>
        <w:rPr>
          <w:rFonts w:hint="eastAsia"/>
          <w:sz w:val="24"/>
        </w:rPr>
        <w:t>2-20cm</w:t>
      </w:r>
      <w:r>
        <w:rPr>
          <w:rFonts w:hint="eastAsia"/>
          <w:sz w:val="24"/>
        </w:rPr>
        <w:t>的粉细砂。粘性较强，捻面较光滑，稍有光泽，干强度及韧性高，无摇震反</w:t>
      </w:r>
    </w:p>
    <w:p w:rsidR="00B37071">
      <w:pPr>
        <w:pStyle w:val="Normal0"/>
        <w:spacing w:line="360" w:lineRule="auto"/>
        <w:ind w:firstLine="480" w:firstLineChars="200"/>
        <w:rPr>
          <w:sz w:val="24"/>
        </w:rPr>
      </w:pPr>
      <w:r>
        <w:rPr>
          <w:rFonts w:hint="eastAsia"/>
          <w:sz w:val="24"/>
        </w:rPr>
        <w:t>应。</w:t>
      </w:r>
      <w:r>
        <w:rPr>
          <w:rFonts w:hint="eastAsia"/>
          <w:sz w:val="24"/>
        </w:rPr>
        <w:t>N=7-19</w:t>
      </w:r>
      <w:r>
        <w:rPr>
          <w:rFonts w:hint="eastAsia"/>
          <w:sz w:val="24"/>
        </w:rPr>
        <w:t>击，</w:t>
      </w:r>
      <w:r>
        <w:rPr>
          <w:rFonts w:hint="eastAsia"/>
          <w:sz w:val="24"/>
        </w:rPr>
        <w:t xml:space="preserve"> </w:t>
      </w:r>
      <w:r>
        <w:rPr>
          <w:rFonts w:hint="eastAsia"/>
          <w:sz w:val="24"/>
        </w:rPr>
        <w:t>—</w:t>
      </w:r>
      <w:r>
        <w:rPr>
          <w:rFonts w:hint="eastAsia"/>
          <w:sz w:val="24"/>
        </w:rPr>
        <w:t>N=12.5</w:t>
      </w:r>
      <w:r>
        <w:rPr>
          <w:rFonts w:hint="eastAsia"/>
          <w:sz w:val="24"/>
        </w:rPr>
        <w:t>击。本层不均匀分布在场地部分地段，分布厚度</w:t>
      </w:r>
      <w:r>
        <w:rPr>
          <w:rFonts w:hint="eastAsia"/>
          <w:sz w:val="24"/>
        </w:rPr>
        <w:t>0.90</w:t>
      </w:r>
      <w:r>
        <w:rPr>
          <w:rFonts w:hint="eastAsia"/>
          <w:sz w:val="24"/>
        </w:rPr>
        <w:t>～</w:t>
      </w:r>
      <w:r>
        <w:rPr>
          <w:rFonts w:hint="eastAsia"/>
          <w:sz w:val="24"/>
        </w:rPr>
        <w:t>8.40m</w:t>
      </w:r>
      <w:r>
        <w:rPr>
          <w:rFonts w:hint="eastAsia"/>
          <w:sz w:val="24"/>
        </w:rPr>
        <w:t>，层顶埋深</w:t>
      </w:r>
      <w:r>
        <w:rPr>
          <w:rFonts w:hint="eastAsia"/>
          <w:sz w:val="24"/>
        </w:rPr>
        <w:t>11.80</w:t>
      </w:r>
      <w:r>
        <w:rPr>
          <w:rFonts w:hint="eastAsia"/>
          <w:sz w:val="24"/>
        </w:rPr>
        <w:t>～</w:t>
      </w:r>
      <w:r>
        <w:rPr>
          <w:rFonts w:hint="eastAsia"/>
          <w:sz w:val="24"/>
        </w:rPr>
        <w:t>35.90m</w:t>
      </w:r>
      <w:r>
        <w:rPr>
          <w:rFonts w:hint="eastAsia"/>
          <w:sz w:val="24"/>
        </w:rPr>
        <w:t>，层顶标高</w:t>
      </w:r>
      <w:r>
        <w:rPr>
          <w:rFonts w:hint="eastAsia"/>
          <w:sz w:val="24"/>
        </w:rPr>
        <w:t>-33.14</w:t>
      </w:r>
      <w:r>
        <w:rPr>
          <w:rFonts w:hint="eastAsia"/>
          <w:sz w:val="24"/>
        </w:rPr>
        <w:t>～</w:t>
      </w:r>
      <w:r>
        <w:rPr>
          <w:rFonts w:hint="eastAsia"/>
          <w:sz w:val="24"/>
        </w:rPr>
        <w:t>-8.88m</w:t>
      </w:r>
      <w:r>
        <w:rPr>
          <w:rFonts w:hint="eastAsia"/>
          <w:sz w:val="24"/>
        </w:rPr>
        <w:t>。</w:t>
      </w:r>
    </w:p>
    <w:p w:rsidR="00B37071">
      <w:pPr>
        <w:pStyle w:val="Normal0"/>
        <w:spacing w:line="360" w:lineRule="auto"/>
        <w:ind w:firstLine="480" w:firstLineChars="200"/>
        <w:rPr>
          <w:sz w:val="24"/>
        </w:rPr>
      </w:pPr>
      <w:r>
        <w:rPr>
          <w:rFonts w:hint="eastAsia"/>
          <w:sz w:val="24"/>
        </w:rPr>
        <w:t>⑥</w:t>
      </w:r>
      <w:r>
        <w:rPr>
          <w:rFonts w:hint="eastAsia"/>
          <w:sz w:val="24"/>
        </w:rPr>
        <w:t>-2</w:t>
      </w:r>
      <w:r>
        <w:rPr>
          <w:rFonts w:hint="eastAsia"/>
          <w:sz w:val="24"/>
        </w:rPr>
        <w:t>粉砂（</w:t>
      </w:r>
      <w:r>
        <w:rPr>
          <w:rFonts w:hint="eastAsia"/>
          <w:sz w:val="24"/>
        </w:rPr>
        <w:t>Q4al</w:t>
      </w:r>
      <w:r>
        <w:rPr>
          <w:rFonts w:hint="eastAsia"/>
          <w:sz w:val="24"/>
        </w:rPr>
        <w:t>）：冲积成因。灰黄色，稍密～中密，局部呈密实状，饱和。以粉砂为主，局部为中砂。矿</w:t>
      </w:r>
      <w:r>
        <w:rPr>
          <w:rFonts w:hint="eastAsia"/>
          <w:sz w:val="24"/>
        </w:rPr>
        <w:t>物成分以石英为主，粒径大于</w:t>
      </w:r>
      <w:r>
        <w:rPr>
          <w:rFonts w:hint="eastAsia"/>
          <w:sz w:val="24"/>
        </w:rPr>
        <w:t>0.075mm</w:t>
      </w:r>
      <w:r>
        <w:rPr>
          <w:rFonts w:hint="eastAsia"/>
          <w:sz w:val="24"/>
        </w:rPr>
        <w:t>颗粒平均含量约占</w:t>
      </w:r>
      <w:r>
        <w:rPr>
          <w:rFonts w:hint="eastAsia"/>
          <w:sz w:val="24"/>
        </w:rPr>
        <w:t>70.4%</w:t>
      </w:r>
      <w:r>
        <w:rPr>
          <w:rFonts w:hint="eastAsia"/>
          <w:sz w:val="24"/>
        </w:rPr>
        <w:t>，颗粒呈次棱角状，分选性较差，级配较好。</w:t>
      </w:r>
      <w:r>
        <w:rPr>
          <w:rFonts w:hint="eastAsia"/>
          <w:sz w:val="24"/>
        </w:rPr>
        <w:t>N=11-34</w:t>
      </w:r>
      <w:r>
        <w:rPr>
          <w:rFonts w:hint="eastAsia"/>
          <w:sz w:val="24"/>
        </w:rPr>
        <w:t>击，</w:t>
      </w:r>
      <w:r>
        <w:rPr>
          <w:rFonts w:hint="eastAsia"/>
          <w:sz w:val="24"/>
        </w:rPr>
        <w:t xml:space="preserve"> </w:t>
      </w:r>
      <w:r>
        <w:rPr>
          <w:rFonts w:hint="eastAsia"/>
          <w:sz w:val="24"/>
        </w:rPr>
        <w:t>—</w:t>
      </w:r>
      <w:r>
        <w:rPr>
          <w:rFonts w:hint="eastAsia"/>
          <w:sz w:val="24"/>
        </w:rPr>
        <w:t>N=17.1</w:t>
      </w:r>
      <w:r>
        <w:rPr>
          <w:rFonts w:hint="eastAsia"/>
          <w:sz w:val="24"/>
        </w:rPr>
        <w:t>击。本层主要分布在歌剧院地段，分布厚度</w:t>
      </w:r>
      <w:r>
        <w:rPr>
          <w:rFonts w:hint="eastAsia"/>
          <w:sz w:val="24"/>
        </w:rPr>
        <w:t>0.50</w:t>
      </w:r>
      <w:r>
        <w:rPr>
          <w:rFonts w:hint="eastAsia"/>
          <w:sz w:val="24"/>
        </w:rPr>
        <w:t>～</w:t>
      </w:r>
      <w:r>
        <w:rPr>
          <w:rFonts w:hint="eastAsia"/>
          <w:sz w:val="24"/>
        </w:rPr>
        <w:t>18.70m</w:t>
      </w:r>
      <w:r>
        <w:rPr>
          <w:rFonts w:hint="eastAsia"/>
          <w:sz w:val="24"/>
        </w:rPr>
        <w:t>（一般厚度为</w:t>
      </w:r>
      <w:r>
        <w:rPr>
          <w:rFonts w:hint="eastAsia"/>
          <w:sz w:val="24"/>
        </w:rPr>
        <w:t>5.00</w:t>
      </w:r>
      <w:r>
        <w:rPr>
          <w:rFonts w:hint="eastAsia"/>
          <w:sz w:val="24"/>
        </w:rPr>
        <w:t>～</w:t>
      </w:r>
      <w:r>
        <w:rPr>
          <w:rFonts w:hint="eastAsia"/>
          <w:sz w:val="24"/>
        </w:rPr>
        <w:t>13.00m</w:t>
      </w:r>
      <w:r>
        <w:rPr>
          <w:rFonts w:hint="eastAsia"/>
          <w:sz w:val="24"/>
        </w:rPr>
        <w:t>），层顶埋深</w:t>
      </w:r>
      <w:r>
        <w:rPr>
          <w:rFonts w:hint="eastAsia"/>
          <w:sz w:val="24"/>
        </w:rPr>
        <w:t>12.60</w:t>
      </w:r>
      <w:r>
        <w:rPr>
          <w:rFonts w:hint="eastAsia"/>
          <w:sz w:val="24"/>
        </w:rPr>
        <w:t>～</w:t>
      </w:r>
      <w:r>
        <w:rPr>
          <w:rFonts w:hint="eastAsia"/>
          <w:sz w:val="24"/>
        </w:rPr>
        <w:t>37.30m</w:t>
      </w:r>
      <w:r>
        <w:rPr>
          <w:rFonts w:hint="eastAsia"/>
          <w:sz w:val="24"/>
        </w:rPr>
        <w:t>，层顶标高</w:t>
      </w:r>
      <w:r>
        <w:rPr>
          <w:rFonts w:hint="eastAsia"/>
          <w:sz w:val="24"/>
        </w:rPr>
        <w:t>-33.93</w:t>
      </w:r>
      <w:r>
        <w:rPr>
          <w:rFonts w:hint="eastAsia"/>
          <w:sz w:val="24"/>
        </w:rPr>
        <w:t>～</w:t>
      </w:r>
      <w:r>
        <w:rPr>
          <w:rFonts w:hint="eastAsia"/>
          <w:sz w:val="24"/>
        </w:rPr>
        <w:t>-5.52m</w:t>
      </w:r>
      <w:r>
        <w:rPr>
          <w:rFonts w:hint="eastAsia"/>
          <w:sz w:val="24"/>
        </w:rPr>
        <w:t>。</w:t>
      </w:r>
    </w:p>
    <w:p w:rsidR="00B37071">
      <w:pPr>
        <w:pStyle w:val="Normal0"/>
        <w:spacing w:line="360" w:lineRule="auto"/>
        <w:ind w:firstLine="480" w:firstLineChars="200"/>
        <w:rPr>
          <w:sz w:val="24"/>
        </w:rPr>
      </w:pPr>
      <w:r>
        <w:rPr>
          <w:rFonts w:hint="eastAsia"/>
          <w:sz w:val="24"/>
        </w:rPr>
        <w:t>⑦淤泥质土（</w:t>
      </w:r>
      <w:r>
        <w:rPr>
          <w:rFonts w:hint="eastAsia"/>
          <w:sz w:val="24"/>
        </w:rPr>
        <w:t>Q4m</w:t>
      </w:r>
      <w:r>
        <w:rPr>
          <w:rFonts w:hint="eastAsia"/>
          <w:sz w:val="24"/>
        </w:rPr>
        <w:t>）：淤积成因。深灰色，饱和，流塑。以淤泥质土为主，局部为淤泥。含有腐殖质，略具臭味。有粘性，捻面较光滑，稍有光泽，干强度、韧性中等，摇振反应慢。本层不均匀分布于场地部分地段，分布厚度为</w:t>
      </w:r>
      <w:r>
        <w:rPr>
          <w:rFonts w:hint="eastAsia"/>
          <w:sz w:val="24"/>
        </w:rPr>
        <w:t>1.00-19.10m</w:t>
      </w:r>
      <w:r>
        <w:rPr>
          <w:rFonts w:hint="eastAsia"/>
          <w:sz w:val="24"/>
        </w:rPr>
        <w:t>（一般厚度为</w:t>
      </w:r>
      <w:r>
        <w:rPr>
          <w:rFonts w:hint="eastAsia"/>
          <w:sz w:val="24"/>
        </w:rPr>
        <w:t>2.00</w:t>
      </w:r>
      <w:r>
        <w:rPr>
          <w:rFonts w:hint="eastAsia"/>
          <w:sz w:val="24"/>
        </w:rPr>
        <w:t>～</w:t>
      </w:r>
      <w:r>
        <w:rPr>
          <w:rFonts w:hint="eastAsia"/>
          <w:sz w:val="24"/>
        </w:rPr>
        <w:t>13.00m</w:t>
      </w:r>
      <w:r>
        <w:rPr>
          <w:rFonts w:hint="eastAsia"/>
          <w:sz w:val="24"/>
        </w:rPr>
        <w:t>），层顶埋深</w:t>
      </w:r>
      <w:r>
        <w:rPr>
          <w:rFonts w:hint="eastAsia"/>
          <w:sz w:val="24"/>
        </w:rPr>
        <w:t>15.70</w:t>
      </w:r>
      <w:r>
        <w:rPr>
          <w:rFonts w:hint="eastAsia"/>
          <w:sz w:val="24"/>
        </w:rPr>
        <w:t>～</w:t>
      </w:r>
      <w:r>
        <w:rPr>
          <w:rFonts w:hint="eastAsia"/>
          <w:sz w:val="24"/>
        </w:rPr>
        <w:t>30.10m</w:t>
      </w:r>
      <w:r>
        <w:rPr>
          <w:rFonts w:hint="eastAsia"/>
          <w:sz w:val="24"/>
        </w:rPr>
        <w:t>，层顶标高</w:t>
      </w:r>
      <w:r>
        <w:rPr>
          <w:rFonts w:hint="eastAsia"/>
          <w:sz w:val="24"/>
        </w:rPr>
        <w:t>-8.66</w:t>
      </w:r>
      <w:r>
        <w:rPr>
          <w:rFonts w:hint="eastAsia"/>
          <w:sz w:val="24"/>
        </w:rPr>
        <w:t>～</w:t>
      </w:r>
      <w:r>
        <w:rPr>
          <w:rFonts w:hint="eastAsia"/>
          <w:sz w:val="24"/>
        </w:rPr>
        <w:t>-25.13m</w:t>
      </w:r>
      <w:r>
        <w:rPr>
          <w:rFonts w:hint="eastAsia"/>
          <w:sz w:val="24"/>
        </w:rPr>
        <w:t>。</w:t>
      </w:r>
    </w:p>
    <w:p w:rsidR="00B37071">
      <w:pPr>
        <w:pStyle w:val="Normal0"/>
        <w:spacing w:line="360" w:lineRule="auto"/>
        <w:ind w:firstLine="480" w:firstLineChars="200"/>
        <w:rPr>
          <w:sz w:val="24"/>
        </w:rPr>
      </w:pPr>
      <w:r>
        <w:rPr>
          <w:rFonts w:hint="eastAsia"/>
          <w:sz w:val="24"/>
        </w:rPr>
        <w:t>本层在展览厅与影视厅地段的</w:t>
      </w:r>
      <w:r>
        <w:rPr>
          <w:rFonts w:hint="eastAsia"/>
          <w:sz w:val="24"/>
        </w:rPr>
        <w:t>ZK66</w:t>
      </w:r>
      <w:r>
        <w:rPr>
          <w:rFonts w:hint="eastAsia"/>
          <w:sz w:val="24"/>
        </w:rPr>
        <w:t>孔分布有二层孤石，厚度分布为</w:t>
      </w:r>
      <w:r>
        <w:rPr>
          <w:rFonts w:hint="eastAsia"/>
          <w:sz w:val="24"/>
        </w:rPr>
        <w:t>1.10m</w:t>
      </w:r>
      <w:r>
        <w:rPr>
          <w:rFonts w:hint="eastAsia"/>
          <w:sz w:val="24"/>
        </w:rPr>
        <w:t>和</w:t>
      </w:r>
      <w:r>
        <w:rPr>
          <w:rFonts w:hint="eastAsia"/>
          <w:sz w:val="24"/>
        </w:rPr>
        <w:t>1.20m</w:t>
      </w:r>
      <w:r>
        <w:rPr>
          <w:rFonts w:hint="eastAsia"/>
          <w:sz w:val="24"/>
        </w:rPr>
        <w:t>；</w:t>
      </w:r>
      <w:r>
        <w:rPr>
          <w:rFonts w:hint="eastAsia"/>
          <w:sz w:val="24"/>
        </w:rPr>
        <w:t>DK58</w:t>
      </w:r>
      <w:r>
        <w:rPr>
          <w:rFonts w:hint="eastAsia"/>
          <w:sz w:val="24"/>
        </w:rPr>
        <w:t>孔分布有一层孤石，分布厚度为</w:t>
      </w:r>
      <w:r>
        <w:rPr>
          <w:rFonts w:hint="eastAsia"/>
          <w:sz w:val="24"/>
        </w:rPr>
        <w:t>0.30m</w:t>
      </w:r>
      <w:r>
        <w:rPr>
          <w:rFonts w:hint="eastAsia"/>
          <w:sz w:val="24"/>
        </w:rPr>
        <w:t>；</w:t>
      </w:r>
      <w:r>
        <w:rPr>
          <w:rFonts w:hint="eastAsia"/>
          <w:sz w:val="24"/>
        </w:rPr>
        <w:t>ZK71</w:t>
      </w:r>
      <w:r>
        <w:rPr>
          <w:rFonts w:hint="eastAsia"/>
          <w:sz w:val="24"/>
        </w:rPr>
        <w:t>孔分布有两个空洞，厚度为</w:t>
      </w:r>
      <w:r>
        <w:rPr>
          <w:rFonts w:hint="eastAsia"/>
          <w:sz w:val="24"/>
        </w:rPr>
        <w:t>0.30m</w:t>
      </w:r>
      <w:r>
        <w:rPr>
          <w:rFonts w:hint="eastAsia"/>
          <w:sz w:val="24"/>
        </w:rPr>
        <w:t>和</w:t>
      </w:r>
      <w:r>
        <w:rPr>
          <w:rFonts w:hint="eastAsia"/>
          <w:sz w:val="24"/>
        </w:rPr>
        <w:t>0.40m</w:t>
      </w:r>
      <w:r>
        <w:rPr>
          <w:rFonts w:hint="eastAsia"/>
          <w:sz w:val="24"/>
        </w:rPr>
        <w:t>，以及厚度为</w:t>
      </w:r>
      <w:r>
        <w:rPr>
          <w:rFonts w:hint="eastAsia"/>
          <w:sz w:val="24"/>
        </w:rPr>
        <w:t>2.10m</w:t>
      </w:r>
      <w:r>
        <w:rPr>
          <w:rFonts w:hint="eastAsia"/>
          <w:sz w:val="24"/>
        </w:rPr>
        <w:t>的孤石；</w:t>
      </w:r>
      <w:r>
        <w:rPr>
          <w:rFonts w:hint="eastAsia"/>
          <w:sz w:val="24"/>
        </w:rPr>
        <w:t>DK56</w:t>
      </w:r>
      <w:r>
        <w:rPr>
          <w:rFonts w:hint="eastAsia"/>
          <w:sz w:val="24"/>
        </w:rPr>
        <w:t>孔分布有两个空洞，埋藏深度</w:t>
      </w:r>
      <w:r>
        <w:rPr>
          <w:rFonts w:hint="eastAsia"/>
          <w:sz w:val="24"/>
        </w:rPr>
        <w:t>37.50</w:t>
      </w:r>
      <w:r>
        <w:rPr>
          <w:rFonts w:hint="eastAsia"/>
          <w:sz w:val="24"/>
        </w:rPr>
        <w:t>～</w:t>
      </w:r>
      <w:r>
        <w:rPr>
          <w:rFonts w:hint="eastAsia"/>
          <w:sz w:val="24"/>
        </w:rPr>
        <w:t>38.30m</w:t>
      </w:r>
      <w:r>
        <w:rPr>
          <w:rFonts w:hint="eastAsia"/>
          <w:sz w:val="24"/>
        </w:rPr>
        <w:t>和</w:t>
      </w:r>
      <w:r>
        <w:rPr>
          <w:rFonts w:hint="eastAsia"/>
          <w:sz w:val="24"/>
        </w:rPr>
        <w:t>40.30</w:t>
      </w:r>
      <w:r>
        <w:rPr>
          <w:rFonts w:hint="eastAsia"/>
          <w:sz w:val="24"/>
        </w:rPr>
        <w:t>～</w:t>
      </w:r>
      <w:r>
        <w:rPr>
          <w:rFonts w:hint="eastAsia"/>
          <w:sz w:val="24"/>
        </w:rPr>
        <w:t>40.60m</w:t>
      </w:r>
      <w:r>
        <w:rPr>
          <w:rFonts w:hint="eastAsia"/>
          <w:sz w:val="24"/>
        </w:rPr>
        <w:t>，两个空洞之间为碎石含泥，</w:t>
      </w:r>
      <w:r>
        <w:rPr>
          <w:rFonts w:hint="eastAsia"/>
          <w:sz w:val="24"/>
        </w:rPr>
        <w:t>B9</w:t>
      </w:r>
      <w:r>
        <w:rPr>
          <w:rFonts w:hint="eastAsia"/>
          <w:sz w:val="24"/>
        </w:rPr>
        <w:t>孔分布有厚度为</w:t>
      </w:r>
      <w:r>
        <w:rPr>
          <w:rFonts w:hint="eastAsia"/>
          <w:sz w:val="24"/>
        </w:rPr>
        <w:t>4.45m</w:t>
      </w:r>
      <w:r>
        <w:rPr>
          <w:rFonts w:hint="eastAsia"/>
          <w:sz w:val="24"/>
        </w:rPr>
        <w:t>的孤石和厚度为</w:t>
      </w:r>
      <w:r>
        <w:rPr>
          <w:rFonts w:hint="eastAsia"/>
          <w:sz w:val="24"/>
        </w:rPr>
        <w:t>0.35m</w:t>
      </w:r>
      <w:r>
        <w:rPr>
          <w:rFonts w:hint="eastAsia"/>
          <w:sz w:val="24"/>
        </w:rPr>
        <w:t>的空洞。孤石成分为微风化花岗岩，呈坚硬状。以上存在空洞的地段在钻探施工过程中漏浆严重，后采用跟钢管（Φ</w:t>
      </w:r>
      <w:r>
        <w:rPr>
          <w:rFonts w:hint="eastAsia"/>
          <w:sz w:val="24"/>
        </w:rPr>
        <w:t>110mm</w:t>
      </w:r>
      <w:r>
        <w:rPr>
          <w:rFonts w:hint="eastAsia"/>
          <w:sz w:val="24"/>
        </w:rPr>
        <w:t>）钻进。具体分布情况</w:t>
      </w:r>
      <w:r>
        <w:rPr>
          <w:rFonts w:hint="eastAsia"/>
          <w:sz w:val="24"/>
        </w:rPr>
        <w:t>详见工程地质剖面图及表</w:t>
      </w:r>
      <w:r>
        <w:rPr>
          <w:rFonts w:hint="eastAsia"/>
          <w:sz w:val="24"/>
        </w:rPr>
        <w:t>2.3.1</w:t>
      </w:r>
      <w:r>
        <w:rPr>
          <w:rFonts w:hint="eastAsia"/>
          <w:sz w:val="24"/>
        </w:rPr>
        <w:t>。</w:t>
      </w:r>
    </w:p>
    <w:p w:rsidR="00B37071">
      <w:pPr>
        <w:pStyle w:val="Normal0"/>
        <w:spacing w:line="360" w:lineRule="auto"/>
        <w:ind w:firstLine="480" w:firstLineChars="200"/>
        <w:rPr>
          <w:sz w:val="24"/>
        </w:rPr>
      </w:pPr>
      <w:r>
        <w:rPr>
          <w:rFonts w:hint="eastAsia"/>
          <w:sz w:val="24"/>
        </w:rPr>
        <w:t>⑧粉砂（</w:t>
      </w:r>
      <w:r>
        <w:rPr>
          <w:rFonts w:hint="eastAsia"/>
          <w:sz w:val="24"/>
        </w:rPr>
        <w:t>Q4al</w:t>
      </w:r>
      <w:r>
        <w:rPr>
          <w:rFonts w:hint="eastAsia"/>
          <w:sz w:val="24"/>
        </w:rPr>
        <w:t>）：冲积成因。灰黄色，中密～密实，局部稍密，饱和。以粉砂为主，局部为中砂。矿物成分以石英为主，粒径大于</w:t>
      </w:r>
      <w:r>
        <w:rPr>
          <w:rFonts w:hint="eastAsia"/>
          <w:sz w:val="24"/>
        </w:rPr>
        <w:t>0.075mm</w:t>
      </w:r>
      <w:r>
        <w:rPr>
          <w:rFonts w:hint="eastAsia"/>
          <w:sz w:val="24"/>
        </w:rPr>
        <w:t>颗粒平均含量约占</w:t>
      </w:r>
      <w:r>
        <w:rPr>
          <w:rFonts w:hint="eastAsia"/>
          <w:sz w:val="24"/>
        </w:rPr>
        <w:t>68.4%</w:t>
      </w:r>
      <w:r>
        <w:rPr>
          <w:rFonts w:hint="eastAsia"/>
          <w:sz w:val="24"/>
        </w:rPr>
        <w:t>，颗粒呈次棱角状，分选性较差，级配较好。</w:t>
      </w:r>
      <w:r>
        <w:rPr>
          <w:rFonts w:hint="eastAsia"/>
          <w:sz w:val="24"/>
        </w:rPr>
        <w:t>N=10-35</w:t>
      </w:r>
      <w:r>
        <w:rPr>
          <w:rFonts w:hint="eastAsia"/>
          <w:sz w:val="24"/>
        </w:rPr>
        <w:t>击，</w:t>
      </w:r>
      <w:r>
        <w:rPr>
          <w:rFonts w:hint="eastAsia"/>
          <w:sz w:val="24"/>
        </w:rPr>
        <w:t xml:space="preserve"> </w:t>
      </w:r>
      <w:r>
        <w:rPr>
          <w:rFonts w:hint="eastAsia"/>
          <w:sz w:val="24"/>
        </w:rPr>
        <w:t>—</w:t>
      </w:r>
      <w:r>
        <w:rPr>
          <w:rFonts w:hint="eastAsia"/>
          <w:sz w:val="24"/>
        </w:rPr>
        <w:t>N=21.2</w:t>
      </w:r>
      <w:r>
        <w:rPr>
          <w:rFonts w:hint="eastAsia"/>
          <w:sz w:val="24"/>
        </w:rPr>
        <w:t>击。本层主要分布于歌剧院地段，分布厚度</w:t>
      </w:r>
      <w:r>
        <w:rPr>
          <w:rFonts w:hint="eastAsia"/>
          <w:sz w:val="24"/>
        </w:rPr>
        <w:t>1.20</w:t>
      </w:r>
      <w:r>
        <w:rPr>
          <w:rFonts w:hint="eastAsia"/>
          <w:sz w:val="24"/>
        </w:rPr>
        <w:t>～</w:t>
      </w:r>
      <w:r>
        <w:rPr>
          <w:rFonts w:hint="eastAsia"/>
          <w:sz w:val="24"/>
        </w:rPr>
        <w:t>10.10m</w:t>
      </w:r>
      <w:r>
        <w:rPr>
          <w:rFonts w:hint="eastAsia"/>
          <w:sz w:val="24"/>
        </w:rPr>
        <w:t>，顶面埋深为</w:t>
      </w:r>
      <w:r>
        <w:rPr>
          <w:rFonts w:hint="eastAsia"/>
          <w:sz w:val="24"/>
        </w:rPr>
        <w:t>19.30</w:t>
      </w:r>
      <w:r>
        <w:rPr>
          <w:rFonts w:hint="eastAsia"/>
          <w:sz w:val="24"/>
        </w:rPr>
        <w:t>～</w:t>
      </w:r>
      <w:r>
        <w:rPr>
          <w:rFonts w:hint="eastAsia"/>
          <w:sz w:val="24"/>
        </w:rPr>
        <w:t>38.70m</w:t>
      </w:r>
      <w:r>
        <w:rPr>
          <w:rFonts w:hint="eastAsia"/>
          <w:sz w:val="24"/>
        </w:rPr>
        <w:t>，顶面标高为</w:t>
      </w:r>
      <w:r>
        <w:rPr>
          <w:rFonts w:hint="eastAsia"/>
          <w:sz w:val="24"/>
        </w:rPr>
        <w:t>-31.70</w:t>
      </w:r>
      <w:r>
        <w:rPr>
          <w:rFonts w:hint="eastAsia"/>
          <w:sz w:val="24"/>
        </w:rPr>
        <w:t>～</w:t>
      </w:r>
      <w:r>
        <w:rPr>
          <w:rFonts w:hint="eastAsia"/>
          <w:sz w:val="24"/>
        </w:rPr>
        <w:t>-13.40m</w:t>
      </w:r>
      <w:r>
        <w:rPr>
          <w:rFonts w:hint="eastAsia"/>
          <w:sz w:val="24"/>
        </w:rPr>
        <w:t>。</w:t>
      </w:r>
    </w:p>
    <w:p w:rsidR="00B37071">
      <w:pPr>
        <w:pStyle w:val="Normal0"/>
        <w:spacing w:line="360" w:lineRule="auto"/>
        <w:ind w:firstLine="480" w:firstLineChars="200"/>
        <w:rPr>
          <w:rFonts w:ascii="宋体" w:hAnsi="宋体"/>
          <w:sz w:val="24"/>
        </w:rPr>
      </w:pPr>
      <w:r>
        <w:rPr>
          <w:rFonts w:hint="eastAsia"/>
          <w:sz w:val="24"/>
        </w:rPr>
        <w:t>⑨残积砂质粘性土（</w:t>
      </w:r>
      <w:r>
        <w:rPr>
          <w:rFonts w:hint="eastAsia"/>
          <w:sz w:val="24"/>
        </w:rPr>
        <w:t>Qpel</w:t>
      </w:r>
      <w:r>
        <w:rPr>
          <w:rFonts w:hint="eastAsia"/>
          <w:sz w:val="24"/>
        </w:rPr>
        <w:t>）：灰黄色、可塑，饱和。以残积砂质粘性土为主，局部为残积粘性土。母岩为花岗岩，</w:t>
      </w:r>
      <w:r>
        <w:rPr>
          <w:rFonts w:hint="eastAsia"/>
          <w:sz w:val="24"/>
        </w:rPr>
        <w:t>结构尚可辨，岩芯呈砂土状，浸水易软化、崩解。</w:t>
      </w:r>
      <w:r>
        <w:rPr>
          <w:rFonts w:hint="eastAsia"/>
          <w:sz w:val="24"/>
        </w:rPr>
        <w:t>N=9-29</w:t>
      </w:r>
      <w:r>
        <w:rPr>
          <w:rFonts w:hint="eastAsia"/>
          <w:sz w:val="24"/>
        </w:rPr>
        <w:t>击，</w:t>
      </w:r>
      <w:r>
        <w:rPr>
          <w:rFonts w:hint="eastAsia"/>
          <w:sz w:val="24"/>
        </w:rPr>
        <w:t xml:space="preserve"> </w:t>
      </w:r>
      <w:r>
        <w:rPr>
          <w:rFonts w:hint="eastAsia"/>
          <w:sz w:val="24"/>
        </w:rPr>
        <w:t>—</w:t>
      </w:r>
      <w:r>
        <w:rPr>
          <w:rFonts w:hint="eastAsia"/>
          <w:sz w:val="24"/>
        </w:rPr>
        <w:t>N=21.8</w:t>
      </w:r>
      <w:r>
        <w:rPr>
          <w:rFonts w:hint="eastAsia"/>
          <w:sz w:val="24"/>
        </w:rPr>
        <w:t>击。本层主要分布于多功能厅、展览厅、影视厅地段，分布厚度</w:t>
      </w:r>
      <w:r>
        <w:rPr>
          <w:rFonts w:hint="eastAsia"/>
          <w:sz w:val="24"/>
        </w:rPr>
        <w:t>1.20</w:t>
      </w:r>
      <w:r>
        <w:rPr>
          <w:rFonts w:hint="eastAsia"/>
          <w:sz w:val="24"/>
        </w:rPr>
        <w:t>～</w:t>
      </w:r>
      <w:r>
        <w:rPr>
          <w:rFonts w:hint="eastAsia"/>
          <w:sz w:val="24"/>
        </w:rPr>
        <w:t>12.20m</w:t>
      </w:r>
      <w:r>
        <w:rPr>
          <w:rFonts w:hint="eastAsia"/>
          <w:sz w:val="24"/>
        </w:rPr>
        <w:t>，层顶埋深</w:t>
      </w:r>
      <w:r>
        <w:rPr>
          <w:rFonts w:hint="eastAsia"/>
          <w:sz w:val="24"/>
        </w:rPr>
        <w:t>14.90</w:t>
      </w:r>
      <w:r>
        <w:rPr>
          <w:rFonts w:hint="eastAsia"/>
          <w:sz w:val="24"/>
        </w:rPr>
        <w:t>～</w:t>
      </w:r>
      <w:r>
        <w:rPr>
          <w:rFonts w:hint="eastAsia"/>
          <w:sz w:val="24"/>
        </w:rPr>
        <w:t>41.20m</w:t>
      </w:r>
      <w:r>
        <w:rPr>
          <w:rFonts w:hint="eastAsia"/>
          <w:sz w:val="24"/>
        </w:rPr>
        <w:t>，层顶标高</w:t>
      </w:r>
      <w:r>
        <w:rPr>
          <w:rFonts w:hint="eastAsia"/>
          <w:sz w:val="24"/>
        </w:rPr>
        <w:t>-37.83</w:t>
      </w:r>
      <w:r>
        <w:rPr>
          <w:rFonts w:hint="eastAsia"/>
          <w:sz w:val="24"/>
        </w:rPr>
        <w:t>～</w:t>
      </w:r>
      <w:r>
        <w:rPr>
          <w:rFonts w:hint="eastAsia"/>
          <w:sz w:val="24"/>
        </w:rPr>
        <w:t>-8.02m</w:t>
      </w:r>
      <w:r>
        <w:rPr>
          <w:rFonts w:hint="eastAsia"/>
          <w:sz w:val="24"/>
        </w:rPr>
        <w:t>。本层不均匀分布有微风化花岗岩残留体，具体分布情况详见工程地质剖面图。</w:t>
      </w:r>
    </w:p>
    <w:p w:rsidR="00B37071">
      <w:pPr>
        <w:pStyle w:val="Normal0"/>
        <w:spacing w:line="360" w:lineRule="auto"/>
        <w:rPr>
          <w:rFonts w:ascii="宋体" w:hAnsi="宋体"/>
          <w:sz w:val="24"/>
          <w:szCs w:val="24"/>
          <w:lang w:val="en-GB"/>
        </w:rPr>
      </w:pPr>
      <w:r>
        <w:rPr>
          <w:rFonts w:ascii="宋体" w:hAnsi="宋体" w:hint="eastAsia"/>
          <w:sz w:val="24"/>
          <w:szCs w:val="24"/>
        </w:rPr>
        <w:t>2</w:t>
      </w:r>
      <w:r>
        <w:rPr>
          <w:rFonts w:ascii="宋体" w:hAnsi="宋体"/>
          <w:sz w:val="24"/>
          <w:szCs w:val="24"/>
        </w:rPr>
        <w:t>.</w:t>
      </w:r>
      <w:r>
        <w:rPr>
          <w:rFonts w:ascii="宋体" w:hAnsi="宋体" w:hint="eastAsia"/>
          <w:sz w:val="24"/>
          <w:szCs w:val="24"/>
        </w:rPr>
        <w:t>4</w:t>
      </w:r>
      <w:r>
        <w:rPr>
          <w:rFonts w:ascii="宋体" w:hAnsi="宋体"/>
          <w:sz w:val="24"/>
          <w:szCs w:val="24"/>
        </w:rPr>
        <w:t>.</w:t>
      </w:r>
      <w:r>
        <w:rPr>
          <w:rFonts w:ascii="宋体" w:hAnsi="宋体" w:hint="eastAsia"/>
          <w:sz w:val="24"/>
          <w:szCs w:val="24"/>
        </w:rPr>
        <w:t>4</w:t>
      </w:r>
      <w:r>
        <w:rPr>
          <w:rFonts w:ascii="宋体" w:hAnsi="宋体" w:hint="eastAsia"/>
          <w:sz w:val="24"/>
          <w:szCs w:val="24"/>
        </w:rPr>
        <w:t>、场地地震效应</w:t>
      </w:r>
      <w:bookmarkEnd w:id="34"/>
      <w:bookmarkEnd w:id="35"/>
      <w:bookmarkEnd w:id="36"/>
      <w:bookmarkEnd w:id="37"/>
      <w:bookmarkEnd w:id="38"/>
      <w:bookmarkEnd w:id="39"/>
      <w:r>
        <w:rPr>
          <w:rFonts w:ascii="宋体" w:hAnsi="宋体" w:hint="eastAsia"/>
          <w:sz w:val="24"/>
          <w:szCs w:val="24"/>
        </w:rPr>
        <w:t xml:space="preserve"> </w:t>
      </w:r>
    </w:p>
    <w:p w:rsidR="00B37071">
      <w:pPr>
        <w:pStyle w:val="Normal0"/>
        <w:spacing w:line="360" w:lineRule="auto"/>
        <w:ind w:firstLine="480" w:firstLineChars="200"/>
        <w:outlineLvl w:val="1"/>
        <w:rPr>
          <w:sz w:val="24"/>
        </w:rPr>
        <w:sectPr>
          <w:type w:val="nextPage"/>
          <w:pgSz w:w="11907" w:h="16840"/>
          <w:pgMar w:top="1418" w:right="1123" w:bottom="1418" w:left="1418" w:header="851" w:footer="851" w:gutter="0"/>
          <w:pgNumType w:fmt="numberInDash" w:start="4"/>
          <w:cols w:space="708"/>
          <w:titlePg w:val="0"/>
          <w:docGrid w:linePitch="312"/>
        </w:sectPr>
      </w:pPr>
      <w:bookmarkStart w:id="40" w:name="_Toc360632720"/>
      <w:r>
        <w:rPr>
          <w:rFonts w:hint="eastAsia"/>
          <w:sz w:val="24"/>
        </w:rPr>
        <w:t>拟建场地位于福州市仓山区城门镇，根据《中国地震动峰值加速度区划图》和《中国地震动反应谱特征周期区划图》福建省区划一览表，拟建场地位于抗震设防烈度</w:t>
      </w:r>
      <w:r>
        <w:rPr>
          <w:rFonts w:hint="eastAsia"/>
          <w:sz w:val="24"/>
        </w:rPr>
        <w:t>7</w:t>
      </w:r>
      <w:r>
        <w:rPr>
          <w:rFonts w:hint="eastAsia"/>
          <w:sz w:val="24"/>
        </w:rPr>
        <w:t>度区，设计基本地震加速度值为</w:t>
      </w:r>
      <w:r>
        <w:rPr>
          <w:rFonts w:hint="eastAsia"/>
          <w:sz w:val="24"/>
        </w:rPr>
        <w:t>0.10g</w:t>
      </w:r>
      <w:r>
        <w:rPr>
          <w:rFonts w:hint="eastAsia"/>
          <w:sz w:val="24"/>
        </w:rPr>
        <w:t>，设</w:t>
      </w:r>
      <w:r>
        <w:rPr>
          <w:rFonts w:hint="eastAsia"/>
          <w:sz w:val="24"/>
        </w:rPr>
        <w:t>计地震分组属第三组。拟建</w:t>
      </w:r>
      <w:r>
        <w:rPr>
          <w:rFonts w:hint="eastAsia"/>
          <w:sz w:val="24"/>
        </w:rPr>
        <w:t>5</w:t>
      </w:r>
      <w:r>
        <w:rPr>
          <w:rFonts w:hint="eastAsia"/>
          <w:sz w:val="24"/>
        </w:rPr>
        <w:t>幢大型文化娱乐建筑抗震</w:t>
      </w:r>
    </w:p>
    <w:p w:rsidR="00B37071">
      <w:pPr>
        <w:pStyle w:val="Normal0"/>
        <w:spacing w:line="360" w:lineRule="auto"/>
        <w:ind w:firstLine="480" w:firstLineChars="200"/>
        <w:outlineLvl w:val="1"/>
        <w:rPr>
          <w:sz w:val="24"/>
        </w:rPr>
      </w:pPr>
      <w:r>
        <w:rPr>
          <w:rFonts w:hint="eastAsia"/>
          <w:sz w:val="24"/>
        </w:rPr>
        <w:t>设防类别为乙类，设计地震作用应符合</w:t>
      </w:r>
      <w:r>
        <w:rPr>
          <w:rFonts w:hint="eastAsia"/>
          <w:sz w:val="24"/>
        </w:rPr>
        <w:t>7</w:t>
      </w:r>
      <w:r>
        <w:rPr>
          <w:rFonts w:hint="eastAsia"/>
          <w:sz w:val="24"/>
        </w:rPr>
        <w:t>度标准的要求，抗震措施应符合</w:t>
      </w:r>
      <w:r>
        <w:rPr>
          <w:rFonts w:hint="eastAsia"/>
          <w:sz w:val="24"/>
        </w:rPr>
        <w:t>8</w:t>
      </w:r>
      <w:r>
        <w:rPr>
          <w:rFonts w:hint="eastAsia"/>
          <w:sz w:val="24"/>
        </w:rPr>
        <w:t>度标准的要求；其余建（构）筑物抗震设防类别为丙类，设计地震作用和抗震措施均应符合</w:t>
      </w:r>
      <w:r>
        <w:rPr>
          <w:rFonts w:hint="eastAsia"/>
          <w:sz w:val="24"/>
        </w:rPr>
        <w:t>7</w:t>
      </w:r>
      <w:r>
        <w:rPr>
          <w:rFonts w:hint="eastAsia"/>
          <w:sz w:val="24"/>
        </w:rPr>
        <w:t>度标准的要求。</w:t>
      </w:r>
    </w:p>
    <w:p w:rsidR="00B37071">
      <w:pPr>
        <w:pStyle w:val="Normal0"/>
        <w:spacing w:line="360" w:lineRule="auto"/>
        <w:outlineLvl w:val="1"/>
        <w:rPr>
          <w:rFonts w:ascii="宋体" w:hAnsi="宋体"/>
          <w:sz w:val="24"/>
          <w:lang w:val="en-GB"/>
        </w:rPr>
      </w:pPr>
      <w:r>
        <w:rPr>
          <w:rFonts w:ascii="宋体" w:hAnsi="宋体" w:hint="eastAsia"/>
          <w:sz w:val="24"/>
          <w:lang w:val="en-GB"/>
        </w:rPr>
        <w:t>2.5</w:t>
      </w:r>
      <w:r>
        <w:rPr>
          <w:rFonts w:ascii="宋体" w:hAnsi="宋体" w:hint="eastAsia"/>
          <w:sz w:val="24"/>
          <w:lang w:val="en-GB"/>
        </w:rPr>
        <w:t>、工程特点</w:t>
      </w:r>
      <w:bookmarkEnd w:id="40"/>
    </w:p>
    <w:p w:rsidR="00B37071">
      <w:pPr>
        <w:pStyle w:val="Normal0"/>
        <w:spacing w:line="360" w:lineRule="auto"/>
        <w:ind w:firstLine="480" w:firstLineChars="200"/>
        <w:rPr>
          <w:rFonts w:hAnsi="宋体"/>
          <w:sz w:val="24"/>
          <w:szCs w:val="24"/>
        </w:rPr>
      </w:pPr>
      <w:r>
        <w:rPr>
          <w:rFonts w:hAnsi="宋体" w:hint="eastAsia"/>
          <w:sz w:val="24"/>
          <w:szCs w:val="24"/>
        </w:rPr>
        <w:t>本工程施工内容包括水泥土搅拌桩、高压旋喷桩。需要多台大型施工设备进场。施工工序较多，且上部钢构工程正在施工，交叉作业较多，要合理安排各个工序及设备。</w:t>
      </w:r>
    </w:p>
    <w:p w:rsidR="00B37071">
      <w:pPr>
        <w:pStyle w:val="Normal0"/>
        <w:spacing w:line="360" w:lineRule="auto"/>
        <w:outlineLvl w:val="0"/>
        <w:rPr>
          <w:rFonts w:ascii="宋体" w:hAnsi="宋体"/>
          <w:b/>
          <w:sz w:val="28"/>
          <w:szCs w:val="28"/>
        </w:rPr>
      </w:pPr>
      <w:bookmarkStart w:id="41" w:name="_Toc360632721"/>
      <w:r>
        <w:rPr>
          <w:rFonts w:ascii="宋体" w:hAnsi="宋体"/>
          <w:b/>
          <w:sz w:val="28"/>
          <w:szCs w:val="28"/>
        </w:rPr>
        <w:t>3</w:t>
      </w:r>
      <w:r>
        <w:rPr>
          <w:rFonts w:ascii="宋体" w:hAnsi="宋体" w:hint="eastAsia"/>
          <w:b/>
          <w:sz w:val="28"/>
          <w:szCs w:val="28"/>
        </w:rPr>
        <w:t>、施工计划</w:t>
      </w:r>
      <w:bookmarkEnd w:id="41"/>
    </w:p>
    <w:p w:rsidR="00B37071">
      <w:pPr>
        <w:pStyle w:val="Normal0"/>
        <w:spacing w:line="360" w:lineRule="auto"/>
        <w:outlineLvl w:val="1"/>
        <w:rPr>
          <w:rFonts w:ascii="宋体" w:hAnsi="宋体"/>
          <w:sz w:val="24"/>
          <w:szCs w:val="24"/>
        </w:rPr>
      </w:pPr>
      <w:bookmarkStart w:id="42" w:name="_Toc360632722"/>
      <w:r>
        <w:rPr>
          <w:rFonts w:ascii="宋体" w:hAnsi="宋体" w:hint="eastAsia"/>
          <w:sz w:val="24"/>
          <w:szCs w:val="24"/>
        </w:rPr>
        <w:t>3.1</w:t>
      </w:r>
      <w:r>
        <w:rPr>
          <w:rFonts w:ascii="宋体" w:hAnsi="宋体" w:hint="eastAsia"/>
          <w:sz w:val="24"/>
          <w:szCs w:val="24"/>
        </w:rPr>
        <w:t>、工程目标</w:t>
      </w:r>
      <w:bookmarkEnd w:id="42"/>
    </w:p>
    <w:p w:rsidR="00B37071">
      <w:pPr>
        <w:pStyle w:val="Normal0"/>
        <w:spacing w:line="360" w:lineRule="auto"/>
        <w:rPr>
          <w:sz w:val="24"/>
          <w:szCs w:val="24"/>
        </w:rPr>
      </w:pPr>
      <w:r>
        <w:rPr>
          <w:rFonts w:ascii="宋体" w:hAnsi="宋体" w:hint="eastAsia"/>
          <w:sz w:val="24"/>
          <w:szCs w:val="24"/>
        </w:rPr>
        <w:t>3.1.1</w:t>
      </w:r>
      <w:r>
        <w:rPr>
          <w:rFonts w:hint="eastAsia"/>
          <w:sz w:val="24"/>
          <w:szCs w:val="24"/>
        </w:rPr>
        <w:t>、质量目标</w:t>
      </w:r>
    </w:p>
    <w:p w:rsidR="00B37071">
      <w:pPr>
        <w:pStyle w:val="Normal0"/>
        <w:spacing w:line="360" w:lineRule="auto"/>
        <w:ind w:firstLine="480"/>
        <w:rPr>
          <w:sz w:val="24"/>
          <w:szCs w:val="24"/>
        </w:rPr>
      </w:pPr>
      <w:r>
        <w:rPr>
          <w:rFonts w:hint="eastAsia"/>
          <w:sz w:val="24"/>
          <w:szCs w:val="24"/>
        </w:rPr>
        <w:t>本工程质量目标：各项工程资料齐全，按有关规范及设计要求验收，一次测桩合格率达到</w:t>
      </w:r>
      <w:r>
        <w:rPr>
          <w:rFonts w:hint="eastAsia"/>
          <w:sz w:val="24"/>
          <w:szCs w:val="24"/>
        </w:rPr>
        <w:t>100%</w:t>
      </w:r>
      <w:r>
        <w:rPr>
          <w:rFonts w:hint="eastAsia"/>
          <w:sz w:val="24"/>
          <w:szCs w:val="24"/>
        </w:rPr>
        <w:t>，交工验收工程质量评定达到合格。</w:t>
      </w:r>
    </w:p>
    <w:p w:rsidR="00B37071">
      <w:pPr>
        <w:pStyle w:val="Normal0"/>
        <w:spacing w:line="360" w:lineRule="auto"/>
        <w:ind w:left="761" w:hanging="761" w:hangingChars="317"/>
        <w:rPr>
          <w:rFonts w:ascii="宋体" w:hAnsi="宋体"/>
          <w:bCs/>
          <w:sz w:val="24"/>
        </w:rPr>
      </w:pPr>
      <w:r>
        <w:rPr>
          <w:rFonts w:ascii="宋体" w:hAnsi="宋体"/>
          <w:bCs/>
          <w:sz w:val="24"/>
        </w:rPr>
        <w:t>3.1.2</w:t>
      </w:r>
      <w:r>
        <w:rPr>
          <w:rFonts w:ascii="宋体" w:hAnsi="宋体" w:hint="eastAsia"/>
          <w:bCs/>
          <w:sz w:val="24"/>
        </w:rPr>
        <w:t>、职业健康安全</w:t>
      </w:r>
      <w:r>
        <w:rPr>
          <w:rFonts w:ascii="宋体" w:hAnsi="宋体"/>
          <w:bCs/>
          <w:sz w:val="24"/>
        </w:rPr>
        <w:t>/</w:t>
      </w:r>
      <w:r>
        <w:rPr>
          <w:rFonts w:ascii="宋体" w:hAnsi="宋体" w:hint="eastAsia"/>
          <w:bCs/>
          <w:sz w:val="24"/>
        </w:rPr>
        <w:t>环境目标：</w:t>
      </w:r>
    </w:p>
    <w:p w:rsidR="00B37071">
      <w:pPr>
        <w:pStyle w:val="Normal0"/>
        <w:spacing w:line="360" w:lineRule="auto"/>
        <w:ind w:firstLine="480"/>
        <w:rPr>
          <w:rFonts w:ascii="宋体" w:hAnsi="宋体"/>
          <w:bCs/>
          <w:sz w:val="24"/>
        </w:rPr>
      </w:pPr>
      <w:r>
        <w:rPr>
          <w:rFonts w:ascii="宋体" w:hAnsi="宋体" w:hint="eastAsia"/>
          <w:bCs/>
          <w:sz w:val="24"/>
        </w:rPr>
        <w:t>安全达标率</w:t>
      </w:r>
      <w:r>
        <w:rPr>
          <w:rFonts w:ascii="宋体" w:hAnsi="宋体"/>
          <w:bCs/>
          <w:sz w:val="24"/>
        </w:rPr>
        <w:t>100%</w:t>
      </w:r>
      <w:r>
        <w:rPr>
          <w:rFonts w:ascii="宋体" w:hAnsi="宋体" w:hint="eastAsia"/>
          <w:bCs/>
          <w:sz w:val="24"/>
        </w:rPr>
        <w:t>，安全生产事故为零，轻伤事故频率控制在</w:t>
      </w:r>
      <w:r>
        <w:rPr>
          <w:rFonts w:ascii="宋体" w:hAnsi="宋体"/>
          <w:bCs/>
          <w:sz w:val="24"/>
        </w:rPr>
        <w:t>5</w:t>
      </w:r>
      <w:r>
        <w:rPr>
          <w:rFonts w:ascii="宋体" w:hAnsi="宋体" w:hint="eastAsia"/>
          <w:bCs/>
          <w:sz w:val="24"/>
        </w:rPr>
        <w:t>‰以内，所有进场施工人员安全教育考核率达</w:t>
      </w:r>
      <w:r>
        <w:rPr>
          <w:rFonts w:ascii="宋体" w:hAnsi="宋体"/>
          <w:bCs/>
          <w:sz w:val="24"/>
        </w:rPr>
        <w:t>100%</w:t>
      </w:r>
      <w:r>
        <w:rPr>
          <w:rFonts w:ascii="宋体" w:hAnsi="宋体" w:hint="eastAsia"/>
          <w:bCs/>
          <w:sz w:val="24"/>
        </w:rPr>
        <w:t>，特殊岗位操作人员持证上岗率达</w:t>
      </w:r>
      <w:r>
        <w:rPr>
          <w:rFonts w:ascii="宋体" w:hAnsi="宋体"/>
          <w:bCs/>
          <w:sz w:val="24"/>
        </w:rPr>
        <w:t>100%</w:t>
      </w:r>
      <w:r>
        <w:rPr>
          <w:rFonts w:ascii="宋体" w:hAnsi="宋体" w:hint="eastAsia"/>
          <w:bCs/>
          <w:sz w:val="24"/>
        </w:rPr>
        <w:t>，各种防护用品、设施合格率达</w:t>
      </w:r>
      <w:r>
        <w:rPr>
          <w:rFonts w:ascii="宋体" w:hAnsi="宋体"/>
          <w:bCs/>
          <w:sz w:val="24"/>
        </w:rPr>
        <w:t>100%</w:t>
      </w:r>
      <w:r>
        <w:rPr>
          <w:rFonts w:ascii="宋体" w:hAnsi="宋体" w:hint="eastAsia"/>
          <w:bCs/>
          <w:sz w:val="24"/>
        </w:rPr>
        <w:t>，分部分项工程安全技术交底率达</w:t>
      </w:r>
      <w:r>
        <w:rPr>
          <w:rFonts w:ascii="宋体" w:hAnsi="宋体"/>
          <w:bCs/>
          <w:sz w:val="24"/>
        </w:rPr>
        <w:t>100%</w:t>
      </w:r>
      <w:r>
        <w:rPr>
          <w:rFonts w:ascii="宋体" w:hAnsi="宋体" w:hint="eastAsia"/>
          <w:bCs/>
          <w:sz w:val="24"/>
        </w:rPr>
        <w:t>，签字率达</w:t>
      </w:r>
      <w:r>
        <w:rPr>
          <w:rFonts w:ascii="宋体" w:hAnsi="宋体"/>
          <w:bCs/>
          <w:sz w:val="24"/>
        </w:rPr>
        <w:t>100%</w:t>
      </w:r>
      <w:r>
        <w:rPr>
          <w:rFonts w:ascii="宋体" w:hAnsi="宋体" w:hint="eastAsia"/>
          <w:bCs/>
          <w:sz w:val="24"/>
        </w:rPr>
        <w:t>，施工现场安全隐患整改率</w:t>
      </w:r>
      <w:r>
        <w:rPr>
          <w:rFonts w:ascii="宋体" w:hAnsi="宋体"/>
          <w:bCs/>
          <w:sz w:val="24"/>
        </w:rPr>
        <w:t>98%</w:t>
      </w:r>
      <w:r>
        <w:rPr>
          <w:rFonts w:ascii="宋体" w:hAnsi="宋体" w:hint="eastAsia"/>
          <w:bCs/>
          <w:sz w:val="24"/>
        </w:rPr>
        <w:t>以上，重大隐患整改率达</w:t>
      </w:r>
      <w:r>
        <w:rPr>
          <w:rFonts w:ascii="宋体" w:hAnsi="宋体"/>
          <w:bCs/>
          <w:sz w:val="24"/>
        </w:rPr>
        <w:t>100%</w:t>
      </w:r>
      <w:r>
        <w:rPr>
          <w:rFonts w:ascii="宋体" w:hAnsi="宋体" w:hint="eastAsia"/>
          <w:bCs/>
          <w:sz w:val="24"/>
        </w:rPr>
        <w:t>，接触有害因素作业职工的体检人数应达到</w:t>
      </w:r>
      <w:r>
        <w:rPr>
          <w:rFonts w:ascii="宋体" w:hAnsi="宋体"/>
          <w:bCs/>
          <w:sz w:val="24"/>
        </w:rPr>
        <w:t>80%</w:t>
      </w:r>
      <w:r>
        <w:rPr>
          <w:rFonts w:ascii="宋体" w:hAnsi="宋体" w:hint="eastAsia"/>
          <w:bCs/>
          <w:sz w:val="24"/>
        </w:rPr>
        <w:t>，职业性健康监护率达</w:t>
      </w:r>
      <w:r>
        <w:rPr>
          <w:rFonts w:ascii="宋体" w:hAnsi="宋体"/>
          <w:bCs/>
          <w:sz w:val="24"/>
        </w:rPr>
        <w:t>80%</w:t>
      </w:r>
      <w:r>
        <w:rPr>
          <w:rFonts w:ascii="宋体" w:hAnsi="宋体" w:hint="eastAsia"/>
          <w:bCs/>
          <w:sz w:val="24"/>
        </w:rPr>
        <w:t>。</w:t>
      </w:r>
    </w:p>
    <w:p w:rsidR="00B37071">
      <w:pPr>
        <w:pStyle w:val="Normal0"/>
        <w:spacing w:line="360" w:lineRule="auto"/>
        <w:ind w:left="523" w:hanging="523" w:hangingChars="218"/>
        <w:rPr>
          <w:rFonts w:ascii="宋体" w:hAnsi="宋体"/>
          <w:bCs/>
          <w:sz w:val="24"/>
        </w:rPr>
      </w:pPr>
      <w:r>
        <w:rPr>
          <w:rFonts w:ascii="宋体" w:hAnsi="宋体"/>
          <w:bCs/>
          <w:sz w:val="24"/>
        </w:rPr>
        <w:t>3.1.3</w:t>
      </w:r>
      <w:r>
        <w:rPr>
          <w:rFonts w:ascii="宋体" w:hAnsi="宋体" w:hint="eastAsia"/>
          <w:bCs/>
          <w:sz w:val="24"/>
        </w:rPr>
        <w:t>、工期目标</w:t>
      </w:r>
    </w:p>
    <w:p w:rsidR="00B37071">
      <w:pPr>
        <w:pStyle w:val="Normal0"/>
        <w:spacing w:line="360" w:lineRule="auto"/>
        <w:ind w:left="523" w:hanging="523" w:hangingChars="218"/>
        <w:rPr>
          <w:rFonts w:ascii="宋体" w:hAnsi="宋体"/>
          <w:bCs/>
          <w:sz w:val="24"/>
        </w:rPr>
      </w:pPr>
      <w:r>
        <w:rPr>
          <w:rFonts w:ascii="宋体" w:hAnsi="宋体" w:hint="eastAsia"/>
          <w:bCs/>
          <w:sz w:val="24"/>
        </w:rPr>
        <w:t xml:space="preserve">    </w:t>
      </w:r>
      <w:r>
        <w:rPr>
          <w:rFonts w:ascii="宋体" w:hAnsi="宋体" w:hint="eastAsia"/>
          <w:bCs/>
          <w:sz w:val="24"/>
        </w:rPr>
        <w:t>根据本工程的工程量、施工条件及工程工期安排，软基工程工期安排</w:t>
      </w:r>
      <w:r>
        <w:rPr>
          <w:rFonts w:ascii="宋体" w:hAnsi="宋体" w:hint="eastAsia"/>
          <w:bCs/>
          <w:sz w:val="24"/>
        </w:rPr>
        <w:t>87</w:t>
      </w:r>
      <w:r>
        <w:rPr>
          <w:rFonts w:ascii="宋体" w:hAnsi="宋体" w:hint="eastAsia"/>
          <w:bCs/>
          <w:sz w:val="24"/>
        </w:rPr>
        <w:t>个日历天数，</w:t>
      </w:r>
    </w:p>
    <w:p w:rsidR="00B37071">
      <w:pPr>
        <w:pStyle w:val="Normal0"/>
        <w:spacing w:line="360" w:lineRule="auto"/>
        <w:ind w:left="523" w:hanging="523" w:hangingChars="218"/>
        <w:rPr>
          <w:rFonts w:ascii="宋体" w:hAnsi="宋体"/>
          <w:bCs/>
          <w:sz w:val="24"/>
        </w:rPr>
      </w:pPr>
      <w:r>
        <w:rPr>
          <w:rFonts w:ascii="宋体" w:hAnsi="宋体" w:hint="eastAsia"/>
          <w:bCs/>
          <w:sz w:val="24"/>
        </w:rPr>
        <w:t>确保合同工期完成本工程。</w:t>
      </w:r>
    </w:p>
    <w:p w:rsidR="00B37071">
      <w:pPr>
        <w:pStyle w:val="Normal0"/>
        <w:spacing w:line="360" w:lineRule="auto"/>
        <w:ind w:left="523" w:hanging="523" w:hangingChars="218"/>
        <w:outlineLvl w:val="1"/>
        <w:rPr>
          <w:rFonts w:ascii="宋体" w:hAnsi="宋体"/>
          <w:sz w:val="24"/>
        </w:rPr>
      </w:pPr>
      <w:bookmarkStart w:id="43" w:name="_Toc360632723"/>
      <w:r>
        <w:rPr>
          <w:rFonts w:ascii="宋体" w:hAnsi="宋体"/>
          <w:bCs/>
          <w:sz w:val="24"/>
        </w:rPr>
        <w:t>3.2</w:t>
      </w:r>
      <w:r>
        <w:rPr>
          <w:rFonts w:ascii="宋体" w:hAnsi="宋体" w:hint="eastAsia"/>
          <w:bCs/>
          <w:sz w:val="24"/>
        </w:rPr>
        <w:t>、</w:t>
      </w:r>
      <w:r>
        <w:rPr>
          <w:rFonts w:ascii="宋体" w:hAnsi="宋体" w:hint="eastAsia"/>
          <w:bCs/>
          <w:sz w:val="24"/>
        </w:rPr>
        <w:t>地</w:t>
      </w:r>
      <w:r>
        <w:rPr>
          <w:rFonts w:ascii="宋体" w:hAnsi="宋体" w:hint="eastAsia"/>
          <w:sz w:val="24"/>
        </w:rPr>
        <w:t>基工程项目部组织机构</w:t>
      </w:r>
      <w:bookmarkEnd w:id="43"/>
    </w:p>
    <w:p w:rsidR="00B37071">
      <w:pPr>
        <w:pStyle w:val="Normal0"/>
        <w:spacing w:line="360" w:lineRule="auto"/>
        <w:ind w:firstLine="480" w:firstLineChars="200"/>
        <w:rPr>
          <w:rFonts w:ascii="宋体" w:hAnsi="宋体"/>
          <w:sz w:val="24"/>
        </w:rPr>
      </w:pPr>
      <w:r>
        <w:rPr>
          <w:rFonts w:ascii="宋体" w:hAnsi="宋体" w:hint="eastAsia"/>
          <w:sz w:val="24"/>
        </w:rPr>
        <w:t>为确保优质、高效地完成本工程施工任务，公司组建项目经理部，成立以项目经理为首的项目领导班子，实行项目经理责任制。</w:t>
      </w: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jc w:val="left"/>
        <w:rPr>
          <w:rFonts w:ascii="宋体" w:hAnsi="宋体"/>
          <w:snapToGrid w:val="0"/>
          <w:sz w:val="24"/>
          <w:szCs w:val="24"/>
        </w:rPr>
      </w:pPr>
      <w:r>
        <w:pict>
          <v:group id="组合 76" o:spid="_x0000_s1030" style="width:509.35pt;height:295.8pt;margin-top:11.7pt;margin-left:-41.3pt;position:absolute;z-index:251663360" coordorigin="982,1591" coordsize="9924,5853">
            <v:group id="组合 77" o:spid="_x0000_s1031" style="width:7385;height:2100;left:2401;position:absolute;top:1591" coordorigin="2401,1591" coordsize="7385,2100">
              <v:shape id="Text Box 556" o:spid="_x0000_s1032" type="#_x0000_t202" style="width:1262;height:984;left:3829;mso-wrap-style:square;position:absolute;top:1591;v-text-anchor:top">
                <v:textbox>
                  <w:txbxContent>
                    <w:p w:rsidR="00B37071">
                      <w:pPr>
                        <w:pStyle w:val="Normal0"/>
                        <w:jc w:val="center"/>
                        <w:rPr>
                          <w:sz w:val="21"/>
                          <w:szCs w:val="21"/>
                        </w:rPr>
                      </w:pPr>
                      <w:r>
                        <w:rPr>
                          <w:rFonts w:hint="eastAsia"/>
                          <w:sz w:val="21"/>
                          <w:szCs w:val="21"/>
                        </w:rPr>
                        <w:t>项目经理</w:t>
                      </w:r>
                    </w:p>
                    <w:p w:rsidR="00B37071">
                      <w:pPr>
                        <w:pStyle w:val="Normal0"/>
                        <w:jc w:val="center"/>
                        <w:rPr>
                          <w:sz w:val="21"/>
                          <w:szCs w:val="21"/>
                        </w:rPr>
                      </w:pPr>
                      <w:r>
                        <w:rPr>
                          <w:rFonts w:hint="eastAsia"/>
                          <w:sz w:val="21"/>
                          <w:szCs w:val="21"/>
                        </w:rPr>
                        <w:t>周永祥</w:t>
                      </w:r>
                    </w:p>
                  </w:txbxContent>
                </v:textbox>
              </v:shape>
              <v:line id="直线 99" o:spid="_x0000_s1033" style="mso-wrap-style:square;position:absolute" from="5091,1990" to="6546,1991" strokecolor="#739cc3" strokeweight="1.25pt">
                <v:fill o:detectmouseclick="t"/>
              </v:line>
              <v:shape id="Text Box 556" o:spid="_x0000_s1034" type="#_x0000_t202" style="width:1961;height:985;left:6534;mso-wrap-style:square;position:absolute;top:1623;v-text-anchor:top">
                <v:textbox>
                  <w:txbxContent>
                    <w:p w:rsidR="00B37071">
                      <w:pPr>
                        <w:pStyle w:val="Normal0"/>
                        <w:jc w:val="center"/>
                        <w:rPr>
                          <w:sz w:val="21"/>
                          <w:szCs w:val="21"/>
                        </w:rPr>
                      </w:pPr>
                      <w:r>
                        <w:rPr>
                          <w:rFonts w:hint="eastAsia"/>
                          <w:sz w:val="21"/>
                          <w:szCs w:val="21"/>
                        </w:rPr>
                        <w:t>项目党支部书记</w:t>
                      </w:r>
                    </w:p>
                    <w:p w:rsidR="00B37071">
                      <w:pPr>
                        <w:pStyle w:val="Normal0"/>
                        <w:jc w:val="center"/>
                        <w:rPr>
                          <w:sz w:val="21"/>
                          <w:szCs w:val="21"/>
                        </w:rPr>
                      </w:pPr>
                      <w:r>
                        <w:rPr>
                          <w:rFonts w:hint="eastAsia"/>
                          <w:sz w:val="21"/>
                          <w:szCs w:val="21"/>
                        </w:rPr>
                        <w:t>陈仕源</w:t>
                      </w:r>
                    </w:p>
                  </w:txbxContent>
                </v:textbox>
              </v:shape>
              <v:line id="直线 101" o:spid="_x0000_s1035" style="mso-wrap-style:square;position:absolute" from="4386,2589" to="4387,3234" strokecolor="#739cc3" strokeweight="1.25pt">
                <v:fill o:detectmouseclick="t"/>
              </v:line>
              <v:line id="直线 102" o:spid="_x0000_s1036" style="mso-wrap-style:square;position:absolute" from="2422,3268" to="9786,3282" strokecolor="#739cc3" strokeweight="1.25pt">
                <v:fill o:detectmouseclick="t"/>
              </v:line>
              <v:line id="直线 101" o:spid="_x0000_s1037" style="mso-wrap-style:square;position:absolute" from="7520,2604" to="7521,3249" strokecolor="#739cc3" strokeweight="1.25pt">
                <v:fill o:detectmouseclick="t"/>
              </v:line>
              <v:line id="直线 104" o:spid="_x0000_s1038" style="flip:x;mso-wrap-style:square;position:absolute" from="2401,3267" to="2402,3671" strokecolor="#739cc3" strokeweight="1.25pt">
                <v:fill o:detectmouseclick="t"/>
              </v:line>
              <v:line id="直线 104" o:spid="_x0000_s1039" style="flip:x;mso-wrap-style:square;position:absolute" from="4126,3287" to="4127,3691" strokecolor="#739cc3" strokeweight="1.25pt">
                <v:fill o:detectmouseclick="t"/>
              </v:line>
              <v:line id="直线 104" o:spid="_x0000_s1040" style="flip:x;mso-wrap-style:square;position:absolute" from="5939,3274" to="5940,3678" strokecolor="#739cc3" strokeweight="1.25pt">
                <v:fill o:detectmouseclick="t"/>
              </v:line>
              <v:line id="直线 104" o:spid="_x0000_s1041" style="flip:x;mso-wrap-style:square;position:absolute" from="7941,3263" to="7942,3667" strokecolor="#739cc3" strokeweight="1.25pt">
                <v:fill o:detectmouseclick="t"/>
              </v:line>
              <v:line id="直线 104" o:spid="_x0000_s1042" style="flip:x;mso-wrap-style:square;position:absolute" from="9767,3274" to="9768,3678" strokecolor="#739cc3" strokeweight="1.25pt">
                <v:fill o:detectmouseclick="t"/>
              </v:line>
            </v:group>
            <v:group id="组合 152" o:spid="_x0000_s1043" style="width:9924;height:3820;left:982;position:absolute;top:3624" coordsize="9924,3820">
              <v:shape id="Text Box 556" o:spid="_x0000_s1044" type="#_x0000_t202" style="width:1627;height:800;left:428;mso-wrap-style:square;position:absolute;top:15;v-text-anchor:top">
                <v:textbox>
                  <w:txbxContent>
                    <w:p w:rsidR="00B37071">
                      <w:pPr>
                        <w:pStyle w:val="Normal0"/>
                        <w:jc w:val="center"/>
                        <w:rPr>
                          <w:sz w:val="21"/>
                          <w:szCs w:val="21"/>
                        </w:rPr>
                      </w:pPr>
                      <w:r>
                        <w:rPr>
                          <w:rFonts w:hint="eastAsia"/>
                          <w:sz w:val="21"/>
                          <w:szCs w:val="21"/>
                        </w:rPr>
                        <w:t>生产经理</w:t>
                      </w:r>
                    </w:p>
                    <w:p w:rsidR="00B37071">
                      <w:pPr>
                        <w:pStyle w:val="Normal0"/>
                        <w:jc w:val="center"/>
                        <w:rPr>
                          <w:sz w:val="21"/>
                          <w:szCs w:val="21"/>
                        </w:rPr>
                      </w:pPr>
                      <w:r>
                        <w:rPr>
                          <w:rFonts w:hint="eastAsia"/>
                          <w:sz w:val="21"/>
                          <w:szCs w:val="21"/>
                        </w:rPr>
                        <w:t>李傲</w:t>
                      </w:r>
                    </w:p>
                  </w:txbxContent>
                </v:textbox>
              </v:shape>
              <v:shape id="Text Box 556" o:spid="_x0000_s1045" type="#_x0000_t202" style="width:1707;height:800;left:2275;mso-wrap-style:square;position:absolute;top:36;v-text-anchor:top">
                <v:textbox>
                  <w:txbxContent>
                    <w:p w:rsidR="00B37071">
                      <w:pPr>
                        <w:pStyle w:val="Normal0"/>
                        <w:jc w:val="center"/>
                        <w:rPr>
                          <w:sz w:val="21"/>
                          <w:szCs w:val="21"/>
                        </w:rPr>
                      </w:pPr>
                      <w:r>
                        <w:rPr>
                          <w:rFonts w:hint="eastAsia"/>
                          <w:sz w:val="21"/>
                          <w:szCs w:val="21"/>
                        </w:rPr>
                        <w:t>技术经理</w:t>
                      </w:r>
                    </w:p>
                    <w:p w:rsidR="00B37071">
                      <w:pPr>
                        <w:pStyle w:val="Normal0"/>
                        <w:jc w:val="center"/>
                        <w:rPr>
                          <w:sz w:val="21"/>
                          <w:szCs w:val="21"/>
                        </w:rPr>
                      </w:pPr>
                      <w:r>
                        <w:rPr>
                          <w:rFonts w:hint="eastAsia"/>
                          <w:sz w:val="21"/>
                          <w:szCs w:val="21"/>
                        </w:rPr>
                        <w:t>付绪峰</w:t>
                      </w:r>
                    </w:p>
                  </w:txbxContent>
                </v:textbox>
              </v:shape>
              <v:shape id="Text Box 556" o:spid="_x0000_s1046" type="#_x0000_t202" style="width:1206;height:800;left:4400;mso-wrap-style:square;position:absolute;top:2;v-text-anchor:top">
                <v:textbox>
                  <w:txbxContent>
                    <w:p w:rsidR="00B37071">
                      <w:pPr>
                        <w:pStyle w:val="Normal0"/>
                        <w:jc w:val="center"/>
                        <w:rPr>
                          <w:sz w:val="21"/>
                          <w:szCs w:val="21"/>
                        </w:rPr>
                      </w:pPr>
                      <w:r>
                        <w:rPr>
                          <w:rFonts w:hint="eastAsia"/>
                          <w:sz w:val="21"/>
                          <w:szCs w:val="21"/>
                        </w:rPr>
                        <w:t>商务经理</w:t>
                      </w:r>
                    </w:p>
                    <w:p w:rsidR="00B37071">
                      <w:pPr>
                        <w:pStyle w:val="Normal0"/>
                        <w:jc w:val="center"/>
                        <w:rPr>
                          <w:sz w:val="21"/>
                          <w:szCs w:val="21"/>
                        </w:rPr>
                      </w:pPr>
                      <w:r>
                        <w:rPr>
                          <w:rFonts w:hint="eastAsia"/>
                          <w:sz w:val="21"/>
                          <w:szCs w:val="21"/>
                        </w:rPr>
                        <w:t>张贵荣</w:t>
                      </w:r>
                    </w:p>
                  </w:txbxContent>
                </v:textbox>
              </v:shape>
              <v:shape id="Text Box 556" o:spid="_x0000_s1047" type="#_x0000_t202" style="width:1206;height:800;left:6374;mso-wrap-style:square;position:absolute;v-text-anchor:top">
                <v:textbox>
                  <w:txbxContent>
                    <w:p w:rsidR="00B37071">
                      <w:pPr>
                        <w:pStyle w:val="Normal0"/>
                        <w:jc w:val="center"/>
                        <w:rPr>
                          <w:sz w:val="21"/>
                          <w:szCs w:val="21"/>
                        </w:rPr>
                      </w:pPr>
                      <w:r>
                        <w:rPr>
                          <w:rFonts w:hint="eastAsia"/>
                          <w:sz w:val="21"/>
                          <w:szCs w:val="21"/>
                        </w:rPr>
                        <w:t>财务总监</w:t>
                      </w:r>
                    </w:p>
                    <w:p w:rsidR="00B37071">
                      <w:pPr>
                        <w:pStyle w:val="Normal0"/>
                        <w:jc w:val="center"/>
                        <w:rPr>
                          <w:sz w:val="21"/>
                          <w:szCs w:val="21"/>
                        </w:rPr>
                      </w:pPr>
                      <w:r>
                        <w:rPr>
                          <w:rFonts w:hint="eastAsia"/>
                          <w:sz w:val="21"/>
                          <w:szCs w:val="21"/>
                        </w:rPr>
                        <w:t>张源凯</w:t>
                      </w:r>
                    </w:p>
                  </w:txbxContent>
                </v:textbox>
              </v:shape>
              <v:shape id="Text Box 556" o:spid="_x0000_s1048" type="#_x0000_t202" style="width:1206;height:800;left:8277;mso-wrap-style:square;position:absolute;top:13;v-text-anchor:top">
                <v:textbox>
                  <w:txbxContent>
                    <w:p w:rsidR="00B37071">
                      <w:pPr>
                        <w:pStyle w:val="Normal0"/>
                        <w:jc w:val="center"/>
                        <w:rPr>
                          <w:sz w:val="21"/>
                          <w:szCs w:val="21"/>
                        </w:rPr>
                      </w:pPr>
                      <w:r>
                        <w:rPr>
                          <w:rFonts w:hint="eastAsia"/>
                          <w:sz w:val="21"/>
                          <w:szCs w:val="21"/>
                        </w:rPr>
                        <w:t>安全总监</w:t>
                      </w:r>
                    </w:p>
                    <w:p w:rsidR="00B37071">
                      <w:pPr>
                        <w:pStyle w:val="Normal0"/>
                        <w:jc w:val="center"/>
                        <w:rPr>
                          <w:sz w:val="21"/>
                          <w:szCs w:val="21"/>
                        </w:rPr>
                      </w:pPr>
                      <w:r>
                        <w:rPr>
                          <w:rFonts w:hint="eastAsia"/>
                          <w:sz w:val="21"/>
                          <w:szCs w:val="21"/>
                        </w:rPr>
                        <w:t>吴培富</w:t>
                      </w:r>
                    </w:p>
                  </w:txbxContent>
                </v:textbox>
              </v:shape>
              <v:shape id="Text Box 556" o:spid="_x0000_s1049" type="#_x0000_t202" style="width:1698;height:1745;mso-wrap-style:square;position:absolute;top:2067;v-text-anchor:top">
                <v:textbox>
                  <w:txbxContent>
                    <w:p w:rsidR="00B37071">
                      <w:pPr>
                        <w:pStyle w:val="Normal0"/>
                        <w:jc w:val="center"/>
                        <w:rPr>
                          <w:sz w:val="21"/>
                          <w:szCs w:val="21"/>
                        </w:rPr>
                      </w:pPr>
                      <w:r>
                        <w:rPr>
                          <w:rFonts w:hint="eastAsia"/>
                          <w:sz w:val="21"/>
                          <w:szCs w:val="21"/>
                        </w:rPr>
                        <w:t>综合办公室：</w:t>
                      </w:r>
                    </w:p>
                    <w:p w:rsidR="00B37071">
                      <w:pPr>
                        <w:pStyle w:val="Normal0"/>
                        <w:jc w:val="center"/>
                        <w:rPr>
                          <w:sz w:val="21"/>
                          <w:szCs w:val="21"/>
                        </w:rPr>
                      </w:pPr>
                      <w:r>
                        <w:rPr>
                          <w:rFonts w:hint="eastAsia"/>
                          <w:sz w:val="21"/>
                          <w:szCs w:val="21"/>
                        </w:rPr>
                        <w:t>主任：</w:t>
                      </w:r>
                      <w:r>
                        <w:rPr>
                          <w:rFonts w:hint="eastAsia"/>
                          <w:sz w:val="21"/>
                          <w:szCs w:val="21"/>
                        </w:rPr>
                        <w:t>吴江岷</w:t>
                      </w:r>
                    </w:p>
                    <w:p w:rsidR="00B37071">
                      <w:pPr>
                        <w:pStyle w:val="Normal0"/>
                        <w:jc w:val="center"/>
                        <w:rPr>
                          <w:sz w:val="21"/>
                          <w:szCs w:val="21"/>
                        </w:rPr>
                      </w:pPr>
                      <w:r>
                        <w:rPr>
                          <w:rFonts w:hint="eastAsia"/>
                          <w:sz w:val="21"/>
                          <w:szCs w:val="21"/>
                        </w:rPr>
                        <w:t>资料员：</w:t>
                      </w:r>
                      <w:r>
                        <w:rPr>
                          <w:rFonts w:hint="eastAsia"/>
                          <w:sz w:val="21"/>
                          <w:szCs w:val="21"/>
                        </w:rPr>
                        <w:t>程中良</w:t>
                      </w:r>
                    </w:p>
                  </w:txbxContent>
                </v:textbox>
              </v:shape>
              <v:shape id="Text Box 556" o:spid="_x0000_s1050" type="#_x0000_t202" style="width:1546;height:1745;left:1742;mso-wrap-style:square;position:absolute;top:2074;v-text-anchor:top">
                <v:textbox>
                  <w:txbxContent>
                    <w:p w:rsidR="00B37071">
                      <w:pPr>
                        <w:pStyle w:val="Normal0"/>
                        <w:jc w:val="center"/>
                        <w:rPr>
                          <w:sz w:val="21"/>
                          <w:szCs w:val="21"/>
                        </w:rPr>
                      </w:pPr>
                      <w:r>
                        <w:rPr>
                          <w:rFonts w:hint="eastAsia"/>
                          <w:sz w:val="21"/>
                          <w:szCs w:val="21"/>
                        </w:rPr>
                        <w:t>商务部：</w:t>
                      </w:r>
                    </w:p>
                    <w:p w:rsidR="00B37071">
                      <w:pPr>
                        <w:pStyle w:val="Normal0"/>
                        <w:jc w:val="center"/>
                        <w:rPr>
                          <w:sz w:val="21"/>
                          <w:szCs w:val="21"/>
                        </w:rPr>
                      </w:pPr>
                      <w:r>
                        <w:rPr>
                          <w:rFonts w:hint="eastAsia"/>
                          <w:sz w:val="21"/>
                          <w:szCs w:val="21"/>
                        </w:rPr>
                        <w:t>刘艺春</w:t>
                      </w:r>
                    </w:p>
                  </w:txbxContent>
                </v:textbox>
              </v:shape>
              <v:shape id="Text Box 556" o:spid="_x0000_s1051" type="#_x0000_t202" style="width:1482;height:1745;left:3385;mso-wrap-style:square;position:absolute;top:2073;v-text-anchor:top">
                <v:textbox>
                  <w:txbxContent>
                    <w:p w:rsidR="00B37071">
                      <w:pPr>
                        <w:pStyle w:val="Normal0"/>
                        <w:jc w:val="center"/>
                        <w:rPr>
                          <w:sz w:val="18"/>
                          <w:szCs w:val="18"/>
                        </w:rPr>
                      </w:pPr>
                      <w:r>
                        <w:rPr>
                          <w:rFonts w:hint="eastAsia"/>
                          <w:sz w:val="18"/>
                          <w:szCs w:val="18"/>
                        </w:rPr>
                        <w:t>工程部：</w:t>
                      </w:r>
                    </w:p>
                    <w:p w:rsidR="00B37071">
                      <w:pPr>
                        <w:pStyle w:val="Normal0"/>
                        <w:jc w:val="center"/>
                        <w:rPr>
                          <w:sz w:val="18"/>
                          <w:szCs w:val="18"/>
                        </w:rPr>
                      </w:pPr>
                      <w:r>
                        <w:rPr>
                          <w:rFonts w:hint="eastAsia"/>
                          <w:sz w:val="18"/>
                          <w:szCs w:val="18"/>
                        </w:rPr>
                        <w:t>统计员：</w:t>
                      </w:r>
                      <w:r>
                        <w:rPr>
                          <w:rFonts w:hint="eastAsia"/>
                          <w:sz w:val="18"/>
                          <w:szCs w:val="18"/>
                        </w:rPr>
                        <w:t>林晓仪</w:t>
                      </w:r>
                    </w:p>
                    <w:p w:rsidR="00B37071">
                      <w:pPr>
                        <w:pStyle w:val="Normal0"/>
                        <w:jc w:val="left"/>
                        <w:rPr>
                          <w:sz w:val="18"/>
                          <w:szCs w:val="18"/>
                        </w:rPr>
                      </w:pPr>
                      <w:r>
                        <w:rPr>
                          <w:rFonts w:hint="eastAsia"/>
                          <w:sz w:val="18"/>
                          <w:szCs w:val="18"/>
                        </w:rPr>
                        <w:t>材料员：</w:t>
                      </w:r>
                      <w:r>
                        <w:rPr>
                          <w:rFonts w:hint="eastAsia"/>
                          <w:sz w:val="18"/>
                          <w:szCs w:val="18"/>
                        </w:rPr>
                        <w:t>冯斌</w:t>
                      </w:r>
                    </w:p>
                    <w:p w:rsidR="00B37071">
                      <w:pPr>
                        <w:pStyle w:val="Normal0"/>
                        <w:jc w:val="center"/>
                        <w:rPr>
                          <w:sz w:val="18"/>
                          <w:szCs w:val="18"/>
                        </w:rPr>
                      </w:pPr>
                      <w:r>
                        <w:rPr>
                          <w:rFonts w:hint="eastAsia"/>
                          <w:sz w:val="18"/>
                          <w:szCs w:val="18"/>
                        </w:rPr>
                        <w:t>机管员：</w:t>
                      </w:r>
                      <w:r>
                        <w:rPr>
                          <w:rFonts w:hint="eastAsia"/>
                          <w:sz w:val="18"/>
                          <w:szCs w:val="18"/>
                        </w:rPr>
                        <w:t>张春荣</w:t>
                      </w:r>
                    </w:p>
                  </w:txbxContent>
                </v:textbox>
              </v:shape>
              <v:shape id="Text Box 556" o:spid="_x0000_s1052" type="#_x0000_t202" style="width:1766;height:1757;left:4915;mso-wrap-style:square;position:absolute;top:2064;v-text-anchor:top">
                <v:textbox>
                  <w:txbxContent>
                    <w:p w:rsidR="00B37071">
                      <w:pPr>
                        <w:pStyle w:val="Normal0"/>
                        <w:jc w:val="center"/>
                        <w:rPr>
                          <w:sz w:val="21"/>
                          <w:szCs w:val="21"/>
                        </w:rPr>
                      </w:pPr>
                      <w:r>
                        <w:rPr>
                          <w:rFonts w:hint="eastAsia"/>
                          <w:sz w:val="21"/>
                          <w:szCs w:val="21"/>
                        </w:rPr>
                        <w:t>技术质量部：</w:t>
                      </w:r>
                    </w:p>
                    <w:p w:rsidR="00B37071">
                      <w:pPr>
                        <w:pStyle w:val="Normal0"/>
                        <w:rPr>
                          <w:sz w:val="21"/>
                          <w:szCs w:val="21"/>
                        </w:rPr>
                      </w:pPr>
                      <w:r>
                        <w:rPr>
                          <w:rFonts w:hint="eastAsia"/>
                          <w:sz w:val="21"/>
                          <w:szCs w:val="21"/>
                        </w:rPr>
                        <w:t>施工员：</w:t>
                      </w:r>
                      <w:r>
                        <w:rPr>
                          <w:rFonts w:hint="eastAsia"/>
                          <w:sz w:val="21"/>
                          <w:szCs w:val="21"/>
                        </w:rPr>
                        <w:t>江勇</w:t>
                      </w:r>
                    </w:p>
                    <w:p w:rsidR="00B37071">
                      <w:pPr>
                        <w:pStyle w:val="Normal0"/>
                        <w:jc w:val="center"/>
                        <w:rPr>
                          <w:sz w:val="21"/>
                          <w:szCs w:val="21"/>
                        </w:rPr>
                      </w:pPr>
                      <w:r>
                        <w:rPr>
                          <w:rFonts w:hint="eastAsia"/>
                          <w:sz w:val="21"/>
                          <w:szCs w:val="21"/>
                        </w:rPr>
                        <w:t>试验员：</w:t>
                      </w:r>
                      <w:r>
                        <w:rPr>
                          <w:rFonts w:hint="eastAsia"/>
                          <w:sz w:val="21"/>
                          <w:szCs w:val="21"/>
                        </w:rPr>
                        <w:t>丁少东</w:t>
                      </w:r>
                    </w:p>
                    <w:p w:rsidR="00B37071">
                      <w:pPr>
                        <w:pStyle w:val="Normal0"/>
                        <w:jc w:val="center"/>
                        <w:rPr>
                          <w:sz w:val="21"/>
                          <w:szCs w:val="21"/>
                        </w:rPr>
                      </w:pPr>
                      <w:r>
                        <w:rPr>
                          <w:rFonts w:hint="eastAsia"/>
                          <w:sz w:val="21"/>
                          <w:szCs w:val="21"/>
                        </w:rPr>
                        <w:t>质检员：</w:t>
                      </w:r>
                      <w:r>
                        <w:rPr>
                          <w:rFonts w:hint="eastAsia"/>
                          <w:sz w:val="21"/>
                          <w:szCs w:val="21"/>
                        </w:rPr>
                        <w:t>汤志伟</w:t>
                      </w:r>
                    </w:p>
                    <w:p w:rsidR="00B37071">
                      <w:pPr>
                        <w:pStyle w:val="Normal0"/>
                        <w:rPr>
                          <w:sz w:val="21"/>
                          <w:szCs w:val="21"/>
                        </w:rPr>
                      </w:pPr>
                    </w:p>
                  </w:txbxContent>
                </v:textbox>
              </v:shape>
              <v:shape id="Text Box 556" o:spid="_x0000_s1053" type="#_x0000_t202" style="width:1545;height:1745;left:6722;mso-wrap-style:square;position:absolute;top:2050;v-text-anchor:top">
                <v:textbox>
                  <w:txbxContent>
                    <w:p w:rsidR="00B37071">
                      <w:pPr>
                        <w:pStyle w:val="Normal0"/>
                        <w:jc w:val="center"/>
                        <w:rPr>
                          <w:sz w:val="21"/>
                          <w:szCs w:val="21"/>
                        </w:rPr>
                      </w:pPr>
                      <w:r>
                        <w:rPr>
                          <w:rFonts w:hint="eastAsia"/>
                          <w:sz w:val="21"/>
                          <w:szCs w:val="21"/>
                        </w:rPr>
                        <w:t>财务部：</w:t>
                      </w:r>
                      <w:r>
                        <w:rPr>
                          <w:rFonts w:hint="eastAsia"/>
                          <w:sz w:val="21"/>
                          <w:szCs w:val="21"/>
                        </w:rPr>
                        <w:t xml:space="preserve"> </w:t>
                      </w:r>
                    </w:p>
                    <w:p w:rsidR="00B37071">
                      <w:pPr>
                        <w:pStyle w:val="Normal0"/>
                        <w:jc w:val="center"/>
                        <w:rPr>
                          <w:sz w:val="21"/>
                          <w:szCs w:val="21"/>
                        </w:rPr>
                      </w:pPr>
                      <w:r>
                        <w:rPr>
                          <w:rFonts w:hint="eastAsia"/>
                          <w:sz w:val="21"/>
                          <w:szCs w:val="21"/>
                        </w:rPr>
                        <w:t>汤唯</w:t>
                      </w:r>
                      <w:r>
                        <w:rPr>
                          <w:rFonts w:hint="eastAsia"/>
                          <w:sz w:val="21"/>
                          <w:szCs w:val="21"/>
                        </w:rPr>
                        <w:t xml:space="preserve">  </w:t>
                      </w:r>
                    </w:p>
                  </w:txbxContent>
                </v:textbox>
              </v:shape>
              <v:shape id="Text Box 556" o:spid="_x0000_s1054" type="#_x0000_t202" style="width:1547;height:1745;left:8378;mso-wrap-style:square;position:absolute;top:2039;v-text-anchor:top">
                <v:textbox>
                  <w:txbxContent>
                    <w:p w:rsidR="00B37071">
                      <w:pPr>
                        <w:pStyle w:val="Normal0"/>
                        <w:jc w:val="center"/>
                        <w:rPr>
                          <w:sz w:val="21"/>
                          <w:szCs w:val="21"/>
                        </w:rPr>
                      </w:pPr>
                      <w:r>
                        <w:rPr>
                          <w:rFonts w:hint="eastAsia"/>
                          <w:sz w:val="21"/>
                          <w:szCs w:val="21"/>
                        </w:rPr>
                        <w:t>安全环境部：</w:t>
                      </w:r>
                    </w:p>
                    <w:p w:rsidR="00B37071">
                      <w:pPr>
                        <w:pStyle w:val="Normal0"/>
                        <w:jc w:val="center"/>
                        <w:rPr>
                          <w:sz w:val="21"/>
                          <w:szCs w:val="21"/>
                        </w:rPr>
                      </w:pPr>
                      <w:r>
                        <w:rPr>
                          <w:rFonts w:hint="eastAsia"/>
                          <w:sz w:val="21"/>
                          <w:szCs w:val="21"/>
                        </w:rPr>
                        <w:t>刘远峰、钱凯</w:t>
                      </w:r>
                    </w:p>
                  </w:txbxContent>
                </v:textbox>
              </v:shape>
              <v:line id="直线 104" o:spid="_x0000_s1055" style="flip:x;mso-wrap-style:square;position:absolute" from="1213,802" to="1222,1169" strokecolor="#739cc3" strokeweight="1.25pt">
                <v:fill o:detectmouseclick="t"/>
              </v:line>
              <v:line id="直线 104" o:spid="_x0000_s1056" style="flip:x;mso-wrap-style:square;position:absolute" from="3089,812" to="3090,1216" strokecolor="#739cc3" strokeweight="1.25pt">
                <v:fill o:detectmouseclick="t"/>
              </v:line>
              <v:line id="直线 104" o:spid="_x0000_s1057" style="flip:x;mso-wrap-style:square;position:absolute" from="4992,779" to="4993,1183" strokecolor="#739cc3" strokeweight="1.25pt">
                <v:fill o:detectmouseclick="t"/>
              </v:line>
              <v:line id="直线 104" o:spid="_x0000_s1058" style="flip:x;mso-wrap-style:square;position:absolute" from="6963,800" to="6964,1204" strokecolor="#739cc3" strokeweight="1.25pt">
                <v:fill o:detectmouseclick="t"/>
              </v:line>
              <v:line id="直线 104" o:spid="_x0000_s1059" style="flip:x;mso-wrap-style:square;position:absolute" from="8832,811" to="8833,1215" strokecolor="#739cc3" strokeweight="1.25pt">
                <v:fill o:detectmouseclick="t"/>
              </v:line>
              <v:line id="直线 127" o:spid="_x0000_s1060" style="flip:x y;mso-wrap-style:square;position:absolute" from="877,1191" to="890,2055" strokecolor="#739cc3" strokeweight="1.25pt">
                <v:fill o:detectmouseclick="t"/>
              </v:line>
              <v:line id="直线 127" o:spid="_x0000_s1061" style="flip:x y;mso-wrap-style:square;position:absolute" from="9151,1191" to="9161,2029" strokecolor="#739cc3" strokeweight="1.25pt">
                <v:fill o:detectmouseclick="t"/>
              </v:line>
              <v:line id="直线 130" o:spid="_x0000_s1062" style="mso-wrap-style:square;position:absolute" from="865,1202" to="9173,1214" strokecolor="#739cc3" strokeweight="1.25pt">
                <v:fill o:detectmouseclick="t"/>
              </v:line>
              <v:line id="直线 127" o:spid="_x0000_s1063" style="flip:x y;mso-wrap-style:square;position:absolute" from="2525,1212" to="2538,2076" strokecolor="#739cc3" strokeweight="1.25pt">
                <v:fill o:detectmouseclick="t"/>
              </v:line>
              <v:line id="直线 127" o:spid="_x0000_s1064" style="flip:x y;mso-wrap-style:square;position:absolute" from="4128,1224" to="4141,2088" strokecolor="#739cc3" strokeweight="1.25pt">
                <v:fill o:detectmouseclick="t"/>
              </v:line>
              <v:line id="直线 127" o:spid="_x0000_s1065" style="flip:x y;mso-wrap-style:square;position:absolute" from="5790,1189" to="5803,2053" strokecolor="#739cc3" strokeweight="1.25pt">
                <v:fill o:detectmouseclick="t"/>
              </v:line>
              <v:line id="直线 127" o:spid="_x0000_s1066" style="flip:x y;mso-wrap-style:square;position:absolute" from="7440,1189" to="7453,2053" strokecolor="#739cc3" strokeweight="1.25pt">
                <v:fill o:detectmouseclick="t"/>
              </v:line>
            </v:group>
          </v:group>
        </w:pict>
      </w: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sectPr>
          <w:type w:val="nextPage"/>
          <w:pgSz w:w="11907" w:h="16840"/>
          <w:pgMar w:top="1418" w:right="1123" w:bottom="1418" w:left="1418" w:header="851" w:footer="851" w:gutter="0"/>
          <w:pgNumType w:fmt="numberInDash" w:start="5"/>
          <w:cols w:space="708"/>
          <w:titlePg w:val="0"/>
          <w:docGrid w:linePitch="312"/>
        </w:sect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ind w:firstLine="480" w:firstLineChars="200"/>
        <w:jc w:val="left"/>
        <w:rPr>
          <w:rFonts w:ascii="宋体" w:hAnsi="宋体"/>
          <w:snapToGrid w:val="0"/>
          <w:sz w:val="24"/>
          <w:szCs w:val="24"/>
        </w:rPr>
      </w:pPr>
    </w:p>
    <w:p w:rsidR="00B37071">
      <w:pPr>
        <w:pStyle w:val="Normal0"/>
        <w:spacing w:line="360" w:lineRule="auto"/>
        <w:jc w:val="left"/>
        <w:rPr>
          <w:rFonts w:ascii="宋体" w:hAnsi="宋体"/>
          <w:snapToGrid w:val="0"/>
          <w:sz w:val="24"/>
          <w:szCs w:val="24"/>
        </w:rPr>
      </w:pPr>
    </w:p>
    <w:p w:rsidR="00B37071">
      <w:pPr>
        <w:pStyle w:val="Date"/>
        <w:spacing w:line="440" w:lineRule="exact"/>
        <w:ind w:left="5250"/>
        <w:outlineLvl w:val="1"/>
        <w:rPr>
          <w:rFonts w:ascii="宋体" w:hAnsi="宋体"/>
          <w:b/>
          <w:sz w:val="24"/>
          <w:szCs w:val="24"/>
        </w:rPr>
      </w:pPr>
    </w:p>
    <w:p w:rsidR="00B37071">
      <w:pPr>
        <w:pStyle w:val="Normal0"/>
        <w:spacing w:line="360" w:lineRule="auto"/>
        <w:outlineLvl w:val="1"/>
        <w:rPr>
          <w:rFonts w:ascii="宋体" w:hAnsi="宋体"/>
          <w:bCs/>
          <w:sz w:val="24"/>
          <w:szCs w:val="24"/>
        </w:rPr>
      </w:pPr>
      <w:bookmarkStart w:id="44" w:name="_Toc360632724"/>
      <w:r>
        <w:rPr>
          <w:rFonts w:ascii="宋体" w:hAnsi="宋体"/>
          <w:sz w:val="24"/>
        </w:rPr>
        <w:pict>
          <v:line id="直线 21" o:spid="_x0000_s1067" style="mso-wrap-style:square;position:absolute;z-index:251664384" from="234.45pt,-6.8pt" to="234.5pt,9.3pt" stroked="f">
            <o:callout v:ext="edit" lengthspecified="t"/>
          </v:line>
        </w:pict>
      </w:r>
      <w:r>
        <w:rPr>
          <w:rFonts w:ascii="宋体" w:hAnsi="宋体" w:hint="eastAsia"/>
          <w:sz w:val="24"/>
          <w:szCs w:val="24"/>
        </w:rPr>
        <w:t>3.3</w:t>
      </w:r>
      <w:r>
        <w:rPr>
          <w:rFonts w:ascii="宋体" w:hAnsi="宋体" w:hint="eastAsia"/>
          <w:sz w:val="24"/>
          <w:szCs w:val="24"/>
        </w:rPr>
        <w:t>、</w:t>
      </w:r>
      <w:r>
        <w:rPr>
          <w:rFonts w:ascii="宋体" w:hAnsi="宋体" w:hint="eastAsia"/>
          <w:bCs/>
          <w:sz w:val="24"/>
          <w:szCs w:val="24"/>
        </w:rPr>
        <w:t>施工准备</w:t>
      </w:r>
      <w:bookmarkEnd w:id="44"/>
    </w:p>
    <w:p w:rsidR="00B37071">
      <w:pPr>
        <w:pStyle w:val="Normal0"/>
        <w:spacing w:line="360" w:lineRule="auto"/>
        <w:rPr>
          <w:rFonts w:ascii="宋体" w:hAnsi="宋体"/>
          <w:sz w:val="24"/>
        </w:rPr>
      </w:pPr>
      <w:r>
        <w:rPr>
          <w:rFonts w:ascii="宋体" w:hAnsi="宋体" w:hint="eastAsia"/>
          <w:bCs/>
          <w:sz w:val="24"/>
          <w:szCs w:val="24"/>
        </w:rPr>
        <w:t>3.3.1</w:t>
      </w:r>
      <w:r>
        <w:rPr>
          <w:rFonts w:ascii="宋体" w:hAnsi="宋体" w:hint="eastAsia"/>
          <w:bCs/>
          <w:sz w:val="24"/>
          <w:szCs w:val="24"/>
        </w:rPr>
        <w:t>、</w:t>
      </w:r>
      <w:r>
        <w:rPr>
          <w:rFonts w:ascii="宋体" w:hAnsi="宋体" w:hint="eastAsia"/>
          <w:sz w:val="24"/>
        </w:rPr>
        <w:t>技术准备</w:t>
      </w:r>
    </w:p>
    <w:p w:rsidR="00B37071">
      <w:pPr>
        <w:pStyle w:val="Normal0"/>
        <w:spacing w:line="360" w:lineRule="auto"/>
        <w:rPr>
          <w:rFonts w:ascii="宋体" w:hAnsi="宋体"/>
          <w:bCs/>
          <w:sz w:val="24"/>
          <w:szCs w:val="28"/>
        </w:rPr>
      </w:pPr>
      <w:r>
        <w:rPr>
          <w:rFonts w:ascii="宋体" w:hAnsi="宋体"/>
          <w:bCs/>
          <w:sz w:val="24"/>
          <w:szCs w:val="28"/>
        </w:rPr>
        <w:t>3.</w:t>
      </w:r>
      <w:r>
        <w:rPr>
          <w:rFonts w:ascii="宋体" w:hAnsi="宋体" w:hint="eastAsia"/>
          <w:bCs/>
          <w:sz w:val="24"/>
          <w:szCs w:val="28"/>
        </w:rPr>
        <w:t>3</w:t>
      </w:r>
      <w:r>
        <w:rPr>
          <w:rFonts w:ascii="宋体" w:hAnsi="宋体"/>
          <w:bCs/>
          <w:sz w:val="24"/>
          <w:szCs w:val="28"/>
        </w:rPr>
        <w:t>.1.1</w:t>
      </w:r>
      <w:r>
        <w:rPr>
          <w:rFonts w:ascii="宋体" w:hAnsi="宋体" w:hint="eastAsia"/>
          <w:bCs/>
          <w:sz w:val="24"/>
          <w:szCs w:val="28"/>
        </w:rPr>
        <w:t>、施工图设计技术交底及图纸会审</w:t>
      </w:r>
    </w:p>
    <w:p w:rsidR="00B37071">
      <w:pPr>
        <w:pStyle w:val="Normal0"/>
        <w:spacing w:line="360" w:lineRule="auto"/>
        <w:ind w:firstLine="480" w:firstLineChars="200"/>
        <w:rPr>
          <w:rFonts w:ascii="宋体" w:hAnsi="宋体"/>
          <w:sz w:val="24"/>
          <w:szCs w:val="28"/>
        </w:rPr>
      </w:pPr>
      <w:r>
        <w:rPr>
          <w:rFonts w:ascii="宋体" w:hAnsi="宋体"/>
          <w:sz w:val="24"/>
          <w:szCs w:val="28"/>
        </w:rPr>
        <w:pict>
          <v:line id="直线 22" o:spid="_x0000_s1068" style="mso-wrap-style:square;position:absolute;z-index:251665408" from="240.45pt,161.95pt" to="240.5pt,258.05pt" stroked="f">
            <o:callout v:ext="edit" lengthspecified="t"/>
          </v:line>
        </w:pict>
      </w:r>
      <w:r>
        <w:rPr>
          <w:rFonts w:ascii="宋体" w:hAnsi="宋体" w:hint="eastAsia"/>
          <w:sz w:val="24"/>
          <w:szCs w:val="28"/>
        </w:rPr>
        <w:t>施工前将施工图纸提前交给工程技术人员与项目施工员进行图纸熟悉，将施工图纸设计问题及施工过程可能遇到的问题，以及各专业图纸之间的相互矛盾先进行内部自审。根据自审结果由建设单位组织各有关单位进行图纸会审时提出解决。工程技术人员应将图纸发放给施工班组并根据技术手册要求进行交底，做到操作时能按设计要求进行，确保工程施工质量。</w:t>
      </w:r>
    </w:p>
    <w:p w:rsidR="00B37071">
      <w:pPr>
        <w:pStyle w:val="Normal0"/>
        <w:spacing w:line="360" w:lineRule="auto"/>
        <w:rPr>
          <w:rFonts w:ascii="宋体" w:hAnsi="宋体"/>
          <w:sz w:val="24"/>
          <w:szCs w:val="28"/>
        </w:rPr>
      </w:pPr>
      <w:r>
        <w:rPr>
          <w:rFonts w:ascii="宋体" w:hAnsi="宋体"/>
          <w:sz w:val="24"/>
          <w:szCs w:val="28"/>
        </w:rPr>
        <w:t>3.</w:t>
      </w:r>
      <w:r>
        <w:rPr>
          <w:rFonts w:ascii="宋体" w:hAnsi="宋体" w:hint="eastAsia"/>
          <w:sz w:val="24"/>
          <w:szCs w:val="28"/>
        </w:rPr>
        <w:t>3</w:t>
      </w:r>
      <w:r>
        <w:rPr>
          <w:rFonts w:ascii="宋体" w:hAnsi="宋体"/>
          <w:sz w:val="24"/>
          <w:szCs w:val="28"/>
        </w:rPr>
        <w:t>.1.2</w:t>
      </w:r>
      <w:r>
        <w:rPr>
          <w:rFonts w:ascii="宋体" w:hAnsi="宋体" w:hint="eastAsia"/>
          <w:sz w:val="24"/>
          <w:szCs w:val="28"/>
        </w:rPr>
        <w:t>、施工图深化设计</w:t>
      </w:r>
    </w:p>
    <w:p w:rsidR="00B37071">
      <w:pPr>
        <w:pStyle w:val="Normal0"/>
        <w:spacing w:line="360" w:lineRule="auto"/>
        <w:ind w:firstLine="480" w:firstLineChars="200"/>
        <w:rPr>
          <w:rFonts w:ascii="宋体" w:hAnsi="宋体"/>
          <w:sz w:val="24"/>
          <w:szCs w:val="28"/>
        </w:rPr>
      </w:pPr>
      <w:r>
        <w:rPr>
          <w:rFonts w:ascii="宋体" w:hAnsi="宋体"/>
          <w:sz w:val="24"/>
          <w:szCs w:val="28"/>
        </w:rPr>
        <w:t>(1)</w:t>
      </w:r>
      <w:r>
        <w:rPr>
          <w:rFonts w:ascii="宋体" w:hAnsi="宋体" w:hint="eastAsia"/>
          <w:sz w:val="24"/>
          <w:szCs w:val="28"/>
        </w:rPr>
        <w:t>施工方案：在工程开工之前应经项目部进行审核。工程施工中必须按施工方案进行组织施工，若有变更应经方案设计人与公司有关部门同意，否则不得随意修改原方案，施工方</w:t>
      </w:r>
      <w:r>
        <w:rPr>
          <w:rFonts w:ascii="宋体" w:hAnsi="宋体" w:hint="eastAsia"/>
          <w:sz w:val="24"/>
          <w:szCs w:val="28"/>
        </w:rPr>
        <w:t>案应交底至施工班组以及每一分部、分项工程中去，作为工程施工依据。</w:t>
      </w:r>
    </w:p>
    <w:p w:rsidR="00B37071">
      <w:pPr>
        <w:pStyle w:val="Normal0"/>
        <w:spacing w:line="360" w:lineRule="auto"/>
        <w:ind w:firstLine="480" w:firstLineChars="200"/>
        <w:rPr>
          <w:rFonts w:ascii="宋体" w:hAnsi="宋体"/>
          <w:sz w:val="24"/>
          <w:szCs w:val="28"/>
        </w:rPr>
      </w:pPr>
      <w:r>
        <w:rPr>
          <w:rFonts w:ascii="宋体" w:hAnsi="宋体"/>
          <w:sz w:val="24"/>
          <w:szCs w:val="28"/>
        </w:rPr>
        <w:t>(2)</w:t>
      </w:r>
      <w:r>
        <w:rPr>
          <w:rFonts w:ascii="宋体" w:hAnsi="宋体" w:hint="eastAsia"/>
          <w:sz w:val="24"/>
          <w:szCs w:val="28"/>
        </w:rPr>
        <w:t>施工图纸预算：并编制好能用于指导施工的预算书，提供各种资源的需要量。施工放样人员根据图纸预算书提出各种材料采购计划。</w:t>
      </w:r>
    </w:p>
    <w:p w:rsidR="00B37071">
      <w:pPr>
        <w:pStyle w:val="Normal0"/>
        <w:spacing w:line="360" w:lineRule="auto"/>
        <w:ind w:firstLine="480" w:firstLineChars="200"/>
        <w:rPr>
          <w:rFonts w:ascii="宋体" w:hAnsi="宋体"/>
          <w:sz w:val="24"/>
          <w:szCs w:val="28"/>
        </w:rPr>
      </w:pPr>
      <w:r>
        <w:rPr>
          <w:rFonts w:ascii="宋体" w:hAnsi="宋体"/>
          <w:sz w:val="24"/>
          <w:szCs w:val="28"/>
        </w:rPr>
        <w:t>(3)</w:t>
      </w:r>
      <w:r>
        <w:rPr>
          <w:rFonts w:ascii="宋体" w:hAnsi="宋体" w:hint="eastAsia"/>
          <w:sz w:val="24"/>
          <w:szCs w:val="28"/>
        </w:rPr>
        <w:t>技术交底及作业指导书：从项目经理部到各专业施工班组，均以书面形式表达，班组长在接受交底后，认真贯彻执行。</w:t>
      </w:r>
    </w:p>
    <w:p w:rsidR="00B37071">
      <w:pPr>
        <w:pStyle w:val="Normal0"/>
        <w:spacing w:line="360" w:lineRule="auto"/>
        <w:ind w:firstLine="480" w:firstLineChars="200"/>
        <w:rPr>
          <w:rFonts w:ascii="宋体" w:hAnsi="宋体"/>
          <w:bCs/>
          <w:sz w:val="24"/>
          <w:szCs w:val="28"/>
        </w:rPr>
      </w:pPr>
      <w:r>
        <w:rPr>
          <w:rFonts w:ascii="宋体" w:hAnsi="宋体"/>
          <w:bCs/>
          <w:sz w:val="24"/>
          <w:szCs w:val="28"/>
        </w:rPr>
        <w:t>(4)</w:t>
      </w:r>
      <w:r>
        <w:rPr>
          <w:rFonts w:ascii="宋体" w:hAnsi="宋体" w:hint="eastAsia"/>
          <w:bCs/>
          <w:sz w:val="24"/>
          <w:szCs w:val="28"/>
        </w:rPr>
        <w:t>规范、标准、图集：确定其是否有效，并组织有关人员深入学习，落实解决设计存在的问题。</w:t>
      </w:r>
    </w:p>
    <w:p w:rsidR="00B37071">
      <w:pPr>
        <w:pStyle w:val="Normal0"/>
        <w:spacing w:line="360" w:lineRule="auto"/>
        <w:rPr>
          <w:rFonts w:ascii="宋体" w:hAnsi="宋体"/>
          <w:bCs/>
          <w:sz w:val="24"/>
          <w:szCs w:val="28"/>
        </w:rPr>
        <w:sectPr>
          <w:type w:val="nextPage"/>
          <w:pgSz w:w="11907" w:h="16840"/>
          <w:pgMar w:top="1418" w:right="1123" w:bottom="1418" w:left="1418" w:header="851" w:footer="851" w:gutter="0"/>
          <w:pgNumType w:fmt="numberInDash" w:start="6"/>
          <w:cols w:space="708"/>
          <w:titlePg w:val="0"/>
          <w:docGrid w:linePitch="312"/>
        </w:sectPr>
      </w:pPr>
      <w:r>
        <w:rPr>
          <w:rFonts w:ascii="宋体" w:hAnsi="宋体"/>
          <w:bCs/>
          <w:sz w:val="24"/>
          <w:szCs w:val="28"/>
        </w:rPr>
        <w:t>3.</w:t>
      </w:r>
      <w:r>
        <w:rPr>
          <w:rFonts w:ascii="宋体" w:hAnsi="宋体" w:hint="eastAsia"/>
          <w:bCs/>
          <w:sz w:val="24"/>
          <w:szCs w:val="28"/>
        </w:rPr>
        <w:t>3</w:t>
      </w:r>
      <w:r>
        <w:rPr>
          <w:rFonts w:ascii="宋体" w:hAnsi="宋体"/>
          <w:bCs/>
          <w:sz w:val="24"/>
          <w:szCs w:val="28"/>
        </w:rPr>
        <w:t>.1.3</w:t>
      </w:r>
      <w:r>
        <w:rPr>
          <w:rFonts w:ascii="宋体" w:hAnsi="宋体" w:hint="eastAsia"/>
          <w:bCs/>
          <w:sz w:val="24"/>
          <w:szCs w:val="28"/>
        </w:rPr>
        <w:t>、测量基准交底、复测及验收</w:t>
      </w:r>
    </w:p>
    <w:p w:rsidR="00B37071">
      <w:pPr>
        <w:pStyle w:val="Normal0"/>
        <w:spacing w:line="360" w:lineRule="auto"/>
        <w:ind w:firstLine="480" w:firstLineChars="200"/>
        <w:rPr>
          <w:rFonts w:ascii="宋体" w:hAnsi="宋体"/>
          <w:bCs/>
          <w:sz w:val="24"/>
          <w:szCs w:val="28"/>
        </w:rPr>
      </w:pPr>
      <w:r>
        <w:rPr>
          <w:rFonts w:ascii="宋体" w:hAnsi="宋体" w:hint="eastAsia"/>
          <w:bCs/>
          <w:sz w:val="24"/>
          <w:szCs w:val="28"/>
        </w:rPr>
        <w:t>与业主、监理单位进行导线和水准控制点的移交，并依据移交点和建筑平面图进行复测，</w:t>
      </w:r>
      <w:r>
        <w:rPr>
          <w:rFonts w:ascii="宋体" w:hAnsi="宋体" w:hint="eastAsia"/>
          <w:bCs/>
          <w:sz w:val="24"/>
          <w:szCs w:val="28"/>
        </w:rPr>
        <w:t>建立导线点，同时办理验收手续。</w:t>
      </w:r>
    </w:p>
    <w:p w:rsidR="00B37071">
      <w:pPr>
        <w:pStyle w:val="Normal0"/>
        <w:spacing w:line="360" w:lineRule="auto"/>
        <w:rPr>
          <w:rFonts w:ascii="宋体" w:hAnsi="宋体"/>
          <w:bCs/>
          <w:sz w:val="24"/>
          <w:szCs w:val="28"/>
        </w:rPr>
      </w:pPr>
      <w:r>
        <w:rPr>
          <w:rFonts w:ascii="宋体" w:hAnsi="宋体"/>
          <w:bCs/>
          <w:sz w:val="24"/>
          <w:szCs w:val="28"/>
        </w:rPr>
        <w:t>3.</w:t>
      </w:r>
      <w:r>
        <w:rPr>
          <w:rFonts w:ascii="宋体" w:hAnsi="宋体" w:hint="eastAsia"/>
          <w:bCs/>
          <w:sz w:val="24"/>
          <w:szCs w:val="28"/>
        </w:rPr>
        <w:t>3</w:t>
      </w:r>
      <w:r>
        <w:rPr>
          <w:rFonts w:ascii="宋体" w:hAnsi="宋体"/>
          <w:bCs/>
          <w:sz w:val="24"/>
          <w:szCs w:val="28"/>
        </w:rPr>
        <w:t>.2</w:t>
      </w:r>
      <w:r>
        <w:rPr>
          <w:rFonts w:ascii="宋体" w:hAnsi="宋体" w:hint="eastAsia"/>
          <w:bCs/>
          <w:sz w:val="24"/>
          <w:szCs w:val="28"/>
        </w:rPr>
        <w:t>、各物质需用量进场计划</w:t>
      </w:r>
    </w:p>
    <w:p w:rsidR="00B37071">
      <w:pPr>
        <w:pStyle w:val="Normal0"/>
        <w:spacing w:line="360" w:lineRule="auto"/>
        <w:rPr>
          <w:rFonts w:ascii="宋体" w:hAnsi="宋体"/>
          <w:bCs/>
          <w:sz w:val="24"/>
          <w:szCs w:val="28"/>
        </w:rPr>
      </w:pPr>
      <w:r>
        <w:rPr>
          <w:rFonts w:ascii="宋体" w:hAnsi="宋体"/>
          <w:bCs/>
          <w:sz w:val="24"/>
          <w:szCs w:val="28"/>
        </w:rPr>
        <w:t>3.</w:t>
      </w:r>
      <w:r>
        <w:rPr>
          <w:rFonts w:ascii="宋体" w:hAnsi="宋体" w:hint="eastAsia"/>
          <w:bCs/>
          <w:sz w:val="24"/>
          <w:szCs w:val="28"/>
        </w:rPr>
        <w:t>3</w:t>
      </w:r>
      <w:r>
        <w:rPr>
          <w:rFonts w:ascii="宋体" w:hAnsi="宋体"/>
          <w:bCs/>
          <w:sz w:val="24"/>
          <w:szCs w:val="28"/>
        </w:rPr>
        <w:t>.2.1</w:t>
      </w:r>
      <w:r>
        <w:rPr>
          <w:rFonts w:ascii="宋体" w:hAnsi="宋体" w:hint="eastAsia"/>
          <w:bCs/>
          <w:sz w:val="24"/>
          <w:szCs w:val="28"/>
        </w:rPr>
        <w:t>主要材料进场计划</w:t>
      </w:r>
    </w:p>
    <w:p w:rsidR="00B37071">
      <w:pPr>
        <w:pStyle w:val="Normal0"/>
        <w:spacing w:line="360" w:lineRule="auto"/>
        <w:rPr>
          <w:rFonts w:ascii="宋体" w:hAnsi="宋体"/>
          <w:bCs/>
          <w:sz w:val="24"/>
          <w:szCs w:val="28"/>
        </w:rPr>
      </w:pPr>
      <w:r>
        <w:rPr>
          <w:rFonts w:ascii="宋体" w:hAnsi="宋体" w:hint="eastAsia"/>
          <w:bCs/>
          <w:sz w:val="24"/>
          <w:szCs w:val="28"/>
        </w:rPr>
        <w:t xml:space="preserve">   </w:t>
      </w:r>
      <w:r>
        <w:rPr>
          <w:rFonts w:ascii="宋体" w:hAnsi="宋体" w:hint="eastAsia"/>
          <w:bCs/>
          <w:sz w:val="24"/>
          <w:szCs w:val="28"/>
        </w:rPr>
        <w:t>根据</w:t>
      </w:r>
      <w:r>
        <w:rPr>
          <w:rFonts w:ascii="宋体" w:hAnsi="宋体" w:hint="eastAsia"/>
          <w:bCs/>
          <w:sz w:val="24"/>
          <w:szCs w:val="28"/>
        </w:rPr>
        <w:t>地</w:t>
      </w:r>
      <w:r>
        <w:rPr>
          <w:rFonts w:ascii="宋体" w:hAnsi="宋体" w:hint="eastAsia"/>
          <w:bCs/>
          <w:sz w:val="24"/>
          <w:szCs w:val="28"/>
        </w:rPr>
        <w:t>基设计图纸，测算出水泥需用量（物质需用计划表），并组织物质采购和进场。水泥进场时必须有厂家提供的产品合格证及进场检验报告，并按相关规定经试验室抽样试验合格，方准投入使用。</w:t>
      </w:r>
    </w:p>
    <w:p w:rsidR="00B37071">
      <w:pPr>
        <w:pStyle w:val="Normal0"/>
        <w:jc w:val="center"/>
        <w:rPr>
          <w:rFonts w:ascii="宋体" w:hAnsi="宋体"/>
          <w:b/>
          <w:bCs/>
          <w:sz w:val="24"/>
          <w:szCs w:val="24"/>
        </w:rPr>
      </w:pPr>
      <w:r>
        <w:rPr>
          <w:rFonts w:ascii="宋体" w:hAnsi="宋体"/>
          <w:sz w:val="24"/>
          <w:szCs w:val="24"/>
        </w:rPr>
        <w:tab/>
      </w:r>
      <w:r>
        <w:rPr>
          <w:rFonts w:ascii="宋体" w:hAnsi="宋体" w:hint="eastAsia"/>
          <w:sz w:val="24"/>
          <w:szCs w:val="24"/>
        </w:rPr>
        <w:t xml:space="preserve">                        </w:t>
      </w:r>
      <w:r>
        <w:rPr>
          <w:rFonts w:ascii="宋体" w:hAnsi="宋体" w:hint="eastAsia"/>
          <w:b/>
          <w:bCs/>
          <w:sz w:val="24"/>
          <w:szCs w:val="24"/>
        </w:rPr>
        <w:t>物资需用计划表</w:t>
      </w:r>
      <w:r>
        <w:rPr>
          <w:rFonts w:ascii="宋体" w:hAnsi="宋体" w:hint="eastAsia"/>
          <w:b/>
          <w:bCs/>
          <w:sz w:val="24"/>
          <w:szCs w:val="24"/>
        </w:rPr>
        <w:t xml:space="preserve">                    </w:t>
      </w:r>
      <w:r>
        <w:rPr>
          <w:rFonts w:ascii="宋体" w:hAnsi="宋体" w:hint="eastAsia"/>
          <w:sz w:val="24"/>
          <w:szCs w:val="24"/>
        </w:rPr>
        <w:t>表</w:t>
      </w:r>
      <w:r>
        <w:rPr>
          <w:rFonts w:ascii="宋体" w:hAnsi="宋体"/>
          <w:sz w:val="24"/>
          <w:szCs w:val="24"/>
        </w:rPr>
        <w:t>3.</w:t>
      </w:r>
      <w:r>
        <w:rPr>
          <w:rFonts w:ascii="宋体" w:hAnsi="宋体" w:hint="eastAsia"/>
          <w:sz w:val="24"/>
          <w:szCs w:val="24"/>
        </w:rPr>
        <w:t>3</w:t>
      </w:r>
      <w:r>
        <w:rPr>
          <w:rFonts w:ascii="宋体" w:hAnsi="宋体"/>
          <w:sz w:val="24"/>
          <w:szCs w:val="24"/>
        </w:rPr>
        <w:t>.2.</w:t>
      </w:r>
      <w:r>
        <w:rPr>
          <w:rFonts w:ascii="宋体" w:hAnsi="宋体" w:hint="eastAsia"/>
          <w:sz w:val="24"/>
          <w:szCs w:val="24"/>
        </w:rPr>
        <w:t>1-3</w:t>
      </w:r>
      <w:r>
        <w:rPr>
          <w:rFonts w:ascii="宋体" w:hAnsi="宋体"/>
          <w:sz w:val="24"/>
          <w:szCs w:val="24"/>
        </w:rPr>
        <w:t xml:space="preserve">                           </w:t>
      </w:r>
    </w:p>
    <w:tbl>
      <w:tblPr>
        <w:tblStyle w:val="TableNormal"/>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2" w:space="0" w:color="auto"/>
          <w:insideV w:val="single" w:sz="2" w:space="0" w:color="auto"/>
        </w:tblBorders>
        <w:tblLayout w:type="fixed"/>
        <w:tblLook w:val="0000"/>
      </w:tblPr>
      <w:tblGrid>
        <w:gridCol w:w="861"/>
        <w:gridCol w:w="1797"/>
        <w:gridCol w:w="1476"/>
        <w:gridCol w:w="940"/>
        <w:gridCol w:w="1306"/>
        <w:gridCol w:w="1350"/>
        <w:gridCol w:w="1514"/>
      </w:tblGrid>
      <w:tr>
        <w:tblPrEx>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2" w:space="0" w:color="auto"/>
            <w:insideV w:val="single" w:sz="2" w:space="0" w:color="auto"/>
          </w:tblBorders>
          <w:tblLayout w:type="fixed"/>
          <w:tblLook w:val="0000"/>
        </w:tblPrEx>
        <w:trPr>
          <w:trHeight w:val="806"/>
          <w:jc w:val="center"/>
        </w:trPr>
        <w:tc>
          <w:tcPr>
            <w:tcW w:w="861"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序号</w:t>
            </w:r>
          </w:p>
        </w:tc>
        <w:tc>
          <w:tcPr>
            <w:tcW w:w="1797"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名</w:t>
            </w:r>
            <w:r>
              <w:rPr>
                <w:rFonts w:ascii="宋体" w:hAnsi="宋体"/>
                <w:sz w:val="24"/>
                <w:szCs w:val="24"/>
              </w:rPr>
              <w:t xml:space="preserve">    </w:t>
            </w:r>
            <w:r>
              <w:rPr>
                <w:rFonts w:ascii="宋体" w:hAnsi="宋体" w:hint="eastAsia"/>
                <w:sz w:val="24"/>
                <w:szCs w:val="24"/>
              </w:rPr>
              <w:t>称</w:t>
            </w:r>
          </w:p>
        </w:tc>
        <w:tc>
          <w:tcPr>
            <w:tcW w:w="1476"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规格</w:t>
            </w:r>
          </w:p>
        </w:tc>
        <w:tc>
          <w:tcPr>
            <w:tcW w:w="940"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单位</w:t>
            </w:r>
          </w:p>
        </w:tc>
        <w:tc>
          <w:tcPr>
            <w:tcW w:w="1306"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数量</w:t>
            </w:r>
          </w:p>
        </w:tc>
        <w:tc>
          <w:tcPr>
            <w:tcW w:w="1350"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进场时间</w:t>
            </w:r>
          </w:p>
        </w:tc>
        <w:tc>
          <w:tcPr>
            <w:tcW w:w="1514" w:type="dxa"/>
            <w:tcBorders>
              <w:top w:val="thinThickSmallGap" w:sz="24" w:space="0" w:color="auto"/>
              <w:bottom w:val="single" w:sz="2" w:space="0" w:color="auto"/>
            </w:tcBorders>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备注</w:t>
            </w:r>
          </w:p>
        </w:tc>
      </w:tr>
      <w:tr>
        <w:tblPrEx>
          <w:tblW w:w="0" w:type="auto"/>
          <w:jc w:val="center"/>
          <w:tblLayout w:type="fixed"/>
          <w:tblLook w:val="0000"/>
        </w:tblPrEx>
        <w:trPr>
          <w:trHeight w:val="657"/>
          <w:jc w:val="center"/>
        </w:trPr>
        <w:tc>
          <w:tcPr>
            <w:tcW w:w="861" w:type="dxa"/>
            <w:tcBorders>
              <w:top w:val="single" w:sz="2" w:space="0" w:color="auto"/>
            </w:tcBorders>
            <w:vAlign w:val="center"/>
          </w:tcPr>
          <w:p w:rsidR="00B37071">
            <w:pPr>
              <w:pStyle w:val="Normal0"/>
              <w:jc w:val="center"/>
              <w:rPr>
                <w:rFonts w:ascii="宋体" w:hAnsi="宋体"/>
                <w:sz w:val="24"/>
                <w:szCs w:val="24"/>
              </w:rPr>
            </w:pPr>
            <w:r>
              <w:rPr>
                <w:rFonts w:ascii="宋体" w:hAnsi="宋体"/>
                <w:sz w:val="24"/>
                <w:szCs w:val="24"/>
              </w:rPr>
              <w:t>1</w:t>
            </w:r>
          </w:p>
        </w:tc>
        <w:tc>
          <w:tcPr>
            <w:tcW w:w="1797" w:type="dxa"/>
            <w:tcBorders>
              <w:top w:val="single" w:sz="2" w:space="0" w:color="auto"/>
            </w:tcBorders>
            <w:vAlign w:val="center"/>
          </w:tcPr>
          <w:p w:rsidR="00B37071">
            <w:pPr>
              <w:pStyle w:val="Normal0"/>
              <w:jc w:val="center"/>
              <w:rPr>
                <w:rFonts w:ascii="宋体" w:hAnsi="宋体"/>
                <w:sz w:val="24"/>
                <w:szCs w:val="24"/>
              </w:rPr>
            </w:pPr>
            <w:r>
              <w:rPr>
                <w:rFonts w:ascii="宋体" w:hAnsi="宋体" w:hint="eastAsia"/>
                <w:sz w:val="24"/>
                <w:szCs w:val="24"/>
              </w:rPr>
              <w:t>水泥</w:t>
            </w:r>
          </w:p>
        </w:tc>
        <w:tc>
          <w:tcPr>
            <w:tcW w:w="1476" w:type="dxa"/>
            <w:tcBorders>
              <w:top w:val="single" w:sz="2" w:space="0" w:color="auto"/>
            </w:tcBorders>
            <w:vAlign w:val="center"/>
          </w:tcPr>
          <w:p w:rsidR="00B37071">
            <w:pPr>
              <w:pStyle w:val="Normal0"/>
              <w:jc w:val="center"/>
              <w:rPr>
                <w:rFonts w:ascii="宋体" w:hAnsi="宋体"/>
                <w:sz w:val="24"/>
                <w:szCs w:val="24"/>
              </w:rPr>
            </w:pPr>
            <w:r>
              <w:rPr>
                <w:rFonts w:ascii="宋体" w:hAnsi="宋体" w:hint="eastAsia"/>
                <w:sz w:val="24"/>
                <w:szCs w:val="24"/>
              </w:rPr>
              <w:t>P.O42.5</w:t>
            </w:r>
          </w:p>
        </w:tc>
        <w:tc>
          <w:tcPr>
            <w:tcW w:w="940" w:type="dxa"/>
            <w:tcBorders>
              <w:top w:val="single" w:sz="2" w:space="0" w:color="auto"/>
            </w:tcBorders>
            <w:vAlign w:val="center"/>
          </w:tcPr>
          <w:p w:rsidR="00B37071">
            <w:pPr>
              <w:pStyle w:val="Normal0"/>
              <w:jc w:val="center"/>
              <w:rPr>
                <w:rFonts w:ascii="宋体" w:hAnsi="宋体"/>
                <w:sz w:val="24"/>
                <w:szCs w:val="24"/>
              </w:rPr>
            </w:pPr>
            <w:r>
              <w:rPr>
                <w:rFonts w:ascii="宋体" w:hAnsi="宋体"/>
                <w:sz w:val="24"/>
                <w:szCs w:val="24"/>
              </w:rPr>
              <w:t>t</w:t>
            </w:r>
          </w:p>
        </w:tc>
        <w:tc>
          <w:tcPr>
            <w:tcW w:w="1306" w:type="dxa"/>
            <w:tcBorders>
              <w:top w:val="single" w:sz="2" w:space="0" w:color="auto"/>
            </w:tcBorders>
            <w:vAlign w:val="center"/>
          </w:tcPr>
          <w:p w:rsidR="00B37071">
            <w:pPr>
              <w:pStyle w:val="Normal0"/>
              <w:jc w:val="center"/>
              <w:rPr>
                <w:rFonts w:ascii="宋体" w:hAnsi="宋体" w:cs="宋体"/>
                <w:color w:val="FF0000"/>
                <w:sz w:val="24"/>
                <w:szCs w:val="24"/>
              </w:rPr>
            </w:pPr>
            <w:r>
              <w:rPr>
                <w:rFonts w:ascii="宋体" w:hAnsi="宋体" w:cs="宋体" w:hint="eastAsia"/>
                <w:sz w:val="24"/>
                <w:szCs w:val="24"/>
              </w:rPr>
              <w:t>13256</w:t>
            </w:r>
          </w:p>
        </w:tc>
        <w:tc>
          <w:tcPr>
            <w:tcW w:w="1350" w:type="dxa"/>
            <w:tcBorders>
              <w:top w:val="single" w:sz="2" w:space="0" w:color="auto"/>
            </w:tcBorders>
            <w:vAlign w:val="center"/>
          </w:tcPr>
          <w:p w:rsidR="00B37071">
            <w:pPr>
              <w:pStyle w:val="Normal0"/>
              <w:jc w:val="center"/>
              <w:rPr>
                <w:rFonts w:ascii="宋体" w:hAnsi="宋体"/>
                <w:sz w:val="24"/>
                <w:szCs w:val="24"/>
              </w:rPr>
            </w:pPr>
            <w:r>
              <w:rPr>
                <w:rFonts w:ascii="宋体" w:hAnsi="宋体" w:hint="eastAsia"/>
                <w:sz w:val="24"/>
                <w:szCs w:val="24"/>
              </w:rPr>
              <w:t>分批进场</w:t>
            </w:r>
          </w:p>
        </w:tc>
        <w:tc>
          <w:tcPr>
            <w:tcW w:w="1514" w:type="dxa"/>
            <w:tcBorders>
              <w:top w:val="single" w:sz="2" w:space="0" w:color="auto"/>
            </w:tcBorders>
            <w:vAlign w:val="center"/>
          </w:tcPr>
          <w:p w:rsidR="00B37071">
            <w:pPr>
              <w:pStyle w:val="Normal0"/>
              <w:jc w:val="center"/>
              <w:rPr>
                <w:rFonts w:ascii="宋体" w:hAnsi="宋体"/>
                <w:sz w:val="24"/>
                <w:szCs w:val="24"/>
              </w:rPr>
            </w:pPr>
          </w:p>
        </w:tc>
      </w:tr>
    </w:tbl>
    <w:p w:rsidR="00B37071">
      <w:pPr>
        <w:pStyle w:val="Normal0"/>
        <w:spacing w:line="360" w:lineRule="auto"/>
        <w:rPr>
          <w:rFonts w:ascii="宋体" w:hAnsi="宋体"/>
          <w:bCs/>
          <w:sz w:val="24"/>
          <w:szCs w:val="28"/>
        </w:rPr>
      </w:pPr>
      <w:r>
        <w:rPr>
          <w:rFonts w:ascii="宋体" w:hAnsi="宋体"/>
          <w:bCs/>
          <w:sz w:val="24"/>
          <w:szCs w:val="28"/>
        </w:rPr>
        <w:t>3.</w:t>
      </w:r>
      <w:r>
        <w:rPr>
          <w:rFonts w:ascii="宋体" w:hAnsi="宋体" w:hint="eastAsia"/>
          <w:bCs/>
          <w:sz w:val="24"/>
          <w:szCs w:val="28"/>
        </w:rPr>
        <w:t>3</w:t>
      </w:r>
      <w:r>
        <w:rPr>
          <w:rFonts w:ascii="宋体" w:hAnsi="宋体"/>
          <w:bCs/>
          <w:sz w:val="24"/>
          <w:szCs w:val="28"/>
        </w:rPr>
        <w:t>.2.2</w:t>
      </w:r>
      <w:r>
        <w:rPr>
          <w:rFonts w:ascii="宋体" w:hAnsi="宋体" w:hint="eastAsia"/>
          <w:bCs/>
          <w:sz w:val="24"/>
          <w:szCs w:val="28"/>
        </w:rPr>
        <w:t>主要机械设备进场计划</w:t>
      </w:r>
    </w:p>
    <w:p w:rsidR="00B37071">
      <w:pPr>
        <w:pStyle w:val="Normal0"/>
        <w:spacing w:line="360" w:lineRule="auto"/>
        <w:ind w:firstLine="480" w:firstLineChars="200"/>
        <w:rPr>
          <w:rFonts w:ascii="宋体" w:hAnsi="宋体"/>
          <w:bCs/>
          <w:sz w:val="24"/>
          <w:szCs w:val="28"/>
        </w:rPr>
      </w:pPr>
      <w:r>
        <w:rPr>
          <w:rFonts w:ascii="宋体" w:hAnsi="宋体" w:hint="eastAsia"/>
          <w:bCs/>
          <w:sz w:val="24"/>
          <w:szCs w:val="28"/>
        </w:rPr>
        <w:t>按“施工机械设备计划”一览表提供的设备组织进场，并组织专业人员进行检查，组装和维护保养，使设备处于良好的工作状态，以保证施工正常进行。</w:t>
      </w:r>
    </w:p>
    <w:p w:rsidR="00B37071">
      <w:pPr>
        <w:pStyle w:val="Normal0"/>
        <w:spacing w:line="360" w:lineRule="auto"/>
        <w:jc w:val="center"/>
        <w:rPr>
          <w:rFonts w:ascii="宋体" w:hAnsi="宋体"/>
          <w:sz w:val="24"/>
          <w:szCs w:val="24"/>
        </w:rPr>
      </w:pPr>
      <w:r>
        <w:rPr>
          <w:rFonts w:ascii="宋体" w:hAnsi="宋体" w:hint="eastAsia"/>
          <w:b/>
          <w:bCs/>
          <w:sz w:val="24"/>
          <w:szCs w:val="24"/>
        </w:rPr>
        <w:t xml:space="preserve">                          </w:t>
      </w:r>
      <w:r>
        <w:rPr>
          <w:rFonts w:ascii="宋体" w:hAnsi="宋体" w:hint="eastAsia"/>
          <w:b/>
          <w:bCs/>
          <w:sz w:val="24"/>
          <w:szCs w:val="24"/>
        </w:rPr>
        <w:t>施工机械设备计划</w:t>
      </w:r>
      <w:r>
        <w:rPr>
          <w:rFonts w:ascii="宋体" w:hAnsi="宋体" w:hint="eastAsia"/>
          <w:sz w:val="24"/>
          <w:szCs w:val="24"/>
        </w:rPr>
        <w:t xml:space="preserve">                     </w:t>
      </w:r>
      <w:r>
        <w:rPr>
          <w:rFonts w:ascii="宋体" w:hAnsi="宋体" w:hint="eastAsia"/>
          <w:sz w:val="24"/>
          <w:szCs w:val="24"/>
        </w:rPr>
        <w:t>表</w:t>
      </w:r>
      <w:r>
        <w:rPr>
          <w:rFonts w:ascii="宋体" w:hAnsi="宋体"/>
          <w:sz w:val="24"/>
          <w:szCs w:val="24"/>
        </w:rPr>
        <w:t>3.</w:t>
      </w:r>
      <w:r>
        <w:rPr>
          <w:rFonts w:ascii="宋体" w:hAnsi="宋体" w:hint="eastAsia"/>
          <w:sz w:val="24"/>
          <w:szCs w:val="24"/>
        </w:rPr>
        <w:t>3</w:t>
      </w:r>
      <w:r>
        <w:rPr>
          <w:rFonts w:ascii="宋体" w:hAnsi="宋体"/>
          <w:sz w:val="24"/>
          <w:szCs w:val="24"/>
        </w:rPr>
        <w:t>.2.2</w:t>
      </w:r>
      <w:r>
        <w:rPr>
          <w:rFonts w:ascii="宋体" w:hAnsi="宋体" w:hint="eastAsia"/>
          <w:sz w:val="24"/>
          <w:szCs w:val="24"/>
        </w:rPr>
        <w:t>-4</w:t>
      </w:r>
    </w:p>
    <w:tbl>
      <w:tblPr>
        <w:tblStyle w:val="TableNormal"/>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ayout w:type="fixed"/>
        <w:tblLook w:val="0000"/>
      </w:tblPr>
      <w:tblGrid>
        <w:gridCol w:w="880"/>
        <w:gridCol w:w="1818"/>
        <w:gridCol w:w="1649"/>
        <w:gridCol w:w="1073"/>
        <w:gridCol w:w="1255"/>
        <w:gridCol w:w="1583"/>
        <w:gridCol w:w="1142"/>
      </w:tblGrid>
      <w:tr>
        <w:tblPrEx>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ayout w:type="fixed"/>
          <w:tblLook w:val="0000"/>
        </w:tblPrEx>
        <w:trPr>
          <w:trHeight w:val="503"/>
        </w:trPr>
        <w:tc>
          <w:tcPr>
            <w:tcW w:w="880"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24"/>
                <w:szCs w:val="24"/>
              </w:rPr>
            </w:pPr>
            <w:r>
              <w:rPr>
                <w:rFonts w:ascii="宋体" w:hAnsi="宋体" w:hint="eastAsia"/>
                <w:sz w:val="24"/>
                <w:szCs w:val="24"/>
              </w:rPr>
              <w:t>序号</w:t>
            </w:r>
          </w:p>
        </w:tc>
        <w:tc>
          <w:tcPr>
            <w:tcW w:w="1818"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18"/>
                <w:szCs w:val="18"/>
              </w:rPr>
            </w:pPr>
            <w:r>
              <w:rPr>
                <w:rFonts w:ascii="宋体" w:hAnsi="宋体" w:hint="eastAsia"/>
                <w:sz w:val="18"/>
                <w:szCs w:val="18"/>
              </w:rPr>
              <w:t>机械（设备）</w:t>
            </w:r>
          </w:p>
          <w:p w:rsidR="00B37071">
            <w:pPr>
              <w:pStyle w:val="Normal0"/>
              <w:spacing w:line="360" w:lineRule="auto"/>
              <w:jc w:val="center"/>
              <w:rPr>
                <w:rFonts w:ascii="宋体" w:hAnsi="宋体"/>
                <w:sz w:val="24"/>
                <w:szCs w:val="24"/>
              </w:rPr>
            </w:pPr>
            <w:r>
              <w:rPr>
                <w:rFonts w:ascii="宋体" w:hAnsi="宋体" w:hint="eastAsia"/>
                <w:sz w:val="18"/>
                <w:szCs w:val="18"/>
              </w:rPr>
              <w:t>名称</w:t>
            </w:r>
          </w:p>
        </w:tc>
        <w:tc>
          <w:tcPr>
            <w:tcW w:w="1649"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24"/>
                <w:szCs w:val="24"/>
              </w:rPr>
            </w:pPr>
            <w:r>
              <w:rPr>
                <w:rFonts w:ascii="宋体" w:hAnsi="宋体" w:hint="eastAsia"/>
                <w:sz w:val="24"/>
                <w:szCs w:val="24"/>
              </w:rPr>
              <w:t>型号规格</w:t>
            </w:r>
          </w:p>
        </w:tc>
        <w:tc>
          <w:tcPr>
            <w:tcW w:w="1073"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24"/>
                <w:szCs w:val="24"/>
              </w:rPr>
            </w:pPr>
            <w:r>
              <w:rPr>
                <w:rFonts w:ascii="宋体" w:hAnsi="宋体" w:hint="eastAsia"/>
                <w:sz w:val="24"/>
                <w:szCs w:val="24"/>
              </w:rPr>
              <w:t>单位</w:t>
            </w:r>
          </w:p>
        </w:tc>
        <w:tc>
          <w:tcPr>
            <w:tcW w:w="1255"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24"/>
                <w:szCs w:val="24"/>
              </w:rPr>
            </w:pPr>
            <w:r>
              <w:rPr>
                <w:rFonts w:ascii="宋体" w:hAnsi="宋体" w:hint="eastAsia"/>
                <w:sz w:val="24"/>
                <w:szCs w:val="24"/>
              </w:rPr>
              <w:t>数量</w:t>
            </w:r>
          </w:p>
        </w:tc>
        <w:tc>
          <w:tcPr>
            <w:tcW w:w="1583"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18"/>
                <w:szCs w:val="18"/>
              </w:rPr>
            </w:pPr>
            <w:r>
              <w:rPr>
                <w:rFonts w:ascii="宋体" w:hAnsi="宋体" w:hint="eastAsia"/>
                <w:sz w:val="18"/>
                <w:szCs w:val="18"/>
              </w:rPr>
              <w:t>定额功率</w:t>
            </w:r>
          </w:p>
          <w:p w:rsidR="00B37071">
            <w:pPr>
              <w:pStyle w:val="Normal0"/>
              <w:spacing w:line="360" w:lineRule="auto"/>
              <w:jc w:val="center"/>
              <w:rPr>
                <w:rFonts w:ascii="宋体" w:hAnsi="宋体"/>
                <w:sz w:val="24"/>
                <w:szCs w:val="24"/>
              </w:rPr>
            </w:pPr>
            <w:r>
              <w:rPr>
                <w:rFonts w:ascii="宋体" w:hAnsi="宋体" w:hint="eastAsia"/>
                <w:sz w:val="18"/>
                <w:szCs w:val="18"/>
              </w:rPr>
              <w:t>（</w:t>
            </w:r>
            <w:r>
              <w:rPr>
                <w:rFonts w:ascii="宋体" w:hAnsi="宋体" w:hint="eastAsia"/>
                <w:sz w:val="18"/>
                <w:szCs w:val="18"/>
              </w:rPr>
              <w:t>KW</w:t>
            </w:r>
            <w:r>
              <w:rPr>
                <w:rFonts w:ascii="宋体" w:hAnsi="宋体" w:hint="eastAsia"/>
                <w:sz w:val="18"/>
                <w:szCs w:val="18"/>
              </w:rPr>
              <w:t>）</w:t>
            </w:r>
          </w:p>
        </w:tc>
        <w:tc>
          <w:tcPr>
            <w:tcW w:w="1142" w:type="dxa"/>
            <w:tcBorders>
              <w:top w:val="thinThickSmallGap" w:sz="24" w:space="0" w:color="auto"/>
              <w:bottom w:val="single" w:sz="8" w:space="0" w:color="auto"/>
            </w:tcBorders>
            <w:shd w:val="clear" w:color="auto" w:fill="00FFFF"/>
            <w:vAlign w:val="center"/>
          </w:tcPr>
          <w:p w:rsidR="00B37071">
            <w:pPr>
              <w:pStyle w:val="Normal0"/>
              <w:spacing w:line="360" w:lineRule="auto"/>
              <w:jc w:val="center"/>
              <w:rPr>
                <w:rFonts w:ascii="宋体" w:hAnsi="宋体"/>
                <w:sz w:val="24"/>
                <w:szCs w:val="24"/>
              </w:rPr>
            </w:pPr>
            <w:r>
              <w:rPr>
                <w:rFonts w:ascii="宋体" w:hAnsi="宋体" w:hint="eastAsia"/>
                <w:sz w:val="24"/>
                <w:szCs w:val="24"/>
              </w:rPr>
              <w:t>备注</w:t>
            </w:r>
          </w:p>
        </w:tc>
      </w:tr>
      <w:tr>
        <w:tblPrEx>
          <w:tblW w:w="0" w:type="auto"/>
          <w:tblInd w:w="108" w:type="dxa"/>
          <w:tblLayout w:type="fixed"/>
          <w:tblLook w:val="0000"/>
        </w:tblPrEx>
        <w:trPr>
          <w:trHeight w:val="484"/>
        </w:trPr>
        <w:tc>
          <w:tcPr>
            <w:tcW w:w="880"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1</w:t>
            </w:r>
          </w:p>
        </w:tc>
        <w:tc>
          <w:tcPr>
            <w:tcW w:w="1818"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深层搅拌机</w:t>
            </w:r>
          </w:p>
        </w:tc>
        <w:tc>
          <w:tcPr>
            <w:tcW w:w="1649"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SJB-1</w:t>
            </w:r>
          </w:p>
        </w:tc>
        <w:tc>
          <w:tcPr>
            <w:tcW w:w="1073"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6</w:t>
            </w:r>
          </w:p>
        </w:tc>
        <w:tc>
          <w:tcPr>
            <w:tcW w:w="1583"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60</w:t>
            </w:r>
          </w:p>
        </w:tc>
        <w:tc>
          <w:tcPr>
            <w:tcW w:w="1142" w:type="dxa"/>
            <w:tcBorders>
              <w:top w:val="single" w:sz="8" w:space="0" w:color="auto"/>
            </w:tcBorders>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2</w:t>
            </w:r>
          </w:p>
        </w:tc>
        <w:tc>
          <w:tcPr>
            <w:tcW w:w="1818"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灰浆泵</w:t>
            </w:r>
          </w:p>
        </w:tc>
        <w:tc>
          <w:tcPr>
            <w:tcW w:w="1649"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UB-3</w:t>
            </w:r>
          </w:p>
        </w:tc>
        <w:tc>
          <w:tcPr>
            <w:tcW w:w="1073"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6</w:t>
            </w:r>
          </w:p>
        </w:tc>
        <w:tc>
          <w:tcPr>
            <w:tcW w:w="1583" w:type="dxa"/>
            <w:tcBorders>
              <w:top w:val="single" w:sz="8" w:space="0" w:color="auto"/>
            </w:tcBorders>
            <w:vAlign w:val="center"/>
          </w:tcPr>
          <w:p w:rsidR="00B37071">
            <w:pPr>
              <w:pStyle w:val="Normal0"/>
              <w:jc w:val="center"/>
              <w:rPr>
                <w:rFonts w:ascii="宋体" w:hAnsi="宋体"/>
                <w:sz w:val="24"/>
                <w:szCs w:val="24"/>
              </w:rPr>
            </w:pPr>
            <w:r>
              <w:rPr>
                <w:rFonts w:ascii="宋体" w:hAnsi="宋体" w:hint="eastAsia"/>
                <w:sz w:val="24"/>
                <w:szCs w:val="24"/>
              </w:rPr>
              <w:t>20</w:t>
            </w:r>
          </w:p>
        </w:tc>
        <w:tc>
          <w:tcPr>
            <w:tcW w:w="1142" w:type="dxa"/>
            <w:tcBorders>
              <w:top w:val="single" w:sz="8" w:space="0" w:color="auto"/>
            </w:tcBorders>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3</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立式搅拌机</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JQ350</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6</w:t>
            </w:r>
          </w:p>
        </w:tc>
        <w:tc>
          <w:tcPr>
            <w:tcW w:w="1583" w:type="dxa"/>
            <w:vAlign w:val="center"/>
          </w:tcPr>
          <w:p w:rsidR="00B37071">
            <w:pPr>
              <w:pStyle w:val="Normal0"/>
              <w:jc w:val="center"/>
              <w:rPr>
                <w:rFonts w:ascii="宋体" w:hAnsi="宋体"/>
                <w:sz w:val="24"/>
                <w:szCs w:val="24"/>
              </w:rPr>
            </w:pPr>
            <w:r>
              <w:rPr>
                <w:rFonts w:ascii="宋体" w:hAnsi="宋体" w:hint="eastAsia"/>
                <w:sz w:val="24"/>
                <w:szCs w:val="24"/>
              </w:rPr>
              <w:t>20</w:t>
            </w: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4</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高压旋喷桩机</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XL-50</w:t>
            </w:r>
            <w:r>
              <w:rPr>
                <w:rFonts w:ascii="宋体" w:hAnsi="宋体" w:hint="eastAsia"/>
                <w:sz w:val="24"/>
                <w:szCs w:val="24"/>
              </w:rPr>
              <w:t>型</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3</w:t>
            </w:r>
          </w:p>
        </w:tc>
        <w:tc>
          <w:tcPr>
            <w:tcW w:w="1583" w:type="dxa"/>
            <w:vAlign w:val="center"/>
          </w:tcPr>
          <w:p w:rsidR="00B37071">
            <w:pPr>
              <w:pStyle w:val="Normal0"/>
              <w:jc w:val="center"/>
              <w:rPr>
                <w:rFonts w:ascii="宋体" w:hAnsi="宋体"/>
                <w:sz w:val="24"/>
                <w:szCs w:val="24"/>
              </w:rPr>
            </w:pPr>
            <w:r>
              <w:rPr>
                <w:rFonts w:ascii="宋体" w:hAnsi="宋体" w:hint="eastAsia"/>
                <w:sz w:val="24"/>
                <w:szCs w:val="24"/>
              </w:rPr>
              <w:t>55</w:t>
            </w: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5</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空气压缩机</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W-2/8-B</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3</w:t>
            </w:r>
          </w:p>
        </w:tc>
        <w:tc>
          <w:tcPr>
            <w:tcW w:w="1583" w:type="dxa"/>
            <w:vAlign w:val="center"/>
          </w:tcPr>
          <w:p w:rsidR="00B37071">
            <w:pPr>
              <w:pStyle w:val="Normal0"/>
              <w:jc w:val="center"/>
              <w:rPr>
                <w:rFonts w:ascii="宋体" w:hAnsi="宋体"/>
                <w:sz w:val="24"/>
                <w:szCs w:val="24"/>
              </w:rPr>
            </w:pPr>
            <w:r>
              <w:rPr>
                <w:rFonts w:ascii="宋体" w:hAnsi="宋体" w:hint="eastAsia"/>
                <w:sz w:val="24"/>
                <w:szCs w:val="24"/>
              </w:rPr>
              <w:t>100</w:t>
            </w: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6</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高压泵</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XPB-90EX</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3</w:t>
            </w:r>
          </w:p>
        </w:tc>
        <w:tc>
          <w:tcPr>
            <w:tcW w:w="1583" w:type="dxa"/>
            <w:vAlign w:val="center"/>
          </w:tcPr>
          <w:p w:rsidR="00B37071">
            <w:pPr>
              <w:pStyle w:val="Normal0"/>
              <w:jc w:val="center"/>
              <w:rPr>
                <w:rFonts w:ascii="宋体" w:hAnsi="宋体"/>
                <w:sz w:val="24"/>
                <w:szCs w:val="24"/>
              </w:rPr>
            </w:pPr>
            <w:r>
              <w:rPr>
                <w:rFonts w:ascii="宋体" w:hAnsi="宋体" w:hint="eastAsia"/>
                <w:sz w:val="24"/>
                <w:szCs w:val="24"/>
              </w:rPr>
              <w:t>90</w:t>
            </w: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7</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泥浆泵</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BW-150</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3</w:t>
            </w:r>
          </w:p>
        </w:tc>
        <w:tc>
          <w:tcPr>
            <w:tcW w:w="1583" w:type="dxa"/>
            <w:vAlign w:val="center"/>
          </w:tcPr>
          <w:p w:rsidR="00B37071">
            <w:pPr>
              <w:pStyle w:val="Normal0"/>
              <w:jc w:val="center"/>
              <w:rPr>
                <w:rFonts w:ascii="宋体" w:hAnsi="宋体"/>
                <w:sz w:val="24"/>
                <w:szCs w:val="24"/>
              </w:rPr>
            </w:pP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8</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压力表</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Y-100</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个</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9</w:t>
            </w:r>
          </w:p>
        </w:tc>
        <w:tc>
          <w:tcPr>
            <w:tcW w:w="1583" w:type="dxa"/>
            <w:vAlign w:val="center"/>
          </w:tcPr>
          <w:p w:rsidR="00B37071">
            <w:pPr>
              <w:pStyle w:val="Normal0"/>
              <w:jc w:val="center"/>
              <w:rPr>
                <w:rFonts w:ascii="宋体" w:hAnsi="宋体"/>
                <w:sz w:val="24"/>
                <w:szCs w:val="24"/>
              </w:rPr>
            </w:pP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9</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手推车</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0.1m3</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辆</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7</w:t>
            </w:r>
          </w:p>
        </w:tc>
        <w:tc>
          <w:tcPr>
            <w:tcW w:w="1583" w:type="dxa"/>
            <w:vAlign w:val="center"/>
          </w:tcPr>
          <w:p w:rsidR="00B37071">
            <w:pPr>
              <w:pStyle w:val="Normal0"/>
              <w:jc w:val="center"/>
              <w:rPr>
                <w:rFonts w:ascii="宋体" w:hAnsi="宋体"/>
                <w:sz w:val="24"/>
                <w:szCs w:val="24"/>
              </w:rPr>
            </w:pP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484"/>
        </w:trPr>
        <w:tc>
          <w:tcPr>
            <w:tcW w:w="880" w:type="dxa"/>
            <w:vAlign w:val="center"/>
          </w:tcPr>
          <w:p w:rsidR="00B37071">
            <w:pPr>
              <w:pStyle w:val="Normal0"/>
              <w:jc w:val="center"/>
              <w:rPr>
                <w:rFonts w:ascii="宋体" w:hAnsi="宋体"/>
                <w:sz w:val="24"/>
                <w:szCs w:val="24"/>
              </w:rPr>
            </w:pPr>
            <w:r>
              <w:rPr>
                <w:rFonts w:ascii="宋体" w:hAnsi="宋体" w:hint="eastAsia"/>
                <w:sz w:val="24"/>
                <w:szCs w:val="24"/>
              </w:rPr>
              <w:t>10</w:t>
            </w:r>
          </w:p>
        </w:tc>
        <w:tc>
          <w:tcPr>
            <w:tcW w:w="1818" w:type="dxa"/>
            <w:vAlign w:val="center"/>
          </w:tcPr>
          <w:p w:rsidR="00B37071">
            <w:pPr>
              <w:pStyle w:val="Normal0"/>
              <w:jc w:val="center"/>
              <w:rPr>
                <w:rFonts w:ascii="宋体" w:hAnsi="宋体"/>
                <w:sz w:val="24"/>
                <w:szCs w:val="24"/>
              </w:rPr>
            </w:pPr>
            <w:r>
              <w:rPr>
                <w:rFonts w:ascii="宋体" w:hAnsi="宋体" w:hint="eastAsia"/>
                <w:sz w:val="24"/>
                <w:szCs w:val="24"/>
              </w:rPr>
              <w:t>磅秤</w:t>
            </w:r>
          </w:p>
        </w:tc>
        <w:tc>
          <w:tcPr>
            <w:tcW w:w="1649" w:type="dxa"/>
            <w:vAlign w:val="center"/>
          </w:tcPr>
          <w:p w:rsidR="00B37071">
            <w:pPr>
              <w:pStyle w:val="Normal0"/>
              <w:jc w:val="center"/>
              <w:rPr>
                <w:rFonts w:ascii="宋体" w:hAnsi="宋体"/>
                <w:sz w:val="24"/>
                <w:szCs w:val="24"/>
              </w:rPr>
            </w:pPr>
            <w:r>
              <w:rPr>
                <w:rFonts w:ascii="宋体" w:hAnsi="宋体" w:hint="eastAsia"/>
                <w:sz w:val="24"/>
                <w:szCs w:val="24"/>
              </w:rPr>
              <w:t>500kg</w:t>
            </w:r>
          </w:p>
        </w:tc>
        <w:tc>
          <w:tcPr>
            <w:tcW w:w="1073" w:type="dxa"/>
            <w:vAlign w:val="center"/>
          </w:tcPr>
          <w:p w:rsidR="00B37071">
            <w:pPr>
              <w:pStyle w:val="Normal0"/>
              <w:jc w:val="center"/>
              <w:rPr>
                <w:rFonts w:ascii="宋体" w:hAnsi="宋体"/>
                <w:sz w:val="24"/>
                <w:szCs w:val="24"/>
              </w:rPr>
            </w:pPr>
            <w:r>
              <w:rPr>
                <w:rFonts w:ascii="宋体" w:hAnsi="宋体" w:hint="eastAsia"/>
                <w:sz w:val="24"/>
                <w:szCs w:val="24"/>
              </w:rPr>
              <w:t>台</w:t>
            </w:r>
          </w:p>
        </w:tc>
        <w:tc>
          <w:tcPr>
            <w:tcW w:w="1255" w:type="dxa"/>
            <w:vAlign w:val="center"/>
          </w:tcPr>
          <w:p w:rsidR="00B37071">
            <w:pPr>
              <w:pStyle w:val="Normal0"/>
              <w:jc w:val="center"/>
              <w:rPr>
                <w:rFonts w:ascii="宋体" w:hAnsi="宋体"/>
                <w:sz w:val="24"/>
                <w:szCs w:val="24"/>
              </w:rPr>
            </w:pPr>
            <w:r>
              <w:rPr>
                <w:rFonts w:ascii="宋体" w:hAnsi="宋体" w:hint="eastAsia"/>
                <w:sz w:val="24"/>
                <w:szCs w:val="24"/>
              </w:rPr>
              <w:t>7</w:t>
            </w:r>
          </w:p>
        </w:tc>
        <w:tc>
          <w:tcPr>
            <w:tcW w:w="1583" w:type="dxa"/>
            <w:vAlign w:val="center"/>
          </w:tcPr>
          <w:p w:rsidR="00B37071">
            <w:pPr>
              <w:pStyle w:val="Normal0"/>
              <w:jc w:val="center"/>
              <w:rPr>
                <w:rFonts w:ascii="宋体" w:hAnsi="宋体"/>
                <w:sz w:val="24"/>
                <w:szCs w:val="24"/>
              </w:rPr>
            </w:pPr>
          </w:p>
        </w:tc>
        <w:tc>
          <w:tcPr>
            <w:tcW w:w="1142" w:type="dxa"/>
            <w:vAlign w:val="center"/>
          </w:tcPr>
          <w:p w:rsidR="00B37071">
            <w:pPr>
              <w:pStyle w:val="Normal0"/>
              <w:jc w:val="center"/>
              <w:rPr>
                <w:rFonts w:ascii="宋体" w:hAnsi="宋体"/>
                <w:sz w:val="24"/>
                <w:szCs w:val="24"/>
              </w:rPr>
            </w:pPr>
          </w:p>
        </w:tc>
      </w:tr>
      <w:tr>
        <w:tblPrEx>
          <w:tblW w:w="0" w:type="auto"/>
          <w:tblInd w:w="108" w:type="dxa"/>
          <w:tblLayout w:type="fixed"/>
          <w:tblLook w:val="0000"/>
        </w:tblPrEx>
        <w:trPr>
          <w:trHeight w:val="566"/>
        </w:trPr>
        <w:tc>
          <w:tcPr>
            <w:tcW w:w="9400" w:type="dxa"/>
            <w:gridSpan w:val="7"/>
            <w:vAlign w:val="center"/>
          </w:tcPr>
          <w:p w:rsidR="00B37071">
            <w:pPr>
              <w:pStyle w:val="Normal0"/>
              <w:jc w:val="left"/>
              <w:rPr>
                <w:rFonts w:ascii="宋体" w:hAnsi="宋体"/>
                <w:sz w:val="24"/>
                <w:szCs w:val="24"/>
              </w:rPr>
            </w:pPr>
            <w:r>
              <w:rPr>
                <w:rFonts w:ascii="宋体" w:hAnsi="宋体" w:hint="eastAsia"/>
                <w:color w:val="000000"/>
                <w:sz w:val="21"/>
                <w:szCs w:val="21"/>
              </w:rPr>
              <w:t>备注：</w:t>
            </w:r>
            <w:r>
              <w:rPr>
                <w:rFonts w:hint="eastAsia"/>
                <w:sz w:val="21"/>
                <w:szCs w:val="21"/>
              </w:rPr>
              <w:t>若</w:t>
            </w:r>
            <w:r>
              <w:rPr>
                <w:rFonts w:hint="eastAsia"/>
                <w:sz w:val="21"/>
                <w:szCs w:val="21"/>
              </w:rPr>
              <w:t>回</w:t>
            </w:r>
            <w:r>
              <w:rPr>
                <w:rFonts w:hint="eastAsia"/>
                <w:sz w:val="21"/>
                <w:szCs w:val="21"/>
              </w:rPr>
              <w:t>填块石</w:t>
            </w:r>
            <w:r>
              <w:rPr>
                <w:rFonts w:hint="eastAsia"/>
                <w:sz w:val="21"/>
                <w:szCs w:val="21"/>
              </w:rPr>
              <w:t>层</w:t>
            </w:r>
            <w:r>
              <w:rPr>
                <w:rFonts w:hint="eastAsia"/>
                <w:sz w:val="21"/>
                <w:szCs w:val="21"/>
              </w:rPr>
              <w:t>较厚，水泥搅拌桩无法施工，改用高压旋喷桩</w:t>
            </w:r>
            <w:r>
              <w:rPr>
                <w:rFonts w:hint="eastAsia"/>
                <w:sz w:val="21"/>
                <w:szCs w:val="21"/>
              </w:rPr>
              <w:t>，</w:t>
            </w:r>
            <w:r>
              <w:rPr>
                <w:rFonts w:hint="eastAsia"/>
                <w:sz w:val="21"/>
                <w:szCs w:val="21"/>
              </w:rPr>
              <w:t>需进场高喷设备。</w:t>
            </w:r>
          </w:p>
        </w:tc>
      </w:tr>
    </w:tbl>
    <w:p w:rsidR="00B37071">
      <w:pPr>
        <w:pStyle w:val="Normal0"/>
        <w:spacing w:line="360" w:lineRule="auto"/>
        <w:rPr>
          <w:rFonts w:ascii="宋体" w:hAnsi="宋体"/>
          <w:sz w:val="24"/>
        </w:rPr>
        <w:sectPr>
          <w:type w:val="nextPage"/>
          <w:pgSz w:w="11907" w:h="16840"/>
          <w:pgMar w:top="1418" w:right="1123" w:bottom="1418" w:left="1418" w:header="851" w:footer="851" w:gutter="0"/>
          <w:pgNumType w:fmt="numberInDash" w:start="7"/>
          <w:cols w:space="708"/>
          <w:titlePg w:val="0"/>
          <w:docGrid w:linePitch="312"/>
        </w:sectPr>
      </w:pPr>
    </w:p>
    <w:p w:rsidR="00B37071">
      <w:pPr>
        <w:pStyle w:val="Normal0"/>
        <w:spacing w:line="360" w:lineRule="auto"/>
        <w:rPr>
          <w:rFonts w:ascii="宋体" w:hAnsi="宋体"/>
          <w:sz w:val="24"/>
        </w:rPr>
      </w:pPr>
      <w:r>
        <w:rPr>
          <w:rFonts w:ascii="宋体" w:hAnsi="宋体"/>
          <w:sz w:val="24"/>
        </w:rPr>
        <w:t>3.</w:t>
      </w:r>
      <w:r>
        <w:rPr>
          <w:rFonts w:ascii="宋体" w:hAnsi="宋体" w:hint="eastAsia"/>
          <w:sz w:val="24"/>
        </w:rPr>
        <w:t>3</w:t>
      </w:r>
      <w:r>
        <w:rPr>
          <w:rFonts w:ascii="宋体" w:hAnsi="宋体"/>
          <w:sz w:val="24"/>
        </w:rPr>
        <w:t>.2.3</w:t>
      </w:r>
      <w:r>
        <w:rPr>
          <w:rFonts w:ascii="宋体" w:hAnsi="宋体" w:hint="eastAsia"/>
          <w:sz w:val="24"/>
        </w:rPr>
        <w:t>劳动力需用量及进场计划</w:t>
      </w:r>
    </w:p>
    <w:p w:rsidR="00B37071">
      <w:pPr>
        <w:pStyle w:val="Normal0"/>
        <w:spacing w:line="360" w:lineRule="auto"/>
        <w:ind w:firstLine="480" w:firstLineChars="200"/>
        <w:rPr>
          <w:rFonts w:ascii="宋体" w:hAnsi="宋体"/>
          <w:sz w:val="24"/>
        </w:rPr>
      </w:pPr>
      <w:r>
        <w:rPr>
          <w:rFonts w:ascii="宋体" w:hAnsi="宋体" w:hint="eastAsia"/>
          <w:sz w:val="24"/>
        </w:rPr>
        <w:t>按“劳动力计划表”组织人员进场并按规定对所有进场人员进行三级安全检查教育。特殊工种应持证上岗，施工前对班组进行技术交底。</w:t>
      </w:r>
    </w:p>
    <w:p w:rsidR="00B37071">
      <w:pPr>
        <w:pStyle w:val="Normal0"/>
        <w:spacing w:line="240" w:lineRule="atLeast"/>
        <w:ind w:firstLine="3528" w:firstLineChars="1470"/>
        <w:rPr>
          <w:rFonts w:ascii="宋体" w:hAnsi="宋体"/>
          <w:sz w:val="24"/>
          <w:szCs w:val="24"/>
        </w:rPr>
      </w:pPr>
      <w:r>
        <w:rPr>
          <w:rFonts w:ascii="宋体" w:hAnsi="宋体" w:hint="eastAsia"/>
          <w:b/>
          <w:bCs/>
          <w:sz w:val="24"/>
          <w:szCs w:val="24"/>
        </w:rPr>
        <w:t>劳动力计划表</w:t>
      </w:r>
      <w:r>
        <w:rPr>
          <w:rFonts w:ascii="宋体" w:hAnsi="宋体"/>
          <w:b/>
          <w:bCs/>
          <w:sz w:val="24"/>
          <w:szCs w:val="24"/>
        </w:rPr>
        <w:t xml:space="preserve"> </w:t>
      </w:r>
      <w:r>
        <w:rPr>
          <w:rFonts w:ascii="宋体" w:hAnsi="宋体"/>
          <w:sz w:val="24"/>
          <w:szCs w:val="24"/>
        </w:rPr>
        <w:t xml:space="preserve">                      </w:t>
      </w:r>
      <w:r>
        <w:rPr>
          <w:rFonts w:ascii="宋体" w:hAnsi="宋体" w:hint="eastAsia"/>
          <w:sz w:val="24"/>
          <w:szCs w:val="24"/>
        </w:rPr>
        <w:t>表</w:t>
      </w:r>
      <w:r>
        <w:rPr>
          <w:rFonts w:ascii="宋体" w:hAnsi="宋体"/>
          <w:sz w:val="24"/>
          <w:szCs w:val="24"/>
        </w:rPr>
        <w:t>3.</w:t>
      </w:r>
      <w:r>
        <w:rPr>
          <w:rFonts w:ascii="宋体" w:hAnsi="宋体" w:hint="eastAsia"/>
          <w:sz w:val="24"/>
          <w:szCs w:val="24"/>
        </w:rPr>
        <w:t>3</w:t>
      </w:r>
      <w:r>
        <w:rPr>
          <w:rFonts w:ascii="宋体" w:hAnsi="宋体"/>
          <w:sz w:val="24"/>
          <w:szCs w:val="24"/>
        </w:rPr>
        <w:t>.2.3</w:t>
      </w:r>
      <w:r>
        <w:rPr>
          <w:rFonts w:ascii="宋体" w:hAnsi="宋体" w:hint="eastAsia"/>
          <w:sz w:val="24"/>
          <w:szCs w:val="24"/>
        </w:rPr>
        <w:t>-5</w:t>
      </w:r>
    </w:p>
    <w:tbl>
      <w:tblPr>
        <w:tblStyle w:val="TableNormal"/>
        <w:tblpPr w:leftFromText="180" w:rightFromText="180" w:vertAnchor="text" w:horzAnchor="margin" w:tblpX="108" w:tblpY="158"/>
        <w:tblW w:w="0" w:type="auto"/>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ayout w:type="fixed"/>
        <w:tblLook w:val="0000"/>
      </w:tblPr>
      <w:tblGrid>
        <w:gridCol w:w="828"/>
        <w:gridCol w:w="1561"/>
        <w:gridCol w:w="913"/>
        <w:gridCol w:w="3744"/>
        <w:gridCol w:w="2414"/>
      </w:tblGrid>
      <w:tr>
        <w:tblPrEx>
          <w:tblW w:w="0" w:type="auto"/>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ayout w:type="fixed"/>
          <w:tblLook w:val="0000"/>
        </w:tblPrEx>
        <w:trPr>
          <w:trHeight w:val="464"/>
        </w:trPr>
        <w:tc>
          <w:tcPr>
            <w:tcW w:w="828" w:type="dxa"/>
            <w:tcBorders>
              <w:tl2br w:val="nil"/>
              <w:tr2bl w:val="nil"/>
            </w:tcBorders>
            <w:shd w:val="clear" w:color="auto" w:fill="00FFFF"/>
            <w:vAlign w:val="center"/>
          </w:tcPr>
          <w:p w:rsidR="00B37071">
            <w:pPr>
              <w:pStyle w:val="Normal0"/>
              <w:spacing w:line="240" w:lineRule="atLeast"/>
              <w:jc w:val="center"/>
              <w:rPr>
                <w:rFonts w:ascii="宋体" w:hAnsi="宋体"/>
                <w:bCs/>
                <w:sz w:val="24"/>
                <w:szCs w:val="24"/>
              </w:rPr>
            </w:pPr>
            <w:r>
              <w:rPr>
                <w:rFonts w:ascii="宋体" w:hAnsi="宋体" w:hint="eastAsia"/>
                <w:bCs/>
                <w:sz w:val="24"/>
                <w:szCs w:val="24"/>
              </w:rPr>
              <w:t>序号</w:t>
            </w:r>
          </w:p>
        </w:tc>
        <w:tc>
          <w:tcPr>
            <w:tcW w:w="1561" w:type="dxa"/>
            <w:tcBorders>
              <w:tl2br w:val="nil"/>
              <w:tr2bl w:val="nil"/>
            </w:tcBorders>
            <w:shd w:val="clear" w:color="auto" w:fill="00FFFF"/>
            <w:vAlign w:val="center"/>
          </w:tcPr>
          <w:p w:rsidR="00B37071">
            <w:pPr>
              <w:pStyle w:val="Normal0"/>
              <w:spacing w:line="240" w:lineRule="atLeast"/>
              <w:jc w:val="center"/>
              <w:rPr>
                <w:rFonts w:ascii="宋体" w:hAnsi="宋体"/>
                <w:bCs/>
                <w:sz w:val="24"/>
                <w:szCs w:val="24"/>
              </w:rPr>
            </w:pPr>
            <w:r>
              <w:rPr>
                <w:rFonts w:ascii="宋体" w:hAnsi="宋体" w:hint="eastAsia"/>
                <w:bCs/>
                <w:sz w:val="24"/>
                <w:szCs w:val="24"/>
              </w:rPr>
              <w:t>工</w:t>
            </w:r>
            <w:r>
              <w:rPr>
                <w:rFonts w:ascii="宋体" w:hAnsi="宋体" w:hint="eastAsia"/>
                <w:bCs/>
                <w:sz w:val="24"/>
                <w:szCs w:val="24"/>
              </w:rPr>
              <w:t xml:space="preserve"> </w:t>
            </w:r>
            <w:r>
              <w:rPr>
                <w:rFonts w:ascii="宋体" w:hAnsi="宋体" w:hint="eastAsia"/>
                <w:bCs/>
                <w:sz w:val="24"/>
                <w:szCs w:val="24"/>
              </w:rPr>
              <w:t>种</w:t>
            </w:r>
          </w:p>
        </w:tc>
        <w:tc>
          <w:tcPr>
            <w:tcW w:w="913" w:type="dxa"/>
            <w:tcBorders>
              <w:tl2br w:val="nil"/>
              <w:tr2bl w:val="nil"/>
            </w:tcBorders>
            <w:shd w:val="clear" w:color="auto" w:fill="00FFFF"/>
            <w:vAlign w:val="center"/>
          </w:tcPr>
          <w:p w:rsidR="00B37071">
            <w:pPr>
              <w:pStyle w:val="Normal0"/>
              <w:spacing w:line="240" w:lineRule="atLeast"/>
              <w:jc w:val="center"/>
              <w:rPr>
                <w:rFonts w:ascii="宋体" w:hAnsi="宋体"/>
                <w:bCs/>
                <w:sz w:val="24"/>
                <w:szCs w:val="24"/>
              </w:rPr>
            </w:pPr>
            <w:r>
              <w:rPr>
                <w:rFonts w:ascii="宋体" w:hAnsi="宋体" w:hint="eastAsia"/>
                <w:bCs/>
                <w:sz w:val="24"/>
                <w:szCs w:val="24"/>
              </w:rPr>
              <w:t>数</w:t>
            </w:r>
            <w:r>
              <w:rPr>
                <w:rFonts w:ascii="宋体" w:hAnsi="宋体" w:hint="eastAsia"/>
                <w:bCs/>
                <w:sz w:val="24"/>
                <w:szCs w:val="24"/>
              </w:rPr>
              <w:t xml:space="preserve"> </w:t>
            </w:r>
            <w:r>
              <w:rPr>
                <w:rFonts w:ascii="宋体" w:hAnsi="宋体" w:hint="eastAsia"/>
                <w:bCs/>
                <w:sz w:val="24"/>
                <w:szCs w:val="24"/>
              </w:rPr>
              <w:t>量</w:t>
            </w:r>
          </w:p>
        </w:tc>
        <w:tc>
          <w:tcPr>
            <w:tcW w:w="3744" w:type="dxa"/>
            <w:tcBorders>
              <w:tl2br w:val="nil"/>
              <w:tr2bl w:val="nil"/>
            </w:tcBorders>
            <w:shd w:val="clear" w:color="auto" w:fill="00FFFF"/>
            <w:vAlign w:val="center"/>
          </w:tcPr>
          <w:p w:rsidR="00B37071">
            <w:pPr>
              <w:pStyle w:val="Normal0"/>
              <w:spacing w:line="240" w:lineRule="atLeast"/>
              <w:jc w:val="center"/>
              <w:rPr>
                <w:rFonts w:ascii="宋体" w:hAnsi="宋体"/>
                <w:bCs/>
                <w:sz w:val="24"/>
                <w:szCs w:val="24"/>
              </w:rPr>
            </w:pPr>
            <w:r>
              <w:rPr>
                <w:rFonts w:ascii="宋体" w:hAnsi="宋体" w:hint="eastAsia"/>
                <w:bCs/>
                <w:sz w:val="24"/>
                <w:szCs w:val="24"/>
              </w:rPr>
              <w:t>工作范围</w:t>
            </w:r>
          </w:p>
        </w:tc>
        <w:tc>
          <w:tcPr>
            <w:tcW w:w="2414" w:type="dxa"/>
            <w:tcBorders>
              <w:tl2br w:val="nil"/>
              <w:tr2bl w:val="nil"/>
            </w:tcBorders>
            <w:shd w:val="clear" w:color="auto" w:fill="00FFFF"/>
            <w:vAlign w:val="center"/>
          </w:tcPr>
          <w:p w:rsidR="00B37071">
            <w:pPr>
              <w:pStyle w:val="Normal0"/>
              <w:spacing w:line="240" w:lineRule="atLeast"/>
              <w:jc w:val="center"/>
              <w:rPr>
                <w:rFonts w:ascii="宋体" w:hAnsi="宋体"/>
                <w:bCs/>
                <w:sz w:val="24"/>
                <w:szCs w:val="24"/>
              </w:rPr>
            </w:pPr>
            <w:r>
              <w:rPr>
                <w:rFonts w:ascii="宋体" w:hAnsi="宋体" w:hint="eastAsia"/>
                <w:bCs/>
                <w:sz w:val="24"/>
                <w:szCs w:val="24"/>
              </w:rPr>
              <w:t>备</w:t>
            </w:r>
            <w:r>
              <w:rPr>
                <w:rFonts w:ascii="宋体" w:hAnsi="宋体" w:hint="eastAsia"/>
                <w:bCs/>
                <w:sz w:val="24"/>
                <w:szCs w:val="24"/>
              </w:rPr>
              <w:t xml:space="preserve"> </w:t>
            </w:r>
            <w:r>
              <w:rPr>
                <w:rFonts w:ascii="宋体" w:hAnsi="宋体" w:hint="eastAsia"/>
                <w:bCs/>
                <w:sz w:val="24"/>
                <w:szCs w:val="24"/>
              </w:rPr>
              <w:t>注</w:t>
            </w:r>
          </w:p>
        </w:tc>
      </w:tr>
      <w:tr>
        <w:tblPrEx>
          <w:tblW w:w="0" w:type="auto"/>
          <w:tblLayout w:type="fixed"/>
          <w:tblLook w:val="0000"/>
        </w:tblPrEx>
        <w:trPr>
          <w:trHeight w:val="560"/>
        </w:trPr>
        <w:tc>
          <w:tcPr>
            <w:tcW w:w="828"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1</w:t>
            </w:r>
          </w:p>
        </w:tc>
        <w:tc>
          <w:tcPr>
            <w:tcW w:w="1561"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深层搅拌桩机司机</w:t>
            </w:r>
          </w:p>
        </w:tc>
        <w:tc>
          <w:tcPr>
            <w:tcW w:w="913"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6</w:t>
            </w:r>
          </w:p>
        </w:tc>
        <w:tc>
          <w:tcPr>
            <w:tcW w:w="374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驾驶桩机</w:t>
            </w:r>
          </w:p>
        </w:tc>
        <w:tc>
          <w:tcPr>
            <w:tcW w:w="241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持证上岗</w:t>
            </w:r>
          </w:p>
        </w:tc>
      </w:tr>
      <w:tr>
        <w:tblPrEx>
          <w:tblW w:w="0" w:type="auto"/>
          <w:tblLayout w:type="fixed"/>
          <w:tblLook w:val="0000"/>
        </w:tblPrEx>
        <w:trPr>
          <w:trHeight w:val="560"/>
        </w:trPr>
        <w:tc>
          <w:tcPr>
            <w:tcW w:w="828"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2</w:t>
            </w:r>
          </w:p>
        </w:tc>
        <w:tc>
          <w:tcPr>
            <w:tcW w:w="1561"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高压旋喷桩司机</w:t>
            </w:r>
          </w:p>
        </w:tc>
        <w:tc>
          <w:tcPr>
            <w:tcW w:w="913"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3</w:t>
            </w:r>
          </w:p>
        </w:tc>
        <w:tc>
          <w:tcPr>
            <w:tcW w:w="374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驾驶桩机</w:t>
            </w:r>
          </w:p>
        </w:tc>
        <w:tc>
          <w:tcPr>
            <w:tcW w:w="241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持证上岗</w:t>
            </w:r>
          </w:p>
        </w:tc>
      </w:tr>
      <w:tr>
        <w:tblPrEx>
          <w:tblW w:w="0" w:type="auto"/>
          <w:tblLayout w:type="fixed"/>
          <w:tblLook w:val="0000"/>
        </w:tblPrEx>
        <w:trPr>
          <w:trHeight w:val="560"/>
        </w:trPr>
        <w:tc>
          <w:tcPr>
            <w:tcW w:w="828"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2</w:t>
            </w:r>
          </w:p>
        </w:tc>
        <w:tc>
          <w:tcPr>
            <w:tcW w:w="1561"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测量工</w:t>
            </w:r>
          </w:p>
        </w:tc>
        <w:tc>
          <w:tcPr>
            <w:tcW w:w="913"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6</w:t>
            </w:r>
          </w:p>
        </w:tc>
        <w:tc>
          <w:tcPr>
            <w:tcW w:w="374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垂直度控制、桩位定位、施工记录</w:t>
            </w:r>
          </w:p>
        </w:tc>
        <w:tc>
          <w:tcPr>
            <w:tcW w:w="241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w:t>
            </w:r>
          </w:p>
        </w:tc>
      </w:tr>
      <w:tr>
        <w:tblPrEx>
          <w:tblW w:w="0" w:type="auto"/>
          <w:tblLayout w:type="fixed"/>
          <w:tblLook w:val="0000"/>
        </w:tblPrEx>
        <w:trPr>
          <w:trHeight w:val="486"/>
        </w:trPr>
        <w:tc>
          <w:tcPr>
            <w:tcW w:w="828"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3</w:t>
            </w:r>
          </w:p>
        </w:tc>
        <w:tc>
          <w:tcPr>
            <w:tcW w:w="1561"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桩</w:t>
            </w:r>
            <w:r>
              <w:rPr>
                <w:rFonts w:ascii="宋体" w:hAnsi="宋体" w:hint="eastAsia"/>
                <w:sz w:val="24"/>
                <w:szCs w:val="24"/>
              </w:rPr>
              <w:t xml:space="preserve"> </w:t>
            </w:r>
            <w:r>
              <w:rPr>
                <w:rFonts w:ascii="宋体" w:hAnsi="宋体" w:hint="eastAsia"/>
                <w:sz w:val="24"/>
                <w:szCs w:val="24"/>
              </w:rPr>
              <w:t>工</w:t>
            </w:r>
          </w:p>
        </w:tc>
        <w:tc>
          <w:tcPr>
            <w:tcW w:w="913"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14</w:t>
            </w:r>
          </w:p>
        </w:tc>
        <w:tc>
          <w:tcPr>
            <w:tcW w:w="374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倒桩就位，水泥输送等</w:t>
            </w:r>
          </w:p>
        </w:tc>
        <w:tc>
          <w:tcPr>
            <w:tcW w:w="241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w:t>
            </w:r>
          </w:p>
        </w:tc>
      </w:tr>
      <w:tr>
        <w:tblPrEx>
          <w:tblW w:w="0" w:type="auto"/>
          <w:tblLayout w:type="fixed"/>
          <w:tblLook w:val="0000"/>
        </w:tblPrEx>
        <w:trPr>
          <w:trHeight w:val="527"/>
        </w:trPr>
        <w:tc>
          <w:tcPr>
            <w:tcW w:w="828"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4</w:t>
            </w:r>
          </w:p>
        </w:tc>
        <w:tc>
          <w:tcPr>
            <w:tcW w:w="1561"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电</w:t>
            </w:r>
            <w:r>
              <w:rPr>
                <w:rFonts w:ascii="宋体" w:hAnsi="宋体" w:hint="eastAsia"/>
                <w:sz w:val="24"/>
                <w:szCs w:val="24"/>
              </w:rPr>
              <w:t xml:space="preserve"> </w:t>
            </w:r>
            <w:r>
              <w:rPr>
                <w:rFonts w:ascii="宋体" w:hAnsi="宋体" w:hint="eastAsia"/>
                <w:sz w:val="24"/>
                <w:szCs w:val="24"/>
              </w:rPr>
              <w:t>工</w:t>
            </w:r>
          </w:p>
        </w:tc>
        <w:tc>
          <w:tcPr>
            <w:tcW w:w="913"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2</w:t>
            </w:r>
          </w:p>
        </w:tc>
        <w:tc>
          <w:tcPr>
            <w:tcW w:w="374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现场接线及维修等</w:t>
            </w:r>
          </w:p>
        </w:tc>
        <w:tc>
          <w:tcPr>
            <w:tcW w:w="2414" w:type="dxa"/>
            <w:tcBorders>
              <w:tl2br w:val="nil"/>
              <w:tr2bl w:val="nil"/>
            </w:tcBorders>
            <w:vAlign w:val="center"/>
          </w:tcPr>
          <w:p w:rsidR="00B37071">
            <w:pPr>
              <w:pStyle w:val="Normal0"/>
              <w:spacing w:line="40" w:lineRule="atLeast"/>
              <w:jc w:val="center"/>
              <w:rPr>
                <w:rFonts w:ascii="宋体" w:hAnsi="宋体"/>
                <w:sz w:val="24"/>
                <w:szCs w:val="24"/>
              </w:rPr>
            </w:pPr>
            <w:r>
              <w:rPr>
                <w:rFonts w:ascii="宋体" w:hAnsi="宋体" w:hint="eastAsia"/>
                <w:sz w:val="24"/>
                <w:szCs w:val="24"/>
              </w:rPr>
              <w:t>持证上岗</w:t>
            </w:r>
          </w:p>
        </w:tc>
      </w:tr>
    </w:tbl>
    <w:p w:rsidR="00B37071">
      <w:pPr>
        <w:pStyle w:val="Normal0"/>
        <w:spacing w:line="360" w:lineRule="auto"/>
        <w:rPr>
          <w:rFonts w:ascii="宋体" w:hAnsi="宋体"/>
          <w:sz w:val="24"/>
          <w:szCs w:val="24"/>
        </w:rPr>
      </w:pPr>
      <w:r>
        <w:rPr>
          <w:rFonts w:ascii="宋体" w:hAnsi="宋体"/>
          <w:bCs/>
          <w:sz w:val="24"/>
        </w:rPr>
        <w:t>3.</w:t>
      </w:r>
      <w:r>
        <w:rPr>
          <w:rFonts w:ascii="宋体" w:hAnsi="宋体" w:hint="eastAsia"/>
          <w:bCs/>
          <w:sz w:val="24"/>
        </w:rPr>
        <w:t>3</w:t>
      </w:r>
      <w:r>
        <w:rPr>
          <w:rFonts w:ascii="宋体" w:hAnsi="宋体"/>
          <w:bCs/>
          <w:sz w:val="24"/>
        </w:rPr>
        <w:t xml:space="preserve">.2.4 </w:t>
      </w:r>
      <w:r>
        <w:rPr>
          <w:rFonts w:ascii="宋体" w:hAnsi="宋体" w:hint="eastAsia"/>
          <w:bCs/>
          <w:sz w:val="24"/>
        </w:rPr>
        <w:t>测量器具（见下表）</w:t>
      </w:r>
      <w:r>
        <w:rPr>
          <w:rFonts w:ascii="宋体" w:hAnsi="宋体" w:hint="eastAsia"/>
          <w:sz w:val="24"/>
          <w:szCs w:val="24"/>
        </w:rPr>
        <w:t xml:space="preserve"> </w:t>
      </w:r>
    </w:p>
    <w:p w:rsidR="00B37071">
      <w:pPr>
        <w:pStyle w:val="Normal0"/>
        <w:rPr>
          <w:rFonts w:ascii="宋体" w:hAnsi="宋体"/>
          <w:sz w:val="24"/>
          <w:szCs w:val="24"/>
        </w:rPr>
      </w:pPr>
      <w:r>
        <w:rPr>
          <w:rFonts w:ascii="宋体" w:hAnsi="宋体"/>
          <w:b/>
          <w:szCs w:val="28"/>
        </w:rPr>
        <w:t xml:space="preserve">          </w:t>
      </w:r>
      <w:r>
        <w:rPr>
          <w:rFonts w:ascii="宋体" w:hAnsi="宋体" w:hint="eastAsia"/>
          <w:b/>
          <w:szCs w:val="28"/>
        </w:rPr>
        <w:t xml:space="preserve">  </w:t>
      </w:r>
      <w:r>
        <w:rPr>
          <w:rFonts w:ascii="宋体" w:hAnsi="宋体"/>
          <w:b/>
          <w:sz w:val="24"/>
          <w:szCs w:val="24"/>
        </w:rPr>
        <w:t xml:space="preserve"> </w:t>
      </w:r>
      <w:r>
        <w:rPr>
          <w:rFonts w:ascii="宋体" w:hAnsi="宋体" w:hint="eastAsia"/>
          <w:b/>
          <w:sz w:val="24"/>
          <w:szCs w:val="24"/>
        </w:rPr>
        <w:t>计量、测量、检验和试验设备计划表</w:t>
      </w:r>
      <w:r>
        <w:rPr>
          <w:rFonts w:ascii="宋体" w:hAnsi="宋体"/>
          <w:sz w:val="24"/>
          <w:szCs w:val="24"/>
        </w:rPr>
        <w:t xml:space="preserve">       </w:t>
      </w:r>
      <w:r>
        <w:rPr>
          <w:rFonts w:ascii="宋体" w:hAnsi="宋体" w:hint="eastAsia"/>
          <w:sz w:val="24"/>
          <w:szCs w:val="24"/>
        </w:rPr>
        <w:t xml:space="preserve">          </w:t>
      </w:r>
      <w:r>
        <w:rPr>
          <w:rFonts w:ascii="宋体" w:hAnsi="宋体" w:hint="eastAsia"/>
          <w:sz w:val="24"/>
          <w:szCs w:val="24"/>
        </w:rPr>
        <w:t>表</w:t>
      </w:r>
      <w:r>
        <w:rPr>
          <w:rFonts w:ascii="宋体" w:hAnsi="宋体"/>
          <w:sz w:val="24"/>
          <w:szCs w:val="24"/>
        </w:rPr>
        <w:t>3.</w:t>
      </w:r>
      <w:r>
        <w:rPr>
          <w:rFonts w:ascii="宋体" w:hAnsi="宋体" w:hint="eastAsia"/>
          <w:sz w:val="24"/>
          <w:szCs w:val="24"/>
        </w:rPr>
        <w:t>3</w:t>
      </w:r>
      <w:r>
        <w:rPr>
          <w:rFonts w:ascii="宋体" w:hAnsi="宋体"/>
          <w:sz w:val="24"/>
          <w:szCs w:val="24"/>
        </w:rPr>
        <w:t>.2.4</w:t>
      </w:r>
      <w:r>
        <w:rPr>
          <w:rFonts w:ascii="宋体" w:hAnsi="宋体" w:hint="eastAsia"/>
          <w:sz w:val="24"/>
          <w:szCs w:val="24"/>
        </w:rPr>
        <w:t>-6</w:t>
      </w:r>
    </w:p>
    <w:tbl>
      <w:tblPr>
        <w:tblStyle w:val="TableNormal"/>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6" w:space="0" w:color="auto"/>
          <w:insideV w:val="single" w:sz="6" w:space="0" w:color="auto"/>
        </w:tblBorders>
        <w:tblLayout w:type="fixed"/>
        <w:tblLook w:val="0000"/>
      </w:tblPr>
      <w:tblGrid>
        <w:gridCol w:w="470"/>
        <w:gridCol w:w="1166"/>
        <w:gridCol w:w="1212"/>
        <w:gridCol w:w="1637"/>
        <w:gridCol w:w="1961"/>
        <w:gridCol w:w="759"/>
        <w:gridCol w:w="1010"/>
        <w:gridCol w:w="1249"/>
      </w:tblGrid>
      <w:tr>
        <w:tblPrEx>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6" w:space="0" w:color="auto"/>
            <w:insideV w:val="single" w:sz="6" w:space="0" w:color="auto"/>
          </w:tblBorders>
          <w:tblLayout w:type="fixed"/>
          <w:tblLook w:val="0000"/>
        </w:tblPrEx>
        <w:trPr>
          <w:trHeight w:val="493"/>
          <w:jc w:val="center"/>
        </w:trPr>
        <w:tc>
          <w:tcPr>
            <w:tcW w:w="470" w:type="dxa"/>
            <w:shd w:val="clear" w:color="auto" w:fill="00FFFF"/>
            <w:vAlign w:val="center"/>
          </w:tcPr>
          <w:p w:rsidR="00B37071">
            <w:pPr>
              <w:pStyle w:val="Normal0"/>
              <w:rPr>
                <w:rFonts w:ascii="宋体" w:hAnsi="宋体"/>
                <w:sz w:val="24"/>
                <w:szCs w:val="24"/>
              </w:rPr>
            </w:pPr>
            <w:r>
              <w:rPr>
                <w:rFonts w:ascii="宋体" w:hAnsi="宋体" w:hint="eastAsia"/>
                <w:sz w:val="24"/>
                <w:szCs w:val="24"/>
              </w:rPr>
              <w:t>序号</w:t>
            </w:r>
          </w:p>
        </w:tc>
        <w:tc>
          <w:tcPr>
            <w:tcW w:w="1166" w:type="dxa"/>
            <w:shd w:val="clear" w:color="auto" w:fill="00FFFF"/>
            <w:vAlign w:val="center"/>
          </w:tcPr>
          <w:p w:rsidR="00B37071">
            <w:pPr>
              <w:pStyle w:val="Normal0"/>
              <w:rPr>
                <w:rFonts w:ascii="宋体" w:hAnsi="宋体"/>
                <w:sz w:val="24"/>
                <w:szCs w:val="24"/>
              </w:rPr>
            </w:pPr>
            <w:r>
              <w:rPr>
                <w:rFonts w:ascii="宋体" w:hAnsi="宋体" w:hint="eastAsia"/>
                <w:sz w:val="24"/>
                <w:szCs w:val="24"/>
              </w:rPr>
              <w:t>计量器具名称</w:t>
            </w:r>
          </w:p>
        </w:tc>
        <w:tc>
          <w:tcPr>
            <w:tcW w:w="1212" w:type="dxa"/>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规格</w:t>
            </w:r>
          </w:p>
          <w:p w:rsidR="00B37071">
            <w:pPr>
              <w:pStyle w:val="Normal0"/>
              <w:jc w:val="center"/>
              <w:rPr>
                <w:rFonts w:ascii="宋体" w:hAnsi="宋体"/>
                <w:sz w:val="24"/>
                <w:szCs w:val="24"/>
              </w:rPr>
            </w:pPr>
            <w:r>
              <w:rPr>
                <w:rFonts w:ascii="宋体" w:hAnsi="宋体" w:hint="eastAsia"/>
                <w:sz w:val="24"/>
                <w:szCs w:val="24"/>
              </w:rPr>
              <w:t>型号</w:t>
            </w:r>
          </w:p>
        </w:tc>
        <w:tc>
          <w:tcPr>
            <w:tcW w:w="1637" w:type="dxa"/>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准确度</w:t>
            </w:r>
          </w:p>
        </w:tc>
        <w:tc>
          <w:tcPr>
            <w:tcW w:w="1961" w:type="dxa"/>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测量范围</w:t>
            </w:r>
          </w:p>
        </w:tc>
        <w:tc>
          <w:tcPr>
            <w:tcW w:w="759" w:type="dxa"/>
            <w:shd w:val="clear" w:color="auto" w:fill="00FFFF"/>
            <w:vAlign w:val="center"/>
          </w:tcPr>
          <w:p w:rsidR="00B37071">
            <w:pPr>
              <w:pStyle w:val="Normal0"/>
              <w:rPr>
                <w:rFonts w:ascii="宋体" w:hAnsi="宋体"/>
                <w:sz w:val="24"/>
                <w:szCs w:val="24"/>
              </w:rPr>
            </w:pPr>
            <w:r>
              <w:rPr>
                <w:rFonts w:ascii="宋体" w:hAnsi="宋体" w:hint="eastAsia"/>
                <w:sz w:val="24"/>
                <w:szCs w:val="24"/>
              </w:rPr>
              <w:t>数量</w:t>
            </w:r>
          </w:p>
        </w:tc>
        <w:tc>
          <w:tcPr>
            <w:tcW w:w="1010" w:type="dxa"/>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使用部门</w:t>
            </w:r>
          </w:p>
        </w:tc>
        <w:tc>
          <w:tcPr>
            <w:tcW w:w="1249" w:type="dxa"/>
            <w:shd w:val="clear" w:color="auto" w:fill="00FFFF"/>
            <w:vAlign w:val="center"/>
          </w:tcPr>
          <w:p w:rsidR="00B37071">
            <w:pPr>
              <w:pStyle w:val="Normal0"/>
              <w:jc w:val="center"/>
              <w:rPr>
                <w:rFonts w:ascii="宋体" w:hAnsi="宋体"/>
                <w:sz w:val="24"/>
                <w:szCs w:val="24"/>
              </w:rPr>
            </w:pPr>
            <w:r>
              <w:rPr>
                <w:rFonts w:ascii="宋体" w:hAnsi="宋体" w:hint="eastAsia"/>
                <w:sz w:val="24"/>
                <w:szCs w:val="24"/>
              </w:rPr>
              <w:t>备注</w:t>
            </w:r>
          </w:p>
        </w:tc>
      </w:tr>
      <w:tr>
        <w:tblPrEx>
          <w:tblW w:w="0" w:type="auto"/>
          <w:jc w:val="center"/>
          <w:tblLayout w:type="fixed"/>
          <w:tblLook w:val="0000"/>
        </w:tblPrEx>
        <w:trPr>
          <w:trHeight w:val="493"/>
          <w:jc w:val="center"/>
        </w:trPr>
        <w:tc>
          <w:tcPr>
            <w:tcW w:w="470" w:type="dxa"/>
            <w:vAlign w:val="center"/>
          </w:tcPr>
          <w:p w:rsidR="00B37071">
            <w:pPr>
              <w:pStyle w:val="Normal0"/>
              <w:jc w:val="center"/>
              <w:rPr>
                <w:rFonts w:ascii="宋体" w:hAnsi="宋体"/>
                <w:sz w:val="24"/>
                <w:szCs w:val="24"/>
              </w:rPr>
            </w:pPr>
            <w:r>
              <w:rPr>
                <w:rFonts w:ascii="宋体" w:hAnsi="宋体"/>
                <w:sz w:val="24"/>
                <w:szCs w:val="24"/>
              </w:rPr>
              <w:t>1</w:t>
            </w:r>
          </w:p>
        </w:tc>
        <w:tc>
          <w:tcPr>
            <w:tcW w:w="1166" w:type="dxa"/>
            <w:vAlign w:val="center"/>
          </w:tcPr>
          <w:p w:rsidR="00B37071">
            <w:pPr>
              <w:pStyle w:val="Normal0"/>
              <w:jc w:val="center"/>
              <w:rPr>
                <w:rFonts w:ascii="宋体" w:hAnsi="宋体"/>
                <w:sz w:val="24"/>
                <w:szCs w:val="24"/>
              </w:rPr>
            </w:pPr>
            <w:r>
              <w:rPr>
                <w:rFonts w:ascii="宋体" w:hAnsi="宋体" w:hint="eastAsia"/>
                <w:sz w:val="24"/>
                <w:szCs w:val="24"/>
              </w:rPr>
              <w:t>全站仪</w:t>
            </w:r>
          </w:p>
        </w:tc>
        <w:tc>
          <w:tcPr>
            <w:tcW w:w="1212" w:type="dxa"/>
            <w:vAlign w:val="center"/>
          </w:tcPr>
          <w:p w:rsidR="00B37071">
            <w:pPr>
              <w:pStyle w:val="Normal0"/>
              <w:jc w:val="center"/>
              <w:rPr>
                <w:rFonts w:ascii="宋体" w:hAnsi="宋体"/>
                <w:sz w:val="24"/>
                <w:szCs w:val="24"/>
              </w:rPr>
            </w:pPr>
            <w:r>
              <w:rPr>
                <w:rFonts w:ascii="宋体" w:hAnsi="宋体"/>
                <w:bCs/>
                <w:color w:val="000000"/>
                <w:sz w:val="24"/>
                <w:szCs w:val="24"/>
              </w:rPr>
              <w:t>NTS-3</w:t>
            </w:r>
            <w:r>
              <w:rPr>
                <w:rFonts w:ascii="宋体" w:hAnsi="宋体" w:hint="eastAsia"/>
                <w:bCs/>
                <w:color w:val="000000"/>
                <w:sz w:val="24"/>
                <w:szCs w:val="24"/>
              </w:rPr>
              <w:t>62R4L</w:t>
            </w:r>
          </w:p>
        </w:tc>
        <w:tc>
          <w:tcPr>
            <w:tcW w:w="1637" w:type="dxa"/>
            <w:vAlign w:val="center"/>
          </w:tcPr>
          <w:p w:rsidR="00B37071">
            <w:pPr>
              <w:pStyle w:val="Normal0"/>
              <w:jc w:val="center"/>
              <w:rPr>
                <w:rFonts w:ascii="宋体" w:hAnsi="宋体"/>
                <w:sz w:val="24"/>
                <w:szCs w:val="24"/>
              </w:rPr>
            </w:pPr>
            <w:r>
              <w:rPr>
                <w:rFonts w:ascii="宋体" w:hAnsi="宋体"/>
                <w:sz w:val="24"/>
                <w:szCs w:val="24"/>
              </w:rPr>
              <w:t>2</w:t>
            </w:r>
            <w:r>
              <w:rPr>
                <w:rFonts w:ascii="宋体" w:hAnsi="宋体" w:hint="eastAsia"/>
                <w:sz w:val="24"/>
                <w:szCs w:val="24"/>
              </w:rPr>
              <w:t>秒级</w:t>
            </w:r>
          </w:p>
        </w:tc>
        <w:tc>
          <w:tcPr>
            <w:tcW w:w="1961" w:type="dxa"/>
            <w:vAlign w:val="center"/>
          </w:tcPr>
          <w:p w:rsidR="00B37071">
            <w:pPr>
              <w:pStyle w:val="Normal0"/>
              <w:jc w:val="center"/>
              <w:rPr>
                <w:rFonts w:ascii="宋体" w:hAnsi="宋体"/>
                <w:sz w:val="24"/>
                <w:szCs w:val="24"/>
              </w:rPr>
            </w:pPr>
            <w:r>
              <w:rPr>
                <w:rFonts w:ascii="宋体" w:hAnsi="宋体"/>
                <w:sz w:val="24"/>
                <w:szCs w:val="24"/>
              </w:rPr>
              <w:t>J2</w:t>
            </w:r>
            <w:r>
              <w:rPr>
                <w:rFonts w:ascii="宋体" w:hAnsi="宋体" w:hint="eastAsia"/>
                <w:sz w:val="24"/>
                <w:szCs w:val="24"/>
              </w:rPr>
              <w:t>级精密水平角测量</w:t>
            </w:r>
          </w:p>
        </w:tc>
        <w:tc>
          <w:tcPr>
            <w:tcW w:w="759" w:type="dxa"/>
            <w:vAlign w:val="center"/>
          </w:tcPr>
          <w:p w:rsidR="00B37071">
            <w:pPr>
              <w:pStyle w:val="Normal0"/>
              <w:jc w:val="center"/>
              <w:rPr>
                <w:rFonts w:ascii="宋体" w:hAnsi="宋体"/>
                <w:sz w:val="24"/>
                <w:szCs w:val="24"/>
              </w:rPr>
            </w:pPr>
            <w:r>
              <w:rPr>
                <w:rFonts w:ascii="宋体" w:hAnsi="宋体" w:hint="eastAsia"/>
                <w:sz w:val="24"/>
                <w:szCs w:val="24"/>
              </w:rPr>
              <w:t>1</w:t>
            </w:r>
          </w:p>
        </w:tc>
        <w:tc>
          <w:tcPr>
            <w:tcW w:w="1010" w:type="dxa"/>
            <w:vAlign w:val="center"/>
          </w:tcPr>
          <w:p w:rsidR="00B37071">
            <w:pPr>
              <w:pStyle w:val="Normal0"/>
              <w:jc w:val="center"/>
              <w:rPr>
                <w:rFonts w:ascii="宋体" w:hAnsi="宋体"/>
                <w:sz w:val="24"/>
                <w:szCs w:val="24"/>
              </w:rPr>
            </w:pPr>
            <w:r>
              <w:rPr>
                <w:rFonts w:ascii="宋体" w:hAnsi="宋体" w:hint="eastAsia"/>
                <w:sz w:val="24"/>
                <w:szCs w:val="24"/>
              </w:rPr>
              <w:t>技术组</w:t>
            </w:r>
          </w:p>
        </w:tc>
        <w:tc>
          <w:tcPr>
            <w:tcW w:w="1249" w:type="dxa"/>
            <w:vAlign w:val="center"/>
          </w:tcPr>
          <w:p w:rsidR="00B37071">
            <w:pPr>
              <w:pStyle w:val="Normal0"/>
              <w:jc w:val="center"/>
              <w:rPr>
                <w:rFonts w:ascii="宋体" w:hAnsi="宋体"/>
                <w:sz w:val="24"/>
                <w:szCs w:val="24"/>
              </w:rPr>
            </w:pPr>
          </w:p>
        </w:tc>
      </w:tr>
      <w:tr>
        <w:tblPrEx>
          <w:tblW w:w="0" w:type="auto"/>
          <w:jc w:val="center"/>
          <w:tblLayout w:type="fixed"/>
          <w:tblLook w:val="0000"/>
        </w:tblPrEx>
        <w:trPr>
          <w:trHeight w:val="495"/>
          <w:jc w:val="center"/>
        </w:trPr>
        <w:tc>
          <w:tcPr>
            <w:tcW w:w="470" w:type="dxa"/>
            <w:vAlign w:val="center"/>
          </w:tcPr>
          <w:p w:rsidR="00B37071">
            <w:pPr>
              <w:pStyle w:val="Normal0"/>
              <w:jc w:val="center"/>
              <w:rPr>
                <w:rFonts w:ascii="宋体" w:hAnsi="宋体"/>
                <w:sz w:val="24"/>
                <w:szCs w:val="24"/>
              </w:rPr>
            </w:pPr>
            <w:r>
              <w:rPr>
                <w:rFonts w:ascii="宋体" w:hAnsi="宋体"/>
                <w:sz w:val="24"/>
                <w:szCs w:val="24"/>
              </w:rPr>
              <w:t>2</w:t>
            </w:r>
          </w:p>
        </w:tc>
        <w:tc>
          <w:tcPr>
            <w:tcW w:w="1166" w:type="dxa"/>
            <w:vAlign w:val="center"/>
          </w:tcPr>
          <w:p w:rsidR="00B37071">
            <w:pPr>
              <w:pStyle w:val="Normal0"/>
              <w:jc w:val="center"/>
              <w:rPr>
                <w:rFonts w:ascii="宋体" w:hAnsi="宋体"/>
                <w:sz w:val="24"/>
                <w:szCs w:val="24"/>
              </w:rPr>
            </w:pPr>
            <w:r>
              <w:rPr>
                <w:rFonts w:ascii="宋体" w:hAnsi="宋体" w:hint="eastAsia"/>
                <w:sz w:val="24"/>
                <w:szCs w:val="24"/>
              </w:rPr>
              <w:t>水准仪</w:t>
            </w:r>
          </w:p>
        </w:tc>
        <w:tc>
          <w:tcPr>
            <w:tcW w:w="1212" w:type="dxa"/>
            <w:vAlign w:val="center"/>
          </w:tcPr>
          <w:p w:rsidR="00B37071">
            <w:pPr>
              <w:pStyle w:val="Normal0"/>
              <w:jc w:val="center"/>
              <w:rPr>
                <w:rFonts w:ascii="宋体" w:hAnsi="宋体"/>
                <w:sz w:val="24"/>
                <w:szCs w:val="24"/>
              </w:rPr>
            </w:pPr>
            <w:r>
              <w:rPr>
                <w:rFonts w:ascii="宋体" w:hAnsi="宋体"/>
                <w:sz w:val="24"/>
                <w:szCs w:val="24"/>
              </w:rPr>
              <w:t>DS</w:t>
            </w:r>
            <w:r>
              <w:rPr>
                <w:rFonts w:ascii="宋体" w:hAnsi="宋体" w:hint="eastAsia"/>
                <w:sz w:val="24"/>
                <w:szCs w:val="24"/>
              </w:rPr>
              <w:t>C32</w:t>
            </w:r>
          </w:p>
        </w:tc>
        <w:tc>
          <w:tcPr>
            <w:tcW w:w="1637" w:type="dxa"/>
            <w:vAlign w:val="center"/>
          </w:tcPr>
          <w:p w:rsidR="00B37071">
            <w:pPr>
              <w:pStyle w:val="Normal0"/>
              <w:jc w:val="center"/>
              <w:rPr>
                <w:rFonts w:ascii="宋体" w:hAnsi="宋体"/>
                <w:sz w:val="24"/>
                <w:szCs w:val="24"/>
              </w:rPr>
            </w:pPr>
            <w:r>
              <w:rPr>
                <w:rFonts w:ascii="宋体" w:hAnsi="宋体" w:hint="eastAsia"/>
                <w:sz w:val="24"/>
                <w:szCs w:val="24"/>
              </w:rPr>
              <w:t>±</w:t>
            </w:r>
            <w:r>
              <w:rPr>
                <w:rFonts w:ascii="宋体" w:hAnsi="宋体"/>
                <w:sz w:val="24"/>
                <w:szCs w:val="24"/>
              </w:rPr>
              <w:t>3mm/</w:t>
            </w:r>
            <w:r>
              <w:rPr>
                <w:rFonts w:ascii="宋体" w:hAnsi="宋体" w:hint="eastAsia"/>
                <w:sz w:val="24"/>
                <w:szCs w:val="24"/>
              </w:rPr>
              <w:t>测回</w:t>
            </w:r>
          </w:p>
        </w:tc>
        <w:tc>
          <w:tcPr>
            <w:tcW w:w="1961" w:type="dxa"/>
            <w:vAlign w:val="center"/>
          </w:tcPr>
          <w:p w:rsidR="00B37071">
            <w:pPr>
              <w:pStyle w:val="Normal0"/>
              <w:jc w:val="center"/>
              <w:rPr>
                <w:rFonts w:ascii="宋体" w:hAnsi="宋体"/>
                <w:sz w:val="24"/>
                <w:szCs w:val="24"/>
              </w:rPr>
            </w:pPr>
            <w:r>
              <w:rPr>
                <w:rFonts w:ascii="宋体" w:hAnsi="宋体"/>
                <w:sz w:val="24"/>
                <w:szCs w:val="24"/>
              </w:rPr>
              <w:t>S3</w:t>
            </w:r>
            <w:r>
              <w:rPr>
                <w:rFonts w:ascii="宋体" w:hAnsi="宋体" w:hint="eastAsia"/>
                <w:sz w:val="24"/>
                <w:szCs w:val="24"/>
              </w:rPr>
              <w:t>精密水准测量</w:t>
            </w:r>
          </w:p>
        </w:tc>
        <w:tc>
          <w:tcPr>
            <w:tcW w:w="759" w:type="dxa"/>
            <w:vAlign w:val="center"/>
          </w:tcPr>
          <w:p w:rsidR="00B37071">
            <w:pPr>
              <w:pStyle w:val="Normal0"/>
              <w:jc w:val="center"/>
              <w:rPr>
                <w:rFonts w:ascii="宋体" w:hAnsi="宋体"/>
                <w:sz w:val="24"/>
                <w:szCs w:val="24"/>
              </w:rPr>
            </w:pPr>
            <w:r>
              <w:rPr>
                <w:rFonts w:ascii="宋体" w:hAnsi="宋体" w:hint="eastAsia"/>
                <w:sz w:val="24"/>
                <w:szCs w:val="24"/>
              </w:rPr>
              <w:t>1</w:t>
            </w:r>
          </w:p>
        </w:tc>
        <w:tc>
          <w:tcPr>
            <w:tcW w:w="1010" w:type="dxa"/>
            <w:vAlign w:val="center"/>
          </w:tcPr>
          <w:p w:rsidR="00B37071">
            <w:pPr>
              <w:pStyle w:val="Normal0"/>
              <w:jc w:val="center"/>
              <w:rPr>
                <w:rFonts w:ascii="宋体" w:hAnsi="宋体"/>
                <w:sz w:val="24"/>
                <w:szCs w:val="24"/>
              </w:rPr>
            </w:pPr>
            <w:r>
              <w:rPr>
                <w:rFonts w:ascii="宋体" w:hAnsi="宋体" w:hint="eastAsia"/>
                <w:sz w:val="24"/>
                <w:szCs w:val="24"/>
              </w:rPr>
              <w:t>技术组</w:t>
            </w:r>
          </w:p>
        </w:tc>
        <w:tc>
          <w:tcPr>
            <w:tcW w:w="1249" w:type="dxa"/>
            <w:vAlign w:val="center"/>
          </w:tcPr>
          <w:p w:rsidR="00B37071">
            <w:pPr>
              <w:pStyle w:val="Normal0"/>
              <w:jc w:val="center"/>
              <w:rPr>
                <w:rFonts w:ascii="宋体" w:hAnsi="宋体"/>
                <w:sz w:val="24"/>
                <w:szCs w:val="24"/>
              </w:rPr>
            </w:pPr>
          </w:p>
        </w:tc>
      </w:tr>
      <w:tr>
        <w:tblPrEx>
          <w:tblW w:w="0" w:type="auto"/>
          <w:jc w:val="center"/>
          <w:tblLayout w:type="fixed"/>
          <w:tblLook w:val="0000"/>
        </w:tblPrEx>
        <w:trPr>
          <w:trHeight w:val="493"/>
          <w:jc w:val="center"/>
        </w:trPr>
        <w:tc>
          <w:tcPr>
            <w:tcW w:w="470" w:type="dxa"/>
            <w:vAlign w:val="center"/>
          </w:tcPr>
          <w:p w:rsidR="00B37071">
            <w:pPr>
              <w:pStyle w:val="Normal0"/>
              <w:jc w:val="center"/>
              <w:rPr>
                <w:rFonts w:ascii="宋体" w:hAnsi="宋体"/>
                <w:sz w:val="24"/>
                <w:szCs w:val="24"/>
              </w:rPr>
            </w:pPr>
            <w:r>
              <w:rPr>
                <w:rFonts w:ascii="宋体" w:hAnsi="宋体"/>
                <w:sz w:val="24"/>
                <w:szCs w:val="24"/>
              </w:rPr>
              <w:t>3</w:t>
            </w:r>
          </w:p>
        </w:tc>
        <w:tc>
          <w:tcPr>
            <w:tcW w:w="1166" w:type="dxa"/>
            <w:vAlign w:val="center"/>
          </w:tcPr>
          <w:p w:rsidR="00B37071">
            <w:pPr>
              <w:pStyle w:val="Normal0"/>
              <w:jc w:val="center"/>
              <w:rPr>
                <w:rFonts w:ascii="宋体" w:hAnsi="宋体"/>
                <w:sz w:val="24"/>
                <w:szCs w:val="24"/>
              </w:rPr>
            </w:pPr>
            <w:r>
              <w:rPr>
                <w:rFonts w:ascii="宋体" w:hAnsi="宋体" w:hint="eastAsia"/>
                <w:sz w:val="24"/>
                <w:szCs w:val="24"/>
              </w:rPr>
              <w:t>塔尺</w:t>
            </w:r>
          </w:p>
        </w:tc>
        <w:tc>
          <w:tcPr>
            <w:tcW w:w="1212" w:type="dxa"/>
            <w:vAlign w:val="center"/>
          </w:tcPr>
          <w:p w:rsidR="00B37071">
            <w:pPr>
              <w:pStyle w:val="Normal0"/>
              <w:jc w:val="center"/>
              <w:rPr>
                <w:rFonts w:ascii="宋体" w:hAnsi="宋体"/>
                <w:sz w:val="24"/>
                <w:szCs w:val="24"/>
              </w:rPr>
            </w:pPr>
            <w:r>
              <w:rPr>
                <w:rFonts w:ascii="宋体" w:hAnsi="宋体"/>
                <w:sz w:val="24"/>
                <w:szCs w:val="24"/>
              </w:rPr>
              <w:t>DSLC</w:t>
            </w:r>
          </w:p>
        </w:tc>
        <w:tc>
          <w:tcPr>
            <w:tcW w:w="1637" w:type="dxa"/>
            <w:vAlign w:val="center"/>
          </w:tcPr>
          <w:p w:rsidR="00B37071">
            <w:pPr>
              <w:pStyle w:val="Normal0"/>
              <w:jc w:val="center"/>
              <w:rPr>
                <w:rFonts w:ascii="宋体" w:hAnsi="宋体"/>
                <w:sz w:val="24"/>
                <w:szCs w:val="24"/>
              </w:rPr>
            </w:pPr>
            <w:r>
              <w:rPr>
                <w:rFonts w:ascii="宋体" w:hAnsi="宋体" w:hint="eastAsia"/>
                <w:sz w:val="24"/>
                <w:szCs w:val="24"/>
              </w:rPr>
              <w:t>±</w:t>
            </w:r>
            <w:r>
              <w:rPr>
                <w:rFonts w:ascii="宋体" w:hAnsi="宋体"/>
                <w:sz w:val="24"/>
                <w:szCs w:val="24"/>
              </w:rPr>
              <w:t>0.023mm/m</w:t>
            </w:r>
          </w:p>
        </w:tc>
        <w:tc>
          <w:tcPr>
            <w:tcW w:w="1961" w:type="dxa"/>
            <w:vAlign w:val="center"/>
          </w:tcPr>
          <w:p w:rsidR="00B37071">
            <w:pPr>
              <w:pStyle w:val="Normal0"/>
              <w:jc w:val="center"/>
              <w:rPr>
                <w:rFonts w:ascii="宋体" w:hAnsi="宋体"/>
                <w:sz w:val="24"/>
                <w:szCs w:val="24"/>
              </w:rPr>
            </w:pPr>
            <w:r>
              <w:rPr>
                <w:rFonts w:ascii="宋体" w:hAnsi="宋体" w:hint="eastAsia"/>
                <w:sz w:val="24"/>
                <w:szCs w:val="24"/>
              </w:rPr>
              <w:t>与</w:t>
            </w:r>
            <w:r>
              <w:rPr>
                <w:rFonts w:ascii="宋体" w:hAnsi="宋体"/>
                <w:sz w:val="24"/>
                <w:szCs w:val="24"/>
              </w:rPr>
              <w:t>S3</w:t>
            </w:r>
            <w:r>
              <w:rPr>
                <w:rFonts w:ascii="宋体" w:hAnsi="宋体" w:hint="eastAsia"/>
                <w:sz w:val="24"/>
                <w:szCs w:val="24"/>
              </w:rPr>
              <w:t>配套</w:t>
            </w:r>
          </w:p>
        </w:tc>
        <w:tc>
          <w:tcPr>
            <w:tcW w:w="759" w:type="dxa"/>
            <w:vAlign w:val="center"/>
          </w:tcPr>
          <w:p w:rsidR="00B37071">
            <w:pPr>
              <w:pStyle w:val="Normal0"/>
              <w:jc w:val="center"/>
              <w:rPr>
                <w:rFonts w:ascii="宋体" w:hAnsi="宋体"/>
                <w:sz w:val="24"/>
                <w:szCs w:val="24"/>
              </w:rPr>
            </w:pPr>
            <w:r>
              <w:rPr>
                <w:rFonts w:ascii="宋体" w:hAnsi="宋体" w:hint="eastAsia"/>
                <w:sz w:val="24"/>
                <w:szCs w:val="24"/>
              </w:rPr>
              <w:t>1</w:t>
            </w:r>
          </w:p>
        </w:tc>
        <w:tc>
          <w:tcPr>
            <w:tcW w:w="1010" w:type="dxa"/>
            <w:vAlign w:val="center"/>
          </w:tcPr>
          <w:p w:rsidR="00B37071">
            <w:pPr>
              <w:pStyle w:val="Normal0"/>
              <w:jc w:val="center"/>
              <w:rPr>
                <w:rFonts w:ascii="宋体" w:hAnsi="宋体"/>
                <w:sz w:val="24"/>
                <w:szCs w:val="24"/>
              </w:rPr>
            </w:pPr>
            <w:r>
              <w:rPr>
                <w:rFonts w:ascii="宋体" w:hAnsi="宋体" w:hint="eastAsia"/>
                <w:sz w:val="24"/>
                <w:szCs w:val="24"/>
              </w:rPr>
              <w:t>技术组</w:t>
            </w:r>
          </w:p>
        </w:tc>
        <w:tc>
          <w:tcPr>
            <w:tcW w:w="1249" w:type="dxa"/>
            <w:vAlign w:val="center"/>
          </w:tcPr>
          <w:p w:rsidR="00B37071">
            <w:pPr>
              <w:pStyle w:val="Normal0"/>
              <w:jc w:val="center"/>
              <w:rPr>
                <w:rFonts w:ascii="宋体" w:hAnsi="宋体"/>
                <w:sz w:val="24"/>
                <w:szCs w:val="24"/>
              </w:rPr>
            </w:pPr>
          </w:p>
        </w:tc>
      </w:tr>
      <w:tr>
        <w:tblPrEx>
          <w:tblW w:w="0" w:type="auto"/>
          <w:jc w:val="center"/>
          <w:tblLayout w:type="fixed"/>
          <w:tblLook w:val="0000"/>
        </w:tblPrEx>
        <w:trPr>
          <w:trHeight w:val="493"/>
          <w:jc w:val="center"/>
        </w:trPr>
        <w:tc>
          <w:tcPr>
            <w:tcW w:w="470" w:type="dxa"/>
            <w:vAlign w:val="center"/>
          </w:tcPr>
          <w:p w:rsidR="00B37071">
            <w:pPr>
              <w:pStyle w:val="Normal0"/>
              <w:jc w:val="center"/>
              <w:rPr>
                <w:rFonts w:ascii="宋体" w:hAnsi="宋体"/>
                <w:sz w:val="24"/>
                <w:szCs w:val="24"/>
              </w:rPr>
            </w:pPr>
            <w:r>
              <w:rPr>
                <w:rFonts w:ascii="宋体" w:hAnsi="宋体"/>
                <w:sz w:val="24"/>
                <w:szCs w:val="24"/>
              </w:rPr>
              <w:t>4</w:t>
            </w:r>
          </w:p>
        </w:tc>
        <w:tc>
          <w:tcPr>
            <w:tcW w:w="1166" w:type="dxa"/>
            <w:vAlign w:val="center"/>
          </w:tcPr>
          <w:p w:rsidR="00B37071">
            <w:pPr>
              <w:pStyle w:val="Normal0"/>
              <w:jc w:val="center"/>
              <w:rPr>
                <w:rFonts w:ascii="宋体" w:hAnsi="宋体"/>
                <w:sz w:val="24"/>
                <w:szCs w:val="24"/>
              </w:rPr>
            </w:pPr>
            <w:r>
              <w:rPr>
                <w:rFonts w:ascii="宋体" w:hAnsi="宋体" w:hint="eastAsia"/>
                <w:sz w:val="24"/>
                <w:szCs w:val="24"/>
              </w:rPr>
              <w:t>钢卷尺</w:t>
            </w:r>
          </w:p>
        </w:tc>
        <w:tc>
          <w:tcPr>
            <w:tcW w:w="1212" w:type="dxa"/>
            <w:vAlign w:val="center"/>
          </w:tcPr>
          <w:p w:rsidR="00B37071">
            <w:pPr>
              <w:pStyle w:val="Normal0"/>
              <w:jc w:val="center"/>
              <w:rPr>
                <w:rFonts w:ascii="宋体" w:hAnsi="宋体"/>
                <w:sz w:val="24"/>
                <w:szCs w:val="24"/>
              </w:rPr>
            </w:pPr>
            <w:r>
              <w:rPr>
                <w:rFonts w:ascii="宋体" w:hAnsi="宋体"/>
                <w:sz w:val="24"/>
                <w:szCs w:val="24"/>
              </w:rPr>
              <w:t>50m</w:t>
            </w:r>
          </w:p>
        </w:tc>
        <w:tc>
          <w:tcPr>
            <w:tcW w:w="1637" w:type="dxa"/>
            <w:vAlign w:val="center"/>
          </w:tcPr>
          <w:p w:rsidR="00B37071">
            <w:pPr>
              <w:pStyle w:val="Normal0"/>
              <w:jc w:val="center"/>
              <w:rPr>
                <w:rFonts w:ascii="宋体" w:hAnsi="宋体"/>
                <w:sz w:val="24"/>
                <w:szCs w:val="24"/>
              </w:rPr>
            </w:pPr>
            <w:r>
              <w:rPr>
                <w:rFonts w:ascii="宋体" w:hAnsi="宋体" w:hint="eastAsia"/>
                <w:sz w:val="24"/>
                <w:szCs w:val="24"/>
              </w:rPr>
              <w:t>±</w:t>
            </w:r>
            <w:r>
              <w:rPr>
                <w:rFonts w:ascii="宋体" w:hAnsi="宋体"/>
                <w:sz w:val="24"/>
                <w:szCs w:val="24"/>
              </w:rPr>
              <w:t>10mm</w:t>
            </w:r>
          </w:p>
        </w:tc>
        <w:tc>
          <w:tcPr>
            <w:tcW w:w="1961" w:type="dxa"/>
            <w:vAlign w:val="center"/>
          </w:tcPr>
          <w:p w:rsidR="00B37071">
            <w:pPr>
              <w:pStyle w:val="Normal0"/>
              <w:jc w:val="center"/>
              <w:rPr>
                <w:rFonts w:ascii="宋体" w:hAnsi="宋体"/>
                <w:sz w:val="24"/>
                <w:szCs w:val="24"/>
              </w:rPr>
            </w:pPr>
            <w:r>
              <w:rPr>
                <w:rFonts w:ascii="宋体" w:hAnsi="宋体" w:hint="eastAsia"/>
                <w:sz w:val="24"/>
                <w:szCs w:val="24"/>
              </w:rPr>
              <w:t>工程测量</w:t>
            </w:r>
          </w:p>
        </w:tc>
        <w:tc>
          <w:tcPr>
            <w:tcW w:w="759" w:type="dxa"/>
            <w:vAlign w:val="center"/>
          </w:tcPr>
          <w:p w:rsidR="00B37071">
            <w:pPr>
              <w:pStyle w:val="Normal0"/>
              <w:jc w:val="center"/>
              <w:rPr>
                <w:rFonts w:ascii="宋体" w:hAnsi="宋体"/>
                <w:sz w:val="24"/>
                <w:szCs w:val="24"/>
              </w:rPr>
            </w:pPr>
            <w:r>
              <w:rPr>
                <w:rFonts w:ascii="宋体" w:hAnsi="宋体" w:hint="eastAsia"/>
                <w:sz w:val="24"/>
                <w:szCs w:val="24"/>
              </w:rPr>
              <w:t>1</w:t>
            </w:r>
          </w:p>
        </w:tc>
        <w:tc>
          <w:tcPr>
            <w:tcW w:w="1010" w:type="dxa"/>
            <w:vAlign w:val="center"/>
          </w:tcPr>
          <w:p w:rsidR="00B37071">
            <w:pPr>
              <w:pStyle w:val="Normal0"/>
              <w:jc w:val="center"/>
              <w:rPr>
                <w:rFonts w:ascii="宋体" w:hAnsi="宋体"/>
                <w:sz w:val="24"/>
                <w:szCs w:val="24"/>
              </w:rPr>
            </w:pPr>
            <w:r>
              <w:rPr>
                <w:rFonts w:ascii="宋体" w:hAnsi="宋体" w:hint="eastAsia"/>
                <w:sz w:val="24"/>
                <w:szCs w:val="24"/>
              </w:rPr>
              <w:t>技术组</w:t>
            </w:r>
          </w:p>
        </w:tc>
        <w:tc>
          <w:tcPr>
            <w:tcW w:w="1249" w:type="dxa"/>
            <w:vAlign w:val="center"/>
          </w:tcPr>
          <w:p w:rsidR="00B37071">
            <w:pPr>
              <w:pStyle w:val="Normal0"/>
              <w:jc w:val="center"/>
              <w:rPr>
                <w:rFonts w:ascii="宋体" w:hAnsi="宋体"/>
                <w:sz w:val="24"/>
                <w:szCs w:val="24"/>
              </w:rPr>
            </w:pPr>
          </w:p>
        </w:tc>
      </w:tr>
      <w:tr>
        <w:tblPrEx>
          <w:tblW w:w="0" w:type="auto"/>
          <w:jc w:val="center"/>
          <w:tblLayout w:type="fixed"/>
          <w:tblLook w:val="0000"/>
        </w:tblPrEx>
        <w:trPr>
          <w:trHeight w:val="495"/>
          <w:jc w:val="center"/>
        </w:trPr>
        <w:tc>
          <w:tcPr>
            <w:tcW w:w="470" w:type="dxa"/>
            <w:vAlign w:val="center"/>
          </w:tcPr>
          <w:p w:rsidR="00B37071">
            <w:pPr>
              <w:pStyle w:val="Normal0"/>
              <w:jc w:val="center"/>
              <w:rPr>
                <w:rFonts w:ascii="宋体" w:hAnsi="宋体"/>
                <w:sz w:val="24"/>
                <w:szCs w:val="24"/>
              </w:rPr>
            </w:pPr>
            <w:r>
              <w:rPr>
                <w:rFonts w:ascii="宋体" w:hAnsi="宋体"/>
                <w:sz w:val="24"/>
                <w:szCs w:val="24"/>
              </w:rPr>
              <w:t>5</w:t>
            </w:r>
          </w:p>
        </w:tc>
        <w:tc>
          <w:tcPr>
            <w:tcW w:w="1166" w:type="dxa"/>
            <w:vAlign w:val="center"/>
          </w:tcPr>
          <w:p w:rsidR="00B37071">
            <w:pPr>
              <w:pStyle w:val="Normal0"/>
              <w:jc w:val="center"/>
              <w:rPr>
                <w:rFonts w:ascii="宋体" w:hAnsi="宋体"/>
                <w:sz w:val="24"/>
                <w:szCs w:val="24"/>
              </w:rPr>
            </w:pPr>
            <w:r>
              <w:rPr>
                <w:rFonts w:ascii="宋体" w:hAnsi="宋体" w:hint="eastAsia"/>
                <w:sz w:val="24"/>
                <w:szCs w:val="24"/>
              </w:rPr>
              <w:t>钢卷尺</w:t>
            </w:r>
          </w:p>
        </w:tc>
        <w:tc>
          <w:tcPr>
            <w:tcW w:w="1212" w:type="dxa"/>
            <w:vAlign w:val="center"/>
          </w:tcPr>
          <w:p w:rsidR="00B37071">
            <w:pPr>
              <w:pStyle w:val="Normal0"/>
              <w:jc w:val="center"/>
              <w:rPr>
                <w:rFonts w:ascii="宋体" w:hAnsi="宋体"/>
                <w:sz w:val="24"/>
                <w:szCs w:val="24"/>
              </w:rPr>
            </w:pPr>
            <w:r>
              <w:rPr>
                <w:rFonts w:ascii="宋体" w:hAnsi="宋体"/>
                <w:sz w:val="24"/>
                <w:szCs w:val="24"/>
              </w:rPr>
              <w:t>5m</w:t>
            </w:r>
          </w:p>
        </w:tc>
        <w:tc>
          <w:tcPr>
            <w:tcW w:w="1637" w:type="dxa"/>
            <w:vAlign w:val="center"/>
          </w:tcPr>
          <w:p w:rsidR="00B37071">
            <w:pPr>
              <w:pStyle w:val="Normal0"/>
              <w:jc w:val="center"/>
              <w:rPr>
                <w:rFonts w:ascii="宋体" w:hAnsi="宋体"/>
                <w:sz w:val="24"/>
                <w:szCs w:val="24"/>
              </w:rPr>
            </w:pPr>
            <w:r>
              <w:rPr>
                <w:rFonts w:ascii="宋体" w:hAnsi="宋体" w:hint="eastAsia"/>
                <w:sz w:val="24"/>
                <w:szCs w:val="24"/>
              </w:rPr>
              <w:t>±</w:t>
            </w:r>
            <w:r>
              <w:rPr>
                <w:rFonts w:ascii="宋体" w:hAnsi="宋体"/>
                <w:sz w:val="24"/>
                <w:szCs w:val="24"/>
              </w:rPr>
              <w:t>1.5mm</w:t>
            </w:r>
          </w:p>
        </w:tc>
        <w:tc>
          <w:tcPr>
            <w:tcW w:w="1961" w:type="dxa"/>
            <w:vAlign w:val="center"/>
          </w:tcPr>
          <w:p w:rsidR="00B37071">
            <w:pPr>
              <w:pStyle w:val="Normal0"/>
              <w:jc w:val="center"/>
              <w:rPr>
                <w:rFonts w:ascii="宋体" w:hAnsi="宋体"/>
                <w:sz w:val="24"/>
                <w:szCs w:val="24"/>
              </w:rPr>
            </w:pPr>
            <w:r>
              <w:rPr>
                <w:rFonts w:ascii="宋体" w:hAnsi="宋体" w:hint="eastAsia"/>
                <w:sz w:val="24"/>
                <w:szCs w:val="24"/>
              </w:rPr>
              <w:t>工程测量</w:t>
            </w:r>
          </w:p>
        </w:tc>
        <w:tc>
          <w:tcPr>
            <w:tcW w:w="759" w:type="dxa"/>
            <w:vAlign w:val="center"/>
          </w:tcPr>
          <w:p w:rsidR="00B37071">
            <w:pPr>
              <w:pStyle w:val="Normal0"/>
              <w:jc w:val="center"/>
              <w:rPr>
                <w:rFonts w:ascii="宋体" w:hAnsi="宋体"/>
                <w:sz w:val="24"/>
                <w:szCs w:val="24"/>
              </w:rPr>
            </w:pPr>
            <w:r>
              <w:rPr>
                <w:rFonts w:ascii="宋体" w:hAnsi="宋体" w:hint="eastAsia"/>
                <w:sz w:val="24"/>
                <w:szCs w:val="24"/>
              </w:rPr>
              <w:t>1</w:t>
            </w:r>
          </w:p>
        </w:tc>
        <w:tc>
          <w:tcPr>
            <w:tcW w:w="1010" w:type="dxa"/>
            <w:vAlign w:val="center"/>
          </w:tcPr>
          <w:p w:rsidR="00B37071">
            <w:pPr>
              <w:pStyle w:val="Normal0"/>
              <w:jc w:val="center"/>
              <w:rPr>
                <w:rFonts w:ascii="宋体" w:hAnsi="宋体"/>
                <w:sz w:val="24"/>
                <w:szCs w:val="24"/>
              </w:rPr>
            </w:pPr>
            <w:r>
              <w:rPr>
                <w:rFonts w:ascii="宋体" w:hAnsi="宋体" w:hint="eastAsia"/>
                <w:sz w:val="24"/>
                <w:szCs w:val="24"/>
              </w:rPr>
              <w:t>技术组</w:t>
            </w:r>
          </w:p>
        </w:tc>
        <w:tc>
          <w:tcPr>
            <w:tcW w:w="1249" w:type="dxa"/>
            <w:vAlign w:val="center"/>
          </w:tcPr>
          <w:p w:rsidR="00B37071">
            <w:pPr>
              <w:pStyle w:val="Normal0"/>
              <w:jc w:val="center"/>
              <w:rPr>
                <w:rFonts w:ascii="宋体" w:hAnsi="宋体"/>
                <w:sz w:val="24"/>
                <w:szCs w:val="24"/>
              </w:rPr>
            </w:pPr>
          </w:p>
        </w:tc>
      </w:tr>
    </w:tbl>
    <w:p w:rsidR="00B37071">
      <w:pPr>
        <w:pStyle w:val="Normal0"/>
        <w:spacing w:line="360" w:lineRule="auto"/>
        <w:rPr>
          <w:rFonts w:ascii="宋体" w:hAnsi="宋体"/>
          <w:bCs/>
          <w:sz w:val="24"/>
        </w:rPr>
      </w:pPr>
      <w:r>
        <w:rPr>
          <w:rFonts w:ascii="宋体" w:hAnsi="宋体" w:hint="eastAsia"/>
          <w:bCs/>
          <w:sz w:val="24"/>
        </w:rPr>
        <w:t>3.3.3</w:t>
      </w:r>
      <w:r>
        <w:rPr>
          <w:rFonts w:ascii="宋体" w:hAnsi="宋体" w:hint="eastAsia"/>
          <w:bCs/>
          <w:sz w:val="24"/>
        </w:rPr>
        <w:t>、现场准备</w:t>
      </w:r>
    </w:p>
    <w:p w:rsidR="00B37071">
      <w:pPr>
        <w:pStyle w:val="Normal0"/>
        <w:spacing w:line="360" w:lineRule="auto"/>
        <w:rPr>
          <w:rFonts w:ascii="宋体" w:hAnsi="宋体"/>
          <w:bCs/>
          <w:sz w:val="24"/>
        </w:rPr>
      </w:pPr>
      <w:r>
        <w:rPr>
          <w:rFonts w:ascii="宋体" w:hAnsi="宋体"/>
          <w:bCs/>
          <w:sz w:val="24"/>
        </w:rPr>
        <w:t>3.</w:t>
      </w:r>
      <w:r>
        <w:rPr>
          <w:rFonts w:ascii="宋体" w:hAnsi="宋体" w:hint="eastAsia"/>
          <w:bCs/>
          <w:sz w:val="24"/>
        </w:rPr>
        <w:t>3</w:t>
      </w:r>
      <w:r>
        <w:rPr>
          <w:rFonts w:ascii="宋体" w:hAnsi="宋体"/>
          <w:bCs/>
          <w:sz w:val="24"/>
        </w:rPr>
        <w:t>.3.1</w:t>
      </w:r>
      <w:r>
        <w:rPr>
          <w:rFonts w:ascii="宋体" w:hAnsi="宋体" w:hint="eastAsia"/>
          <w:bCs/>
          <w:sz w:val="24"/>
        </w:rPr>
        <w:t>、测量准备</w:t>
      </w:r>
    </w:p>
    <w:p w:rsidR="00B37071">
      <w:pPr>
        <w:pStyle w:val="Normal0"/>
        <w:spacing w:line="360" w:lineRule="auto"/>
        <w:ind w:firstLine="480" w:firstLineChars="200"/>
        <w:rPr>
          <w:rFonts w:ascii="宋体" w:hAnsi="宋体"/>
          <w:sz w:val="24"/>
        </w:rPr>
      </w:pPr>
      <w:r>
        <w:rPr>
          <w:rFonts w:ascii="宋体" w:hAnsi="宋体" w:hint="eastAsia"/>
          <w:sz w:val="24"/>
        </w:rPr>
        <w:t>⑴</w:t>
      </w:r>
      <w:r>
        <w:rPr>
          <w:rFonts w:ascii="宋体" w:hAnsi="宋体" w:hint="eastAsia"/>
          <w:sz w:val="24"/>
        </w:rPr>
        <w:t>、与建设单位、监理单位办理项目测量资料和现场测量控制点交接手续。对接收的测量控制点复核无误后，根据施工放样的需要加密测量控制点，加密点要具有足够的密度和精度。</w:t>
      </w:r>
    </w:p>
    <w:p w:rsidR="00B37071">
      <w:pPr>
        <w:pStyle w:val="Normal0"/>
        <w:spacing w:line="360" w:lineRule="auto"/>
        <w:ind w:firstLine="480" w:firstLineChars="200"/>
        <w:rPr>
          <w:rFonts w:ascii="宋体" w:hAnsi="宋体"/>
          <w:sz w:val="24"/>
        </w:rPr>
      </w:pPr>
      <w:r>
        <w:rPr>
          <w:rFonts w:ascii="宋体" w:hAnsi="宋体" w:hint="eastAsia"/>
          <w:sz w:val="24"/>
        </w:rPr>
        <w:t>⑵、技术负责人组织技术人员对轴线中线、高程进行全面复核，并填写复核记录。做好前期道路测量放样工作。</w:t>
      </w:r>
    </w:p>
    <w:p w:rsidR="00B37071">
      <w:pPr>
        <w:pStyle w:val="Normal0"/>
        <w:spacing w:line="360" w:lineRule="auto"/>
        <w:rPr>
          <w:rFonts w:ascii="宋体" w:hAnsi="宋体"/>
          <w:bCs/>
          <w:sz w:val="24"/>
        </w:rPr>
      </w:pPr>
      <w:r>
        <w:rPr>
          <w:rFonts w:ascii="宋体" w:hAnsi="宋体"/>
          <w:bCs/>
          <w:sz w:val="24"/>
        </w:rPr>
        <w:t>3.</w:t>
      </w:r>
      <w:r>
        <w:rPr>
          <w:rFonts w:ascii="宋体" w:hAnsi="宋体" w:hint="eastAsia"/>
          <w:bCs/>
          <w:sz w:val="24"/>
        </w:rPr>
        <w:t>3</w:t>
      </w:r>
      <w:r>
        <w:rPr>
          <w:rFonts w:ascii="宋体" w:hAnsi="宋体"/>
          <w:bCs/>
          <w:sz w:val="24"/>
        </w:rPr>
        <w:t>.3.2</w:t>
      </w:r>
      <w:r>
        <w:rPr>
          <w:rFonts w:ascii="宋体" w:hAnsi="宋体" w:hint="eastAsia"/>
          <w:bCs/>
          <w:sz w:val="24"/>
        </w:rPr>
        <w:t>临时供电</w:t>
      </w:r>
    </w:p>
    <w:p w:rsidR="00B37071">
      <w:pPr>
        <w:pStyle w:val="Normal0"/>
        <w:spacing w:line="360" w:lineRule="auto"/>
        <w:ind w:firstLine="480" w:firstLineChars="200"/>
        <w:rPr>
          <w:rFonts w:ascii="宋体" w:hAnsi="宋体"/>
          <w:sz w:val="24"/>
        </w:rPr>
        <w:sectPr>
          <w:type w:val="nextPage"/>
          <w:pgSz w:w="11907" w:h="16840"/>
          <w:pgMar w:top="1418" w:right="1123" w:bottom="1418" w:left="1418" w:header="851" w:footer="851" w:gutter="0"/>
          <w:pgNumType w:fmt="numberInDash" w:start="8"/>
          <w:cols w:space="708"/>
          <w:titlePg w:val="0"/>
          <w:docGrid w:linePitch="312"/>
        </w:sectPr>
      </w:pPr>
      <w:r>
        <w:rPr>
          <w:rFonts w:ascii="宋体" w:hAnsi="宋体" w:hint="eastAsia"/>
          <w:sz w:val="24"/>
        </w:rPr>
        <w:t>临时供电主要为桩机施工用电。</w:t>
      </w:r>
      <w:r>
        <w:rPr>
          <w:rFonts w:ascii="宋体" w:hAnsi="宋体" w:hint="eastAsia"/>
          <w:sz w:val="24"/>
        </w:rPr>
        <w:t>地</w:t>
      </w:r>
      <w:r>
        <w:rPr>
          <w:rFonts w:ascii="宋体" w:hAnsi="宋体" w:hint="eastAsia"/>
          <w:sz w:val="24"/>
        </w:rPr>
        <w:t>基处理工程与上部工程穿插施工，现场用电直接由</w:t>
      </w:r>
    </w:p>
    <w:p w:rsidR="00B37071">
      <w:pPr>
        <w:pStyle w:val="Normal0"/>
        <w:spacing w:line="360" w:lineRule="auto"/>
        <w:ind w:firstLine="480" w:firstLineChars="200"/>
        <w:rPr>
          <w:rFonts w:ascii="宋体" w:hAnsi="宋体"/>
          <w:sz w:val="24"/>
        </w:rPr>
      </w:pPr>
      <w:r>
        <w:rPr>
          <w:rFonts w:ascii="宋体" w:hAnsi="宋体" w:hint="eastAsia"/>
          <w:sz w:val="24"/>
        </w:rPr>
        <w:t>现场已有二级箱中接出。</w:t>
      </w:r>
    </w:p>
    <w:p w:rsidR="00B37071">
      <w:pPr>
        <w:pStyle w:val="Normal0"/>
        <w:spacing w:line="360" w:lineRule="auto"/>
        <w:rPr>
          <w:rFonts w:ascii="宋体" w:hAnsi="宋体"/>
          <w:bCs/>
          <w:sz w:val="24"/>
        </w:rPr>
      </w:pPr>
      <w:r>
        <w:rPr>
          <w:rFonts w:ascii="宋体" w:hAnsi="宋体"/>
          <w:bCs/>
          <w:sz w:val="24"/>
        </w:rPr>
        <w:t>3.</w:t>
      </w:r>
      <w:r>
        <w:rPr>
          <w:rFonts w:ascii="宋体" w:hAnsi="宋体" w:hint="eastAsia"/>
          <w:bCs/>
          <w:sz w:val="24"/>
        </w:rPr>
        <w:t>3</w:t>
      </w:r>
      <w:r>
        <w:rPr>
          <w:rFonts w:ascii="宋体" w:hAnsi="宋体"/>
          <w:bCs/>
          <w:sz w:val="24"/>
        </w:rPr>
        <w:t>.3.3</w:t>
      </w:r>
      <w:r>
        <w:rPr>
          <w:rFonts w:ascii="宋体" w:hAnsi="宋体" w:hint="eastAsia"/>
          <w:bCs/>
          <w:sz w:val="24"/>
        </w:rPr>
        <w:t>、临时供水</w:t>
      </w:r>
    </w:p>
    <w:p w:rsidR="00B37071">
      <w:pPr>
        <w:pStyle w:val="Normal0"/>
        <w:spacing w:line="360" w:lineRule="auto"/>
        <w:ind w:firstLine="480" w:firstLineChars="200"/>
        <w:rPr>
          <w:rFonts w:ascii="宋体" w:hAnsi="宋体"/>
          <w:bCs/>
          <w:sz w:val="24"/>
        </w:rPr>
      </w:pPr>
      <w:r>
        <w:rPr>
          <w:rFonts w:ascii="宋体" w:hAnsi="宋体" w:hint="eastAsia"/>
          <w:bCs/>
          <w:sz w:val="24"/>
        </w:rPr>
        <w:t>施工现场临时供水主要为施工用水。</w:t>
      </w:r>
    </w:p>
    <w:p w:rsidR="00B37071">
      <w:pPr>
        <w:pStyle w:val="Normal0"/>
        <w:spacing w:line="360" w:lineRule="auto"/>
        <w:outlineLvl w:val="0"/>
        <w:rPr>
          <w:rFonts w:ascii="宋体" w:hAnsi="宋体"/>
          <w:b/>
          <w:bCs/>
          <w:sz w:val="28"/>
        </w:rPr>
      </w:pPr>
      <w:bookmarkStart w:id="45" w:name="_Toc360632725"/>
      <w:r>
        <w:rPr>
          <w:rFonts w:ascii="宋体" w:hAnsi="宋体"/>
          <w:b/>
          <w:bCs/>
          <w:sz w:val="28"/>
        </w:rPr>
        <w:t>4</w:t>
      </w:r>
      <w:r>
        <w:rPr>
          <w:rFonts w:ascii="宋体" w:hAnsi="宋体" w:hint="eastAsia"/>
          <w:b/>
          <w:bCs/>
          <w:sz w:val="28"/>
        </w:rPr>
        <w:t>、施工进度计划</w:t>
      </w:r>
      <w:bookmarkEnd w:id="45"/>
    </w:p>
    <w:p w:rsidR="00B37071">
      <w:pPr>
        <w:pStyle w:val="Normal0"/>
        <w:spacing w:line="360" w:lineRule="auto"/>
        <w:outlineLvl w:val="1"/>
        <w:rPr>
          <w:rFonts w:ascii="宋体" w:hAnsi="宋体"/>
          <w:sz w:val="24"/>
        </w:rPr>
      </w:pPr>
      <w:bookmarkStart w:id="46" w:name="_Toc360632726"/>
      <w:r>
        <w:rPr>
          <w:rFonts w:ascii="宋体" w:hAnsi="宋体"/>
          <w:sz w:val="24"/>
        </w:rPr>
        <w:t>4.1</w:t>
      </w:r>
      <w:r>
        <w:rPr>
          <w:rFonts w:ascii="宋体" w:hAnsi="宋体" w:hint="eastAsia"/>
          <w:sz w:val="24"/>
        </w:rPr>
        <w:t>工期目标：</w:t>
      </w:r>
      <w:r>
        <w:rPr>
          <w:rFonts w:ascii="宋体" w:hAnsi="宋体" w:hint="eastAsia"/>
          <w:sz w:val="24"/>
        </w:rPr>
        <w:t>地</w:t>
      </w:r>
      <w:r>
        <w:rPr>
          <w:rFonts w:ascii="宋体" w:hAnsi="宋体" w:hint="eastAsia"/>
          <w:bCs/>
          <w:sz w:val="24"/>
        </w:rPr>
        <w:t>基处理工期安排</w:t>
      </w:r>
      <w:r>
        <w:rPr>
          <w:rFonts w:ascii="宋体" w:hAnsi="宋体" w:hint="eastAsia"/>
          <w:bCs/>
          <w:sz w:val="24"/>
        </w:rPr>
        <w:t>87</w:t>
      </w:r>
      <w:r>
        <w:rPr>
          <w:rFonts w:ascii="宋体" w:hAnsi="宋体" w:hint="eastAsia"/>
          <w:bCs/>
          <w:sz w:val="24"/>
        </w:rPr>
        <w:t>日历天数。</w:t>
      </w:r>
      <w:bookmarkEnd w:id="46"/>
    </w:p>
    <w:p w:rsidR="00B37071">
      <w:pPr>
        <w:pStyle w:val="Normal0"/>
        <w:spacing w:line="360" w:lineRule="auto"/>
        <w:outlineLvl w:val="1"/>
        <w:rPr>
          <w:rFonts w:ascii="宋体" w:hAnsi="宋体"/>
          <w:sz w:val="24"/>
        </w:rPr>
      </w:pPr>
      <w:bookmarkStart w:id="47" w:name="_Toc360632727"/>
      <w:r>
        <w:rPr>
          <w:rFonts w:ascii="宋体" w:hAnsi="宋体"/>
          <w:sz w:val="24"/>
        </w:rPr>
        <w:t>4.2</w:t>
      </w:r>
      <w:r>
        <w:rPr>
          <w:rFonts w:ascii="宋体" w:hAnsi="宋体" w:hint="eastAsia"/>
          <w:sz w:val="24"/>
        </w:rPr>
        <w:t>进度计划</w:t>
      </w:r>
      <w:r>
        <w:rPr>
          <w:rFonts w:ascii="宋体" w:hAnsi="宋体" w:hint="eastAsia"/>
          <w:sz w:val="24"/>
        </w:rPr>
        <w:t>:</w:t>
      </w:r>
      <w:r>
        <w:rPr>
          <w:rFonts w:ascii="宋体" w:hAnsi="宋体" w:hint="eastAsia"/>
          <w:sz w:val="24"/>
        </w:rPr>
        <w:t>见附图一</w:t>
      </w:r>
      <w:bookmarkEnd w:id="47"/>
    </w:p>
    <w:p w:rsidR="00B37071">
      <w:pPr>
        <w:pStyle w:val="Normal0"/>
        <w:spacing w:line="360" w:lineRule="auto"/>
        <w:outlineLvl w:val="0"/>
        <w:rPr>
          <w:rFonts w:ascii="宋体" w:hAnsi="宋体"/>
          <w:b/>
          <w:bCs/>
          <w:sz w:val="28"/>
        </w:rPr>
      </w:pPr>
      <w:bookmarkStart w:id="48" w:name="_Toc360632728"/>
      <w:r>
        <w:rPr>
          <w:rFonts w:ascii="宋体" w:hAnsi="宋体"/>
          <w:b/>
          <w:bCs/>
          <w:sz w:val="28"/>
        </w:rPr>
        <w:t>5</w:t>
      </w:r>
      <w:r>
        <w:rPr>
          <w:rFonts w:ascii="宋体" w:hAnsi="宋体" w:hint="eastAsia"/>
          <w:b/>
          <w:bCs/>
          <w:sz w:val="28"/>
        </w:rPr>
        <w:t>、主要各工序施工方法</w:t>
      </w:r>
      <w:bookmarkEnd w:id="48"/>
    </w:p>
    <w:p w:rsidR="00B37071">
      <w:pPr>
        <w:pStyle w:val="Normal0"/>
        <w:spacing w:line="360" w:lineRule="auto"/>
        <w:outlineLvl w:val="1"/>
        <w:rPr>
          <w:rFonts w:ascii="宋体" w:hAnsi="宋体"/>
          <w:kern w:val="0"/>
          <w:sz w:val="24"/>
        </w:rPr>
      </w:pPr>
      <w:bookmarkStart w:id="49" w:name="_Toc360632729"/>
      <w:r>
        <w:rPr>
          <w:rFonts w:ascii="宋体" w:hAnsi="宋体"/>
          <w:kern w:val="0"/>
          <w:sz w:val="24"/>
        </w:rPr>
        <w:t>5.1</w:t>
      </w:r>
      <w:r>
        <w:rPr>
          <w:rFonts w:ascii="宋体" w:hAnsi="宋体" w:hint="eastAsia"/>
          <w:kern w:val="0"/>
          <w:sz w:val="24"/>
        </w:rPr>
        <w:t>确定水泥搅拌桩施工标准</w:t>
      </w:r>
      <w:bookmarkEnd w:id="49"/>
    </w:p>
    <w:p w:rsidR="00B37071">
      <w:pPr>
        <w:pStyle w:val="Normal0"/>
        <w:spacing w:line="360" w:lineRule="auto"/>
        <w:ind w:firstLine="480" w:firstLineChars="200"/>
        <w:rPr>
          <w:sz w:val="24"/>
          <w:szCs w:val="24"/>
        </w:rPr>
      </w:pPr>
      <w:r>
        <w:rPr>
          <w:rFonts w:hint="eastAsia"/>
          <w:sz w:val="24"/>
          <w:szCs w:val="24"/>
        </w:rPr>
        <w:t>设计采用水泥搅拌桩软土地基进行处理，桩径为</w:t>
      </w:r>
      <w:r>
        <w:rPr>
          <w:rFonts w:hint="eastAsia"/>
          <w:sz w:val="24"/>
          <w:szCs w:val="24"/>
        </w:rPr>
        <w:t>500mm</w:t>
      </w:r>
      <w:r>
        <w:rPr>
          <w:rFonts w:hint="eastAsia"/>
          <w:sz w:val="24"/>
          <w:szCs w:val="24"/>
        </w:rPr>
        <w:t>，桩距</w:t>
      </w:r>
      <w:r>
        <w:rPr>
          <w:sz w:val="24"/>
          <w:szCs w:val="24"/>
        </w:rPr>
        <w:t>1.</w:t>
      </w:r>
      <w:r>
        <w:rPr>
          <w:rFonts w:hint="eastAsia"/>
          <w:sz w:val="24"/>
          <w:szCs w:val="24"/>
        </w:rPr>
        <w:t>0</w:t>
      </w:r>
      <w:r>
        <w:rPr>
          <w:sz w:val="24"/>
          <w:szCs w:val="24"/>
        </w:rPr>
        <w:t>m</w:t>
      </w:r>
      <w:r>
        <w:rPr>
          <w:rFonts w:hint="eastAsia"/>
          <w:sz w:val="24"/>
          <w:szCs w:val="24"/>
        </w:rPr>
        <w:t>×</w:t>
      </w:r>
      <w:r>
        <w:rPr>
          <w:sz w:val="24"/>
          <w:szCs w:val="24"/>
        </w:rPr>
        <w:t>1.</w:t>
      </w:r>
      <w:r>
        <w:rPr>
          <w:rFonts w:hint="eastAsia"/>
          <w:sz w:val="24"/>
          <w:szCs w:val="24"/>
        </w:rPr>
        <w:t>0</w:t>
      </w:r>
      <w:r>
        <w:rPr>
          <w:sz w:val="24"/>
          <w:szCs w:val="24"/>
        </w:rPr>
        <w:t>m</w:t>
      </w:r>
      <w:r>
        <w:rPr>
          <w:rFonts w:hint="eastAsia"/>
          <w:sz w:val="24"/>
          <w:szCs w:val="24"/>
        </w:rPr>
        <w:t>×</w:t>
      </w:r>
      <w:r>
        <w:rPr>
          <w:rFonts w:hint="eastAsia"/>
          <w:sz w:val="24"/>
          <w:szCs w:val="24"/>
        </w:rPr>
        <w:t>1.0m</w:t>
      </w:r>
      <w:r>
        <w:rPr>
          <w:rFonts w:hint="eastAsia"/>
          <w:sz w:val="24"/>
          <w:szCs w:val="24"/>
        </w:rPr>
        <w:t>、</w:t>
      </w:r>
      <w:r>
        <w:rPr>
          <w:rFonts w:hint="eastAsia"/>
          <w:sz w:val="24"/>
          <w:szCs w:val="24"/>
        </w:rPr>
        <w:t>1.5m</w:t>
      </w:r>
      <w:r>
        <w:rPr>
          <w:rFonts w:hint="eastAsia"/>
          <w:sz w:val="24"/>
          <w:szCs w:val="24"/>
        </w:rPr>
        <w:t>×</w:t>
      </w:r>
      <w:r>
        <w:rPr>
          <w:rFonts w:hint="eastAsia"/>
          <w:sz w:val="24"/>
          <w:szCs w:val="24"/>
        </w:rPr>
        <w:t>1.5m</w:t>
      </w:r>
      <w:r>
        <w:rPr>
          <w:rFonts w:hint="eastAsia"/>
          <w:sz w:val="24"/>
          <w:szCs w:val="24"/>
        </w:rPr>
        <w:t>×</w:t>
      </w:r>
      <w:r>
        <w:rPr>
          <w:rFonts w:hint="eastAsia"/>
          <w:sz w:val="24"/>
          <w:szCs w:val="24"/>
        </w:rPr>
        <w:t>1.5m</w:t>
      </w:r>
      <w:r>
        <w:rPr>
          <w:rFonts w:hint="eastAsia"/>
          <w:sz w:val="24"/>
          <w:szCs w:val="24"/>
        </w:rPr>
        <w:t>、</w:t>
      </w:r>
      <w:r>
        <w:rPr>
          <w:rFonts w:hint="eastAsia"/>
          <w:sz w:val="24"/>
          <w:szCs w:val="24"/>
        </w:rPr>
        <w:t>2.0m</w:t>
      </w:r>
      <w:r>
        <w:rPr>
          <w:rFonts w:hint="eastAsia"/>
          <w:sz w:val="24"/>
          <w:szCs w:val="24"/>
        </w:rPr>
        <w:t>×</w:t>
      </w:r>
      <w:r>
        <w:rPr>
          <w:rFonts w:hint="eastAsia"/>
          <w:sz w:val="24"/>
          <w:szCs w:val="24"/>
        </w:rPr>
        <w:t>2.0m</w:t>
      </w:r>
      <w:r>
        <w:rPr>
          <w:rFonts w:hint="eastAsia"/>
          <w:sz w:val="24"/>
          <w:szCs w:val="24"/>
        </w:rPr>
        <w:t>×</w:t>
      </w:r>
      <w:r>
        <w:rPr>
          <w:rFonts w:hint="eastAsia"/>
          <w:sz w:val="24"/>
          <w:szCs w:val="24"/>
        </w:rPr>
        <w:t>2.0m</w:t>
      </w:r>
      <w:r>
        <w:rPr>
          <w:rFonts w:hint="eastAsia"/>
          <w:sz w:val="24"/>
          <w:szCs w:val="24"/>
        </w:rPr>
        <w:t>按等边</w:t>
      </w:r>
      <w:r>
        <w:rPr>
          <w:rFonts w:hint="eastAsia"/>
          <w:sz w:val="24"/>
          <w:szCs w:val="24"/>
        </w:rPr>
        <w:t>三角形</w:t>
      </w:r>
      <w:r>
        <w:rPr>
          <w:rFonts w:hint="eastAsia"/>
          <w:sz w:val="24"/>
          <w:szCs w:val="24"/>
        </w:rPr>
        <w:t>布置，桩身长度</w:t>
      </w:r>
      <w:r>
        <w:rPr>
          <w:rFonts w:hint="eastAsia"/>
          <w:sz w:val="24"/>
          <w:szCs w:val="24"/>
        </w:rPr>
        <w:t>按设计要求，总桩数约为</w:t>
      </w:r>
      <w:r>
        <w:rPr>
          <w:rFonts w:hint="eastAsia"/>
          <w:sz w:val="24"/>
          <w:szCs w:val="24"/>
        </w:rPr>
        <w:t>15779</w:t>
      </w:r>
      <w:r>
        <w:rPr>
          <w:rFonts w:hint="eastAsia"/>
          <w:sz w:val="24"/>
          <w:szCs w:val="24"/>
        </w:rPr>
        <w:t>根，</w:t>
      </w:r>
      <w:r>
        <w:rPr>
          <w:rFonts w:hint="eastAsia"/>
          <w:sz w:val="24"/>
          <w:szCs w:val="24"/>
        </w:rPr>
        <w:t>本次地基处理范围主要为场地内的消防道路、行车道路、茉莉花广场、室外与主体结构交界位置。总处理面积约</w:t>
      </w:r>
      <w:r>
        <w:rPr>
          <w:rFonts w:hint="eastAsia"/>
          <w:sz w:val="24"/>
          <w:szCs w:val="24"/>
        </w:rPr>
        <w:t>39400</w:t>
      </w:r>
      <w:r>
        <w:rPr>
          <w:rFonts w:hint="eastAsia"/>
          <w:sz w:val="24"/>
          <w:szCs w:val="24"/>
        </w:rPr>
        <w:t>㎡</w:t>
      </w:r>
      <w:r>
        <w:rPr>
          <w:rFonts w:hint="eastAsia"/>
          <w:sz w:val="24"/>
          <w:szCs w:val="24"/>
        </w:rPr>
        <w:t>。</w:t>
      </w:r>
      <w:r>
        <w:rPr>
          <w:rFonts w:ascii="宋体" w:hAnsi="宋体" w:hint="eastAsia"/>
          <w:sz w:val="24"/>
        </w:rPr>
        <w:t>大面积施工前必须通过现场试桩试验取得设计喷入量的各种技术参数和合适的施工工艺，并根据试桩的情况确定日后水泥搅拌桩及高压旋喷桩施工标准。</w:t>
      </w:r>
    </w:p>
    <w:p w:rsidR="00B37071">
      <w:pPr>
        <w:pStyle w:val="Normal0"/>
        <w:spacing w:line="360" w:lineRule="auto"/>
        <w:outlineLvl w:val="1"/>
        <w:rPr>
          <w:sz w:val="24"/>
          <w:szCs w:val="24"/>
        </w:rPr>
      </w:pPr>
      <w:bookmarkStart w:id="50" w:name="_Toc360632730"/>
      <w:r>
        <w:rPr>
          <w:rFonts w:ascii="宋体" w:hAnsi="宋体"/>
          <w:sz w:val="24"/>
          <w:szCs w:val="24"/>
        </w:rPr>
        <w:t>5.2</w:t>
      </w:r>
      <w:r>
        <w:rPr>
          <w:rFonts w:ascii="宋体" w:hAnsi="宋体" w:hint="eastAsia"/>
          <w:sz w:val="24"/>
          <w:szCs w:val="24"/>
        </w:rPr>
        <w:t>、</w:t>
      </w:r>
      <w:r>
        <w:rPr>
          <w:rFonts w:hint="eastAsia"/>
          <w:sz w:val="24"/>
          <w:szCs w:val="24"/>
        </w:rPr>
        <w:t>水泥搅拌桩及高压旋喷桩施工工艺流程</w:t>
      </w:r>
      <w:bookmarkStart w:id="51" w:name="_Toc323974471"/>
      <w:bookmarkStart w:id="52" w:name="_Toc323979264"/>
      <w:bookmarkStart w:id="53" w:name="_Toc323996788"/>
      <w:bookmarkStart w:id="54" w:name="_Toc359923106"/>
      <w:bookmarkEnd w:id="50"/>
    </w:p>
    <w:p w:rsidR="00B37071">
      <w:pPr>
        <w:pStyle w:val="Normal0"/>
        <w:spacing w:line="360" w:lineRule="auto"/>
        <w:outlineLvl w:val="1"/>
        <w:rPr>
          <w:sz w:val="24"/>
          <w:szCs w:val="24"/>
        </w:rPr>
      </w:pPr>
      <w:bookmarkStart w:id="55" w:name="_Toc360632731"/>
      <w:r>
        <w:rPr>
          <w:rFonts w:hint="eastAsia"/>
          <w:sz w:val="24"/>
          <w:szCs w:val="24"/>
        </w:rPr>
        <w:t>详见附图二“水泥搅拌桩施工工艺流程图”</w:t>
      </w:r>
      <w:bookmarkEnd w:id="51"/>
      <w:bookmarkEnd w:id="52"/>
      <w:bookmarkEnd w:id="53"/>
      <w:r>
        <w:rPr>
          <w:rFonts w:hint="eastAsia"/>
          <w:sz w:val="24"/>
          <w:szCs w:val="24"/>
        </w:rPr>
        <w:t xml:space="preserve"> </w:t>
      </w:r>
      <w:r>
        <w:rPr>
          <w:rFonts w:hint="eastAsia"/>
          <w:sz w:val="24"/>
          <w:szCs w:val="24"/>
        </w:rPr>
        <w:t>、附图三“高压旋喷桩施工工艺流程图”</w:t>
      </w:r>
      <w:bookmarkEnd w:id="54"/>
      <w:bookmarkEnd w:id="55"/>
    </w:p>
    <w:p w:rsidR="00B37071">
      <w:pPr>
        <w:pStyle w:val="Normal0"/>
        <w:spacing w:line="360" w:lineRule="auto"/>
        <w:outlineLvl w:val="1"/>
        <w:rPr>
          <w:sz w:val="24"/>
          <w:szCs w:val="24"/>
        </w:rPr>
      </w:pPr>
      <w:bookmarkStart w:id="56" w:name="_Toc360632732"/>
      <w:r>
        <w:rPr>
          <w:rFonts w:ascii="宋体" w:hAnsi="宋体"/>
          <w:sz w:val="24"/>
          <w:szCs w:val="24"/>
        </w:rPr>
        <w:t>5.3</w:t>
      </w:r>
      <w:r>
        <w:rPr>
          <w:rFonts w:ascii="宋体" w:hAnsi="宋体" w:hint="eastAsia"/>
          <w:sz w:val="24"/>
          <w:szCs w:val="24"/>
        </w:rPr>
        <w:t>、</w:t>
      </w:r>
      <w:r>
        <w:rPr>
          <w:rFonts w:hint="eastAsia"/>
          <w:sz w:val="24"/>
          <w:szCs w:val="24"/>
        </w:rPr>
        <w:t>施工方法</w:t>
      </w:r>
      <w:bookmarkEnd w:id="56"/>
    </w:p>
    <w:p w:rsidR="00B37071">
      <w:pPr>
        <w:pStyle w:val="Normal0"/>
        <w:spacing w:line="360" w:lineRule="auto"/>
        <w:rPr>
          <w:rFonts w:ascii="宋体" w:hAnsi="宋体"/>
          <w:sz w:val="24"/>
          <w:szCs w:val="24"/>
        </w:rPr>
      </w:pPr>
      <w:r>
        <w:rPr>
          <w:rFonts w:ascii="宋体" w:hAnsi="宋体"/>
          <w:sz w:val="24"/>
          <w:szCs w:val="24"/>
        </w:rPr>
        <w:t>5.3.1</w:t>
      </w:r>
      <w:r>
        <w:rPr>
          <w:rFonts w:ascii="宋体" w:hAnsi="宋体" w:hint="eastAsia"/>
          <w:sz w:val="24"/>
          <w:szCs w:val="24"/>
        </w:rPr>
        <w:t>、场地</w:t>
      </w:r>
      <w:r>
        <w:rPr>
          <w:rFonts w:ascii="宋体" w:hAnsi="宋体" w:hint="eastAsia"/>
          <w:sz w:val="24"/>
          <w:szCs w:val="24"/>
        </w:rPr>
        <w:t>清障、回填及</w:t>
      </w:r>
      <w:r>
        <w:rPr>
          <w:rFonts w:ascii="宋体" w:hAnsi="宋体" w:hint="eastAsia"/>
          <w:sz w:val="24"/>
          <w:szCs w:val="24"/>
        </w:rPr>
        <w:t>平整</w:t>
      </w:r>
    </w:p>
    <w:p w:rsidR="00B37071">
      <w:pPr>
        <w:pStyle w:val="Normal0"/>
        <w:spacing w:line="360" w:lineRule="auto"/>
        <w:rPr>
          <w:rFonts w:ascii="宋体" w:hAnsi="宋体"/>
          <w:sz w:val="24"/>
          <w:szCs w:val="24"/>
        </w:rPr>
      </w:pPr>
      <w:r>
        <w:rPr>
          <w:rFonts w:ascii="宋体" w:hAnsi="宋体" w:hint="eastAsia"/>
          <w:sz w:val="24"/>
          <w:szCs w:val="24"/>
        </w:rPr>
        <w:t>5.3.1.1</w:t>
      </w:r>
      <w:r>
        <w:rPr>
          <w:rFonts w:ascii="宋体" w:hAnsi="宋体" w:hint="eastAsia"/>
          <w:sz w:val="24"/>
          <w:szCs w:val="24"/>
        </w:rPr>
        <w:t>、</w:t>
      </w:r>
      <w:r>
        <w:rPr>
          <w:rFonts w:ascii="宋体" w:hAnsi="宋体" w:hint="eastAsia"/>
          <w:sz w:val="24"/>
        </w:rPr>
        <w:t>清障开挖平面布置依据</w:t>
      </w:r>
    </w:p>
    <w:p w:rsidR="00B37071">
      <w:pPr>
        <w:pStyle w:val="Normal0"/>
        <w:spacing w:line="360" w:lineRule="auto"/>
        <w:ind w:firstLine="480" w:firstLineChars="200"/>
        <w:rPr>
          <w:rFonts w:ascii="宋体" w:hAnsi="宋体"/>
          <w:sz w:val="24"/>
          <w:szCs w:val="24"/>
        </w:rPr>
      </w:pPr>
      <w:r>
        <w:rPr>
          <w:rFonts w:ascii="宋体" w:hAnsi="宋体" w:hint="eastAsia"/>
          <w:sz w:val="24"/>
          <w:szCs w:val="24"/>
        </w:rPr>
        <w:t xml:space="preserve"> </w:t>
      </w:r>
      <w:r>
        <w:rPr>
          <w:rFonts w:ascii="宋体" w:hAnsi="宋体" w:hint="eastAsia"/>
          <w:sz w:val="24"/>
        </w:rPr>
        <w:t>施工总平面依据施工流水作业进度，施工工艺流程、现场</w:t>
      </w:r>
      <w:r>
        <w:rPr>
          <w:rFonts w:ascii="宋体" w:hAnsi="宋体" w:hint="eastAsia"/>
          <w:sz w:val="24"/>
        </w:rPr>
        <w:t>情况、及</w:t>
      </w:r>
      <w:r>
        <w:rPr>
          <w:rFonts w:ascii="宋体" w:hAnsi="宋体" w:hint="eastAsia"/>
          <w:sz w:val="24"/>
        </w:rPr>
        <w:t>地基处理</w:t>
      </w:r>
      <w:r>
        <w:rPr>
          <w:rFonts w:ascii="宋体" w:hAnsi="宋体" w:hint="eastAsia"/>
          <w:sz w:val="24"/>
        </w:rPr>
        <w:t>总平面布置图。</w:t>
      </w:r>
      <w:r>
        <w:rPr>
          <w:rFonts w:hint="eastAsia"/>
          <w:sz w:val="24"/>
          <w:szCs w:val="24"/>
        </w:rPr>
        <w:t>本工程施工范围内障碍物包含临时道路结构破除外运、地下河提抛石清理、后期回填夹带的块石、</w:t>
      </w:r>
      <w:r>
        <w:rPr>
          <w:rFonts w:hint="eastAsia"/>
          <w:sz w:val="24"/>
          <w:szCs w:val="24"/>
        </w:rPr>
        <w:t>尤其是地表下的大石块、地下管线等，切实了解场地的工程地质条件和周围环境</w:t>
      </w:r>
      <w:r>
        <w:rPr>
          <w:rFonts w:hint="eastAsia"/>
          <w:sz w:val="24"/>
          <w:szCs w:val="24"/>
        </w:rPr>
        <w:t>.</w:t>
      </w:r>
    </w:p>
    <w:p w:rsidR="00B37071">
      <w:pPr>
        <w:pStyle w:val="Normal0"/>
        <w:tabs>
          <w:tab w:val="left" w:pos="630"/>
        </w:tabs>
        <w:spacing w:line="360" w:lineRule="auto"/>
        <w:rPr>
          <w:rFonts w:ascii="宋体" w:hAnsi="宋体"/>
          <w:sz w:val="24"/>
        </w:rPr>
      </w:pPr>
      <w:r>
        <w:rPr>
          <w:rFonts w:ascii="宋体" w:hAnsi="宋体" w:hint="eastAsia"/>
          <w:sz w:val="24"/>
        </w:rPr>
        <w:t>5.3.1.2</w:t>
      </w:r>
      <w:r>
        <w:rPr>
          <w:rFonts w:ascii="宋体" w:hAnsi="宋体" w:hint="eastAsia"/>
          <w:sz w:val="24"/>
        </w:rPr>
        <w:t>、</w:t>
      </w:r>
      <w:r>
        <w:rPr>
          <w:rFonts w:ascii="宋体" w:hAnsi="宋体" w:hint="eastAsia"/>
          <w:sz w:val="24"/>
        </w:rPr>
        <w:t>土方开挖平面图布置原则</w:t>
      </w:r>
    </w:p>
    <w:p w:rsidR="00B37071">
      <w:pPr>
        <w:pStyle w:val="Normal0"/>
        <w:spacing w:line="360" w:lineRule="auto"/>
        <w:ind w:firstLine="480" w:firstLineChars="200"/>
        <w:rPr>
          <w:rFonts w:ascii="宋体" w:hAnsi="宋体"/>
          <w:sz w:val="24"/>
        </w:rPr>
      </w:pPr>
      <w:r>
        <w:rPr>
          <w:rFonts w:ascii="宋体" w:hAnsi="宋体" w:hint="eastAsia"/>
          <w:sz w:val="24"/>
        </w:rPr>
        <w:t>依据施工条件及现场特点，按照施工部署及施工方案，施工总平面图布置遵循以下原则：</w:t>
      </w:r>
    </w:p>
    <w:p w:rsidR="00B37071">
      <w:pPr>
        <w:pStyle w:val="Normal0"/>
        <w:spacing w:line="360" w:lineRule="auto"/>
        <w:ind w:firstLine="480" w:firstLineChars="200"/>
        <w:rPr>
          <w:rFonts w:ascii="宋体" w:hAnsi="宋体"/>
          <w:sz w:val="24"/>
        </w:rPr>
        <w:sectPr>
          <w:type w:val="nextPage"/>
          <w:pgSz w:w="11907" w:h="16840"/>
          <w:pgMar w:top="1418" w:right="1123" w:bottom="1418" w:left="1418" w:header="851" w:footer="851" w:gutter="0"/>
          <w:pgNumType w:fmt="numberInDash" w:start="9"/>
          <w:cols w:space="708"/>
          <w:titlePg w:val="0"/>
          <w:docGrid w:linePitch="312"/>
        </w:sectPr>
      </w:pPr>
      <w:r>
        <w:rPr>
          <w:rFonts w:ascii="宋体" w:hAnsi="宋体" w:hint="eastAsia"/>
          <w:sz w:val="24"/>
        </w:rPr>
        <w:t>考虑场地毗邻闽江，在清障开挖过程中会出现大量地下水，如出现地下水，则立即使用抽水设备进行抽水，满足清障条件。四周防护围挡设置，两边防护确保行车、行人安全通行，确保文明施工。</w:t>
      </w:r>
    </w:p>
    <w:p w:rsidR="00B37071">
      <w:pPr>
        <w:pStyle w:val="Normal0"/>
        <w:tabs>
          <w:tab w:val="left" w:pos="630"/>
        </w:tabs>
        <w:spacing w:line="360" w:lineRule="auto"/>
        <w:rPr>
          <w:rFonts w:ascii="宋体" w:hAnsi="宋体"/>
          <w:sz w:val="24"/>
        </w:rPr>
      </w:pPr>
      <w:r>
        <w:rPr>
          <w:rFonts w:ascii="宋体" w:hAnsi="宋体" w:hint="eastAsia"/>
          <w:sz w:val="24"/>
        </w:rPr>
        <w:t>5.3.1.3</w:t>
      </w:r>
      <w:r>
        <w:rPr>
          <w:rFonts w:ascii="宋体" w:hAnsi="宋体" w:hint="eastAsia"/>
          <w:sz w:val="24"/>
        </w:rPr>
        <w:t>、</w:t>
      </w:r>
      <w:r>
        <w:rPr>
          <w:rFonts w:ascii="宋体" w:hAnsi="宋体" w:hint="eastAsia"/>
          <w:sz w:val="24"/>
        </w:rPr>
        <w:t>施工总体部署</w:t>
      </w:r>
    </w:p>
    <w:p w:rsidR="00B37071">
      <w:pPr>
        <w:pStyle w:val="Normal0"/>
        <w:spacing w:line="360" w:lineRule="auto"/>
        <w:ind w:firstLine="480" w:firstLineChars="200"/>
        <w:rPr>
          <w:rFonts w:ascii="宋体" w:hAnsi="宋体"/>
          <w:sz w:val="24"/>
        </w:rPr>
      </w:pPr>
      <w:r>
        <w:rPr>
          <w:rFonts w:ascii="宋体" w:hAnsi="宋体" w:hint="eastAsia"/>
          <w:sz w:val="24"/>
        </w:rPr>
        <w:t>清障过程的顺利，直接影响整个</w:t>
      </w:r>
      <w:r>
        <w:rPr>
          <w:rFonts w:ascii="宋体" w:hAnsi="宋体" w:hint="eastAsia"/>
          <w:sz w:val="24"/>
        </w:rPr>
        <w:t>地基处理工程</w:t>
      </w:r>
      <w:r>
        <w:rPr>
          <w:rFonts w:ascii="宋体" w:hAnsi="宋体" w:hint="eastAsia"/>
          <w:sz w:val="24"/>
        </w:rPr>
        <w:t>的施工进度与安全。开挖出的土石方处理：将清除出的块石转运至建设单位指定的卸土场地。</w:t>
      </w:r>
    </w:p>
    <w:p w:rsidR="00B37071">
      <w:pPr>
        <w:pStyle w:val="Normal0"/>
        <w:tabs>
          <w:tab w:val="left" w:pos="630"/>
        </w:tabs>
        <w:spacing w:line="360" w:lineRule="auto"/>
        <w:rPr>
          <w:rFonts w:ascii="宋体" w:hAnsi="宋体"/>
          <w:sz w:val="24"/>
        </w:rPr>
      </w:pPr>
      <w:r>
        <w:rPr>
          <w:rFonts w:ascii="宋体" w:hAnsi="宋体" w:hint="eastAsia"/>
          <w:sz w:val="24"/>
        </w:rPr>
        <w:t>5.3.1.4</w:t>
      </w:r>
      <w:r>
        <w:rPr>
          <w:rFonts w:ascii="宋体" w:hAnsi="宋体" w:hint="eastAsia"/>
          <w:sz w:val="24"/>
        </w:rPr>
        <w:t>、清障</w:t>
      </w:r>
      <w:r>
        <w:rPr>
          <w:rFonts w:ascii="宋体" w:hAnsi="宋体" w:hint="eastAsia"/>
          <w:sz w:val="24"/>
        </w:rPr>
        <w:t>施工注意事项</w:t>
      </w:r>
    </w:p>
    <w:p w:rsidR="00B37071">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）开挖前应认真核对</w:t>
      </w:r>
      <w:r>
        <w:rPr>
          <w:rFonts w:ascii="宋体" w:hAnsi="宋体" w:hint="eastAsia"/>
          <w:sz w:val="24"/>
        </w:rPr>
        <w:t>障碍物</w:t>
      </w:r>
      <w:r>
        <w:rPr>
          <w:rFonts w:ascii="宋体" w:hAnsi="宋体" w:hint="eastAsia"/>
          <w:sz w:val="24"/>
        </w:rPr>
        <w:t>区域位置，如块石埋深较深，无法挖除时，应书面通知相关单位进行处理。</w:t>
      </w:r>
    </w:p>
    <w:p w:rsidR="00B37071">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）清障出的土石方应立即装车，外运出场地。</w:t>
      </w:r>
    </w:p>
    <w:p w:rsidR="00B37071">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）开</w:t>
      </w:r>
      <w:r>
        <w:rPr>
          <w:rFonts w:ascii="宋体" w:hAnsi="宋体" w:hint="eastAsia"/>
          <w:sz w:val="24"/>
        </w:rPr>
        <w:t>挖过程中若发生异常情况，应立即停止挖土，并立即查清原因，待采取相应措施后，方能继续开挖施工。</w:t>
      </w:r>
    </w:p>
    <w:p w:rsidR="00B37071">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）开挖过程中若发生大量地下水，应立即使用抽水设备进行抽排，方能继续开挖施工。</w:t>
      </w:r>
    </w:p>
    <w:p w:rsidR="00B37071">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）如遇粒径较大（</w:t>
      </w:r>
      <w:r>
        <w:rPr>
          <w:rFonts w:ascii="宋体" w:hAnsi="宋体" w:hint="eastAsia"/>
          <w:sz w:val="24"/>
        </w:rPr>
        <w:t>800-1500mm</w:t>
      </w:r>
      <w:r>
        <w:rPr>
          <w:rFonts w:ascii="宋体" w:hAnsi="宋体" w:hint="eastAsia"/>
          <w:sz w:val="24"/>
        </w:rPr>
        <w:t>）的块石，无法使用挖掘机直接挖除的石块，则先使用炮头机进行破碎，再使用挖掘机清除。</w:t>
      </w:r>
    </w:p>
    <w:p w:rsidR="00B37071">
      <w:pPr>
        <w:pStyle w:val="Normal0"/>
        <w:spacing w:line="360" w:lineRule="auto"/>
        <w:rPr>
          <w:rFonts w:ascii="宋体" w:hAnsi="宋体"/>
          <w:sz w:val="24"/>
        </w:rPr>
      </w:pPr>
      <w:r>
        <w:rPr>
          <w:rFonts w:ascii="宋体" w:hAnsi="宋体" w:hint="eastAsia"/>
          <w:sz w:val="24"/>
        </w:rPr>
        <w:t>5.3.1.5</w:t>
      </w:r>
      <w:r>
        <w:rPr>
          <w:rFonts w:ascii="宋体" w:hAnsi="宋体" w:hint="eastAsia"/>
          <w:sz w:val="24"/>
        </w:rPr>
        <w:t>、场地回填</w:t>
      </w:r>
    </w:p>
    <w:p w:rsidR="00B37071">
      <w:pPr>
        <w:pStyle w:val="Normal0"/>
        <w:widowControl/>
        <w:ind w:firstLine="480" w:firstLineChars="200"/>
        <w:jc w:val="left"/>
        <w:rPr>
          <w:rFonts w:ascii="宋体" w:hAnsi="宋体"/>
          <w:sz w:val="24"/>
        </w:rPr>
      </w:pPr>
      <w:r>
        <w:rPr>
          <w:rFonts w:ascii="宋体" w:hAnsi="宋体" w:hint="eastAsia"/>
          <w:sz w:val="24"/>
        </w:rPr>
        <w:t>开挖完成后须及时分层回填</w:t>
      </w:r>
      <w:r>
        <w:rPr>
          <w:rFonts w:ascii="宋体" w:hAnsi="宋体" w:hint="eastAsia"/>
          <w:sz w:val="24"/>
        </w:rPr>
        <w:t>并且采用压实机边回填边压实，避免因下层土松软对地基处理产生不利影响</w:t>
      </w:r>
      <w:r>
        <w:rPr>
          <w:rFonts w:ascii="宋体" w:hAnsi="宋体" w:hint="eastAsia"/>
          <w:sz w:val="24"/>
        </w:rPr>
        <w:t>。回填</w:t>
      </w:r>
      <w:r>
        <w:rPr>
          <w:rFonts w:ascii="宋体" w:hAnsi="宋体" w:hint="eastAsia"/>
          <w:sz w:val="24"/>
        </w:rPr>
        <w:t>面</w:t>
      </w:r>
      <w:r>
        <w:rPr>
          <w:rFonts w:ascii="宋体" w:hAnsi="宋体" w:hint="eastAsia"/>
          <w:sz w:val="24"/>
        </w:rPr>
        <w:t>标高根据</w:t>
      </w:r>
      <w:r>
        <w:rPr>
          <w:rFonts w:ascii="宋体" w:hAnsi="宋体" w:hint="eastAsia"/>
          <w:sz w:val="24"/>
        </w:rPr>
        <w:t>水泥搅拌桩桩顶标高控制（大于桩顶标高</w:t>
      </w:r>
      <w:r>
        <w:rPr>
          <w:rFonts w:ascii="宋体" w:hAnsi="宋体" w:hint="eastAsia"/>
          <w:sz w:val="24"/>
        </w:rPr>
        <w:t>80cm</w:t>
      </w:r>
      <w:r>
        <w:rPr>
          <w:rFonts w:ascii="宋体" w:hAnsi="宋体" w:hint="eastAsia"/>
          <w:sz w:val="24"/>
        </w:rPr>
        <w:t>）</w:t>
      </w:r>
      <w:r>
        <w:rPr>
          <w:rFonts w:ascii="宋体" w:hAnsi="宋体" w:hint="eastAsia"/>
          <w:sz w:val="24"/>
        </w:rPr>
        <w:t>。</w:t>
      </w:r>
    </w:p>
    <w:p w:rsidR="00B37071">
      <w:pPr>
        <w:pStyle w:val="Normal0"/>
        <w:spacing w:line="360" w:lineRule="auto"/>
        <w:rPr>
          <w:rFonts w:ascii="宋体" w:hAnsi="宋体"/>
          <w:sz w:val="24"/>
        </w:rPr>
      </w:pPr>
      <w:r>
        <w:rPr>
          <w:rFonts w:ascii="宋体" w:hAnsi="宋体" w:hint="eastAsia"/>
          <w:sz w:val="24"/>
        </w:rPr>
        <w:t>5.3.1.6</w:t>
      </w:r>
      <w:r>
        <w:rPr>
          <w:rFonts w:ascii="宋体" w:hAnsi="宋体" w:hint="eastAsia"/>
          <w:sz w:val="24"/>
        </w:rPr>
        <w:t>、</w:t>
      </w:r>
      <w:r>
        <w:rPr>
          <w:rFonts w:ascii="宋体" w:hAnsi="宋体" w:hint="eastAsia"/>
          <w:sz w:val="24"/>
        </w:rPr>
        <w:t>质量标准</w:t>
      </w:r>
    </w:p>
    <w:p w:rsidR="00B37071">
      <w:pPr>
        <w:pStyle w:val="Normal0"/>
        <w:tabs>
          <w:tab w:val="left" w:pos="630"/>
        </w:tabs>
        <w:spacing w:line="360" w:lineRule="auto"/>
        <w:ind w:firstLine="480" w:firstLineChars="200"/>
        <w:rPr>
          <w:rFonts w:ascii="宋体" w:hAnsi="宋体"/>
          <w:sz w:val="24"/>
        </w:rPr>
      </w:pPr>
      <w:r>
        <w:rPr>
          <w:rFonts w:ascii="宋体" w:hAnsi="宋体" w:hint="eastAsia"/>
          <w:sz w:val="24"/>
        </w:rPr>
        <w:t>场地平整，</w:t>
      </w:r>
      <w:r>
        <w:rPr>
          <w:rFonts w:ascii="宋体" w:hAnsi="宋体" w:hint="eastAsia"/>
          <w:sz w:val="24"/>
        </w:rPr>
        <w:t>回填土压实系数不小于</w:t>
      </w:r>
      <w:r>
        <w:rPr>
          <w:rFonts w:ascii="宋体" w:hAnsi="宋体" w:hint="eastAsia"/>
          <w:sz w:val="24"/>
        </w:rPr>
        <w:t>93%</w:t>
      </w:r>
      <w:r>
        <w:rPr>
          <w:rFonts w:ascii="宋体" w:hAnsi="宋体" w:hint="eastAsia"/>
          <w:sz w:val="24"/>
        </w:rPr>
        <w:t>，</w:t>
      </w:r>
      <w:r>
        <w:rPr>
          <w:rFonts w:ascii="宋体" w:hAnsi="宋体" w:hint="eastAsia"/>
          <w:sz w:val="24"/>
        </w:rPr>
        <w:t>不影响</w:t>
      </w:r>
      <w:r>
        <w:rPr>
          <w:rFonts w:ascii="宋体" w:hAnsi="宋体" w:hint="eastAsia"/>
          <w:sz w:val="24"/>
        </w:rPr>
        <w:t>水泥搅拌桩及高压旋喷桩</w:t>
      </w:r>
      <w:r>
        <w:rPr>
          <w:rFonts w:ascii="宋体" w:hAnsi="宋体" w:hint="eastAsia"/>
          <w:sz w:val="24"/>
        </w:rPr>
        <w:t>的施工</w:t>
      </w:r>
      <w:r>
        <w:rPr>
          <w:rFonts w:hint="eastAsia"/>
          <w:sz w:val="24"/>
        </w:rPr>
        <w:t>。</w:t>
      </w:r>
    </w:p>
    <w:p w:rsidR="00B37071">
      <w:pPr>
        <w:pStyle w:val="Normal0"/>
        <w:spacing w:line="360" w:lineRule="auto"/>
        <w:rPr>
          <w:sz w:val="24"/>
          <w:szCs w:val="24"/>
        </w:rPr>
      </w:pPr>
      <w:r>
        <w:rPr>
          <w:rFonts w:ascii="宋体" w:hAnsi="宋体" w:hint="eastAsia"/>
          <w:sz w:val="24"/>
          <w:szCs w:val="24"/>
        </w:rPr>
        <w:t>5.3.1.</w:t>
      </w:r>
      <w:r>
        <w:rPr>
          <w:rFonts w:ascii="宋体" w:hAnsi="宋体" w:hint="eastAsia"/>
          <w:sz w:val="24"/>
          <w:szCs w:val="24"/>
        </w:rPr>
        <w:t>7</w:t>
      </w:r>
      <w:r>
        <w:rPr>
          <w:rFonts w:ascii="宋体" w:hAnsi="宋体" w:hint="eastAsia"/>
          <w:sz w:val="24"/>
          <w:szCs w:val="24"/>
        </w:rPr>
        <w:t>、</w:t>
      </w:r>
      <w:r>
        <w:rPr>
          <w:rFonts w:hint="eastAsia"/>
          <w:sz w:val="24"/>
          <w:szCs w:val="24"/>
        </w:rPr>
        <w:t>施工测量方法</w:t>
      </w:r>
    </w:p>
    <w:p w:rsidR="00B37071">
      <w:pPr>
        <w:pStyle w:val="Normal0"/>
        <w:spacing w:line="360" w:lineRule="auto"/>
        <w:rPr>
          <w:sz w:val="24"/>
          <w:szCs w:val="24"/>
        </w:rPr>
      </w:pPr>
      <w:r>
        <w:rPr>
          <w:rFonts w:hint="eastAsia"/>
          <w:sz w:val="24"/>
          <w:szCs w:val="24"/>
        </w:rPr>
        <w:t xml:space="preserve">    </w:t>
      </w:r>
      <w:r>
        <w:rPr>
          <w:rFonts w:hint="eastAsia"/>
          <w:sz w:val="24"/>
          <w:szCs w:val="24"/>
        </w:rPr>
        <w:t>以业主提交的测量控制基准点为基础，建立闭合导线控制网，根据施工控制网，测设轴线，再根据轴线测设各个细部。</w:t>
      </w:r>
    </w:p>
    <w:p w:rsidR="00B37071">
      <w:pPr>
        <w:pStyle w:val="Normal0"/>
        <w:spacing w:line="360" w:lineRule="auto"/>
        <w:rPr>
          <w:sz w:val="24"/>
          <w:szCs w:val="24"/>
        </w:rPr>
      </w:pPr>
      <w:r>
        <w:rPr>
          <w:rFonts w:ascii="宋体" w:hAnsi="宋体" w:hint="eastAsia"/>
          <w:sz w:val="24"/>
          <w:szCs w:val="24"/>
        </w:rPr>
        <w:t>5.3.1.</w:t>
      </w:r>
      <w:r>
        <w:rPr>
          <w:rFonts w:ascii="宋体" w:hAnsi="宋体" w:hint="eastAsia"/>
          <w:sz w:val="24"/>
          <w:szCs w:val="24"/>
        </w:rPr>
        <w:t>8</w:t>
      </w:r>
      <w:r>
        <w:rPr>
          <w:rFonts w:ascii="宋体" w:hAnsi="宋体" w:hint="eastAsia"/>
          <w:sz w:val="24"/>
          <w:szCs w:val="24"/>
        </w:rPr>
        <w:t>、</w:t>
      </w:r>
      <w:r>
        <w:rPr>
          <w:rFonts w:hint="eastAsia"/>
          <w:sz w:val="24"/>
          <w:szCs w:val="24"/>
        </w:rPr>
        <w:t>开工前测量准备工作</w:t>
      </w:r>
    </w:p>
    <w:p w:rsidR="00B37071">
      <w:pPr>
        <w:pStyle w:val="Normal0"/>
        <w:spacing w:line="360" w:lineRule="auto"/>
        <w:rPr>
          <w:sz w:val="24"/>
          <w:szCs w:val="24"/>
        </w:rPr>
      </w:pPr>
      <w:r>
        <w:rPr>
          <w:rFonts w:hint="eastAsia"/>
          <w:sz w:val="24"/>
          <w:szCs w:val="24"/>
        </w:rPr>
        <w:t xml:space="preserve">   </w:t>
      </w:r>
      <w:r>
        <w:rPr>
          <w:rFonts w:hint="eastAsia"/>
          <w:sz w:val="24"/>
          <w:szCs w:val="24"/>
        </w:rPr>
        <w:t>包括检查和复核测量基准点，增设控制点和水准点，建立控制网、施工放样。测量放线定出搅拌桩桩位，插上标签，经复核无误后方可施工。</w:t>
      </w:r>
    </w:p>
    <w:p w:rsidR="00B37071">
      <w:pPr>
        <w:pStyle w:val="Normal0"/>
        <w:spacing w:line="360" w:lineRule="auto"/>
        <w:rPr>
          <w:rFonts w:ascii="宋体" w:hAnsi="宋体"/>
          <w:sz w:val="24"/>
          <w:szCs w:val="24"/>
        </w:rPr>
      </w:pPr>
      <w:r>
        <w:rPr>
          <w:rFonts w:ascii="宋体" w:hAnsi="宋体" w:hint="eastAsia"/>
          <w:sz w:val="24"/>
          <w:szCs w:val="24"/>
        </w:rPr>
        <w:t>5.3.2</w:t>
      </w:r>
      <w:r>
        <w:rPr>
          <w:rFonts w:ascii="宋体" w:hAnsi="宋体" w:hint="eastAsia"/>
          <w:sz w:val="24"/>
          <w:szCs w:val="24"/>
        </w:rPr>
        <w:t>、水泥搅拌桩施工方法</w:t>
      </w:r>
    </w:p>
    <w:p w:rsidR="00B37071">
      <w:pPr>
        <w:pStyle w:val="Normal0"/>
        <w:spacing w:line="360" w:lineRule="auto"/>
        <w:rPr>
          <w:rFonts w:ascii="宋体" w:hAnsi="宋体"/>
          <w:sz w:val="24"/>
          <w:szCs w:val="24"/>
        </w:rPr>
      </w:pPr>
      <w:r>
        <w:rPr>
          <w:rFonts w:ascii="宋体" w:hAnsi="宋体"/>
          <w:sz w:val="24"/>
          <w:szCs w:val="24"/>
        </w:rPr>
        <w:t>5.3.</w:t>
      </w:r>
      <w:r>
        <w:rPr>
          <w:rFonts w:ascii="宋体" w:hAnsi="宋体" w:hint="eastAsia"/>
          <w:sz w:val="24"/>
          <w:szCs w:val="24"/>
        </w:rPr>
        <w:t>2.1</w:t>
      </w:r>
      <w:r>
        <w:rPr>
          <w:rFonts w:ascii="宋体" w:hAnsi="宋体" w:hint="eastAsia"/>
          <w:sz w:val="24"/>
          <w:szCs w:val="24"/>
        </w:rPr>
        <w:t>、定位</w:t>
      </w:r>
    </w:p>
    <w:p w:rsidR="00B37071">
      <w:pPr>
        <w:pStyle w:val="Normal0"/>
        <w:spacing w:line="360" w:lineRule="auto"/>
        <w:ind w:firstLine="480"/>
        <w:rPr>
          <w:rFonts w:ascii="宋体" w:hAnsi="宋体"/>
          <w:sz w:val="24"/>
          <w:szCs w:val="24"/>
        </w:rPr>
      </w:pPr>
      <w:r>
        <w:rPr>
          <w:rFonts w:ascii="宋体" w:hAnsi="宋体" w:hint="eastAsia"/>
          <w:sz w:val="24"/>
          <w:szCs w:val="24"/>
        </w:rPr>
        <w:t>桩机使用其自身的行车系统移动，搭架提吊搅拌桩机就位。水泥搅拌桩机到达指定桩位，对中。当地面起伏不平时，采用搅拌桩机的液压平衡装置使起吊设备保持水平。检查钻杆长度，钻头直径，将桩机移到指定位置对好桩位。</w:t>
      </w:r>
    </w:p>
    <w:p w:rsidR="00B37071">
      <w:pPr>
        <w:pStyle w:val="Normal0"/>
        <w:spacing w:line="360" w:lineRule="auto"/>
        <w:rPr>
          <w:rFonts w:ascii="宋体" w:hAnsi="宋体"/>
          <w:sz w:val="24"/>
          <w:szCs w:val="24"/>
        </w:rPr>
        <w:sectPr>
          <w:type w:val="nextPage"/>
          <w:pgSz w:w="11907" w:h="16840"/>
          <w:pgMar w:top="1418" w:right="1123" w:bottom="1418" w:left="1418" w:header="851" w:footer="851" w:gutter="0"/>
          <w:pgNumType w:fmt="numberInDash" w:start="10"/>
          <w:cols w:space="708"/>
          <w:titlePg w:val="0"/>
          <w:docGrid w:linePitch="312"/>
        </w:sectPr>
      </w:pPr>
      <w:r>
        <w:rPr>
          <w:rFonts w:ascii="宋体" w:hAnsi="宋体"/>
          <w:sz w:val="24"/>
          <w:szCs w:val="24"/>
        </w:rPr>
        <w:t>5.3.</w:t>
      </w:r>
      <w:r>
        <w:rPr>
          <w:rFonts w:ascii="宋体" w:hAnsi="宋体" w:hint="eastAsia"/>
          <w:sz w:val="24"/>
          <w:szCs w:val="24"/>
        </w:rPr>
        <w:t>2.2</w:t>
      </w:r>
      <w:r>
        <w:rPr>
          <w:rFonts w:ascii="宋体" w:hAnsi="宋体" w:hint="eastAsia"/>
          <w:sz w:val="24"/>
          <w:szCs w:val="24"/>
        </w:rPr>
        <w:t>、制备水泥浆</w:t>
      </w:r>
    </w:p>
    <w:p w:rsidR="00B37071">
      <w:pPr>
        <w:pStyle w:val="Normal0"/>
        <w:spacing w:line="360" w:lineRule="auto"/>
        <w:ind w:firstLine="480"/>
        <w:rPr>
          <w:rFonts w:ascii="宋体" w:hAnsi="宋体"/>
          <w:sz w:val="24"/>
          <w:szCs w:val="24"/>
        </w:rPr>
      </w:pPr>
      <w:r>
        <w:rPr>
          <w:rFonts w:ascii="宋体" w:hAnsi="宋体" w:hint="eastAsia"/>
          <w:sz w:val="24"/>
          <w:szCs w:val="24"/>
        </w:rPr>
        <w:t>在制备水泥浆前，应检查水泥是否受潮、结块、变质，严禁使用未经复试或复试不合格的水泥。在搅拌头预拌</w:t>
      </w:r>
      <w:r>
        <w:rPr>
          <w:rFonts w:ascii="宋体" w:hAnsi="宋体" w:hint="eastAsia"/>
          <w:sz w:val="24"/>
          <w:szCs w:val="24"/>
        </w:rPr>
        <w:t>下降的同时，严格按设计配合比制作水泥浆，严格按照水灰比配置水泥浆，水泥浆搅拌时间不得小于</w:t>
      </w:r>
      <w:r>
        <w:rPr>
          <w:rFonts w:ascii="宋体" w:hAnsi="宋体" w:hint="eastAsia"/>
          <w:sz w:val="24"/>
          <w:szCs w:val="24"/>
        </w:rPr>
        <w:t>2min</w:t>
      </w:r>
      <w:r>
        <w:rPr>
          <w:rFonts w:ascii="宋体" w:hAnsi="宋体" w:hint="eastAsia"/>
          <w:sz w:val="24"/>
          <w:szCs w:val="24"/>
        </w:rPr>
        <w:t>，以便水泥浆充分拌合。搅拌好的水泥浆液应通过过滤网注入储浆筒，以防水泥块或杂质堵塞注浆管道。</w:t>
      </w:r>
    </w:p>
    <w:p w:rsidR="00B37071">
      <w:pPr>
        <w:pStyle w:val="Normal0"/>
        <w:spacing w:line="360" w:lineRule="auto"/>
        <w:rPr>
          <w:rFonts w:ascii="宋体" w:hAnsi="宋体"/>
          <w:sz w:val="24"/>
          <w:szCs w:val="24"/>
        </w:rPr>
      </w:pPr>
      <w:r>
        <w:rPr>
          <w:rFonts w:ascii="宋体" w:hAnsi="宋体"/>
          <w:sz w:val="24"/>
          <w:szCs w:val="24"/>
        </w:rPr>
        <w:t>5.3.</w:t>
      </w:r>
      <w:r>
        <w:rPr>
          <w:rFonts w:ascii="宋体" w:hAnsi="宋体" w:hint="eastAsia"/>
          <w:sz w:val="24"/>
          <w:szCs w:val="24"/>
        </w:rPr>
        <w:t>2.3</w:t>
      </w:r>
      <w:r>
        <w:rPr>
          <w:rFonts w:ascii="宋体" w:hAnsi="宋体" w:hint="eastAsia"/>
          <w:sz w:val="24"/>
          <w:szCs w:val="24"/>
        </w:rPr>
        <w:t>、预拌下沉喷浆</w:t>
      </w:r>
    </w:p>
    <w:p w:rsidR="00B37071">
      <w:pPr>
        <w:pStyle w:val="Normal0"/>
        <w:spacing w:line="360" w:lineRule="auto"/>
        <w:ind w:firstLine="480"/>
        <w:rPr>
          <w:rFonts w:ascii="宋体" w:hAnsi="宋体"/>
          <w:sz w:val="24"/>
          <w:szCs w:val="24"/>
        </w:rPr>
      </w:pPr>
      <w:r>
        <w:rPr>
          <w:rFonts w:ascii="宋体" w:hAnsi="宋体" w:hint="eastAsia"/>
          <w:sz w:val="24"/>
          <w:szCs w:val="24"/>
        </w:rPr>
        <w:t>桩机就位准备工作就绪，经检查符合要求后，启动灰浆泵，待浆液到达喷浆口时启动桩机向下旋转钻进，喷浆搅拌并连续喷入水泥浆液，钻速为</w:t>
      </w:r>
      <w:r>
        <w:rPr>
          <w:rFonts w:ascii="宋体" w:hAnsi="宋体" w:hint="eastAsia"/>
          <w:sz w:val="24"/>
          <w:szCs w:val="24"/>
        </w:rPr>
        <w:t>0.6</w:t>
      </w:r>
      <w:r>
        <w:rPr>
          <w:rFonts w:ascii="宋体" w:hAnsi="宋体" w:hint="eastAsia"/>
          <w:sz w:val="24"/>
          <w:szCs w:val="24"/>
        </w:rPr>
        <w:t>m/min</w:t>
      </w:r>
      <w:r>
        <w:rPr>
          <w:rFonts w:ascii="宋体" w:hAnsi="宋体" w:hint="eastAsia"/>
          <w:sz w:val="24"/>
          <w:szCs w:val="24"/>
        </w:rPr>
        <w:t>，转速</w:t>
      </w:r>
      <w:r>
        <w:rPr>
          <w:rFonts w:ascii="宋体" w:hAnsi="宋体" w:hint="eastAsia"/>
          <w:sz w:val="24"/>
          <w:szCs w:val="24"/>
        </w:rPr>
        <w:t>60r/min</w:t>
      </w:r>
      <w:r>
        <w:rPr>
          <w:rFonts w:ascii="宋体" w:hAnsi="宋体" w:hint="eastAsia"/>
          <w:sz w:val="24"/>
          <w:szCs w:val="24"/>
        </w:rPr>
        <w:t>，喷浆压力控制在</w:t>
      </w:r>
      <w:r>
        <w:rPr>
          <w:rFonts w:ascii="宋体" w:hAnsi="宋体" w:hint="eastAsia"/>
          <w:sz w:val="24"/>
          <w:szCs w:val="24"/>
        </w:rPr>
        <w:t>0.8M</w:t>
      </w:r>
      <w:r>
        <w:rPr>
          <w:rFonts w:ascii="宋体" w:hAnsi="宋体"/>
          <w:sz w:val="24"/>
          <w:szCs w:val="24"/>
        </w:rPr>
        <w:t>p</w:t>
      </w:r>
      <w:r>
        <w:rPr>
          <w:rFonts w:ascii="宋体" w:hAnsi="宋体" w:hint="eastAsia"/>
          <w:sz w:val="24"/>
          <w:szCs w:val="24"/>
        </w:rPr>
        <w:t>a</w:t>
      </w:r>
      <w:r>
        <w:rPr>
          <w:rFonts w:ascii="宋体" w:hAnsi="宋体" w:hint="eastAsia"/>
          <w:sz w:val="24"/>
          <w:szCs w:val="24"/>
        </w:rPr>
        <w:t>～</w:t>
      </w:r>
      <w:r>
        <w:rPr>
          <w:rFonts w:ascii="宋体" w:hAnsi="宋体" w:hint="eastAsia"/>
          <w:sz w:val="24"/>
          <w:szCs w:val="24"/>
        </w:rPr>
        <w:t>1.0 M</w:t>
      </w:r>
      <w:r>
        <w:rPr>
          <w:rFonts w:ascii="宋体" w:hAnsi="宋体"/>
          <w:sz w:val="24"/>
          <w:szCs w:val="24"/>
        </w:rPr>
        <w:t>p</w:t>
      </w:r>
      <w:r>
        <w:rPr>
          <w:rFonts w:ascii="宋体" w:hAnsi="宋体" w:hint="eastAsia"/>
          <w:sz w:val="24"/>
          <w:szCs w:val="24"/>
        </w:rPr>
        <w:t>a</w:t>
      </w:r>
      <w:r>
        <w:rPr>
          <w:rFonts w:ascii="宋体" w:hAnsi="宋体" w:hint="eastAsia"/>
          <w:sz w:val="24"/>
          <w:szCs w:val="24"/>
        </w:rPr>
        <w:t>，喷浆量控制在</w:t>
      </w:r>
      <w:r>
        <w:rPr>
          <w:rFonts w:ascii="宋体" w:hAnsi="宋体" w:hint="eastAsia"/>
          <w:sz w:val="24"/>
          <w:szCs w:val="24"/>
        </w:rPr>
        <w:t>30L/min</w:t>
      </w:r>
      <w:r>
        <w:rPr>
          <w:rFonts w:ascii="宋体" w:hAnsi="宋体" w:hint="eastAsia"/>
          <w:sz w:val="24"/>
          <w:szCs w:val="24"/>
        </w:rPr>
        <w:t>，钻进喷浆成桩到设计桩长或垫层位后，原地喷浆</w:t>
      </w:r>
      <w:r>
        <w:rPr>
          <w:rFonts w:ascii="宋体" w:hAnsi="宋体" w:hint="eastAsia"/>
          <w:sz w:val="24"/>
          <w:szCs w:val="24"/>
        </w:rPr>
        <w:t>30s</w:t>
      </w:r>
      <w:r>
        <w:rPr>
          <w:rFonts w:ascii="宋体" w:hAnsi="宋体" w:hint="eastAsia"/>
          <w:sz w:val="24"/>
          <w:szCs w:val="24"/>
        </w:rPr>
        <w:t>，在反转</w:t>
      </w:r>
      <w:r>
        <w:rPr>
          <w:rFonts w:ascii="宋体" w:hAnsi="宋体" w:hint="eastAsia"/>
          <w:sz w:val="24"/>
          <w:szCs w:val="24"/>
        </w:rPr>
        <w:t>匀速提升，深度误差少于</w:t>
      </w:r>
      <w:r>
        <w:rPr>
          <w:rFonts w:ascii="宋体" w:hAnsi="宋体" w:hint="eastAsia"/>
          <w:sz w:val="24"/>
          <w:szCs w:val="24"/>
        </w:rPr>
        <w:t>5cm</w:t>
      </w:r>
      <w:r>
        <w:rPr>
          <w:rFonts w:ascii="宋体" w:hAnsi="宋体" w:hint="eastAsia"/>
          <w:sz w:val="24"/>
          <w:szCs w:val="24"/>
        </w:rPr>
        <w:t>。</w:t>
      </w:r>
    </w:p>
    <w:p w:rsidR="00B37071">
      <w:pPr>
        <w:pStyle w:val="Normal0"/>
        <w:spacing w:line="360" w:lineRule="auto"/>
        <w:rPr>
          <w:rFonts w:ascii="宋体" w:hAnsi="宋体"/>
          <w:sz w:val="24"/>
          <w:szCs w:val="24"/>
        </w:rPr>
      </w:pPr>
      <w:r>
        <w:rPr>
          <w:rFonts w:ascii="宋体" w:hAnsi="宋体"/>
          <w:sz w:val="24"/>
          <w:szCs w:val="24"/>
        </w:rPr>
        <w:t>5.3.</w:t>
      </w:r>
      <w:r>
        <w:rPr>
          <w:rFonts w:ascii="宋体" w:hAnsi="宋体" w:hint="eastAsia"/>
          <w:sz w:val="24"/>
          <w:szCs w:val="24"/>
        </w:rPr>
        <w:t>2.4</w:t>
      </w:r>
      <w:r>
        <w:rPr>
          <w:rFonts w:ascii="宋体" w:hAnsi="宋体" w:hint="eastAsia"/>
          <w:sz w:val="24"/>
          <w:szCs w:val="24"/>
        </w:rPr>
        <w:t>、喷浆搅拌提升</w:t>
      </w:r>
    </w:p>
    <w:p w:rsidR="00B37071">
      <w:pPr>
        <w:pStyle w:val="Normal0"/>
        <w:spacing w:line="360" w:lineRule="auto"/>
        <w:ind w:firstLine="480"/>
        <w:rPr>
          <w:rFonts w:ascii="宋体" w:hAnsi="宋体"/>
          <w:sz w:val="24"/>
          <w:szCs w:val="24"/>
        </w:rPr>
      </w:pPr>
      <w:r>
        <w:rPr>
          <w:rFonts w:ascii="宋体" w:hAnsi="宋体" w:hint="eastAsia"/>
          <w:sz w:val="24"/>
          <w:szCs w:val="24"/>
        </w:rPr>
        <w:t>搅拌头喷浆搅拌下沉至桩底标高后，搅拌头在桩底原位喷浆搅拌</w:t>
      </w:r>
      <w:r>
        <w:rPr>
          <w:rFonts w:ascii="宋体" w:hAnsi="宋体" w:hint="eastAsia"/>
          <w:sz w:val="24"/>
          <w:szCs w:val="24"/>
        </w:rPr>
        <w:t>20</w:t>
      </w:r>
      <w:r>
        <w:rPr>
          <w:rFonts w:ascii="宋体" w:hAnsi="宋体" w:hint="eastAsia"/>
          <w:sz w:val="24"/>
          <w:szCs w:val="24"/>
        </w:rPr>
        <w:t>～</w:t>
      </w:r>
      <w:r>
        <w:rPr>
          <w:rFonts w:ascii="宋体" w:hAnsi="宋体" w:hint="eastAsia"/>
          <w:sz w:val="24"/>
          <w:szCs w:val="24"/>
        </w:rPr>
        <w:t>30s</w:t>
      </w:r>
      <w:r>
        <w:rPr>
          <w:rFonts w:ascii="宋体" w:hAnsi="宋体" w:hint="eastAsia"/>
          <w:sz w:val="24"/>
          <w:szCs w:val="24"/>
        </w:rPr>
        <w:t>后，以</w:t>
      </w:r>
      <w:r>
        <w:rPr>
          <w:rFonts w:ascii="宋体" w:hAnsi="宋体" w:hint="eastAsia"/>
          <w:sz w:val="24"/>
          <w:szCs w:val="24"/>
        </w:rPr>
        <w:t>0.6</w:t>
      </w:r>
      <w:r>
        <w:rPr>
          <w:rFonts w:ascii="宋体" w:hAnsi="宋体" w:hint="eastAsia"/>
          <w:sz w:val="24"/>
          <w:szCs w:val="24"/>
        </w:rPr>
        <w:t>m/min</w:t>
      </w:r>
      <w:r>
        <w:rPr>
          <w:rFonts w:ascii="宋体" w:hAnsi="宋体" w:hint="eastAsia"/>
          <w:sz w:val="24"/>
          <w:szCs w:val="24"/>
        </w:rPr>
        <w:t>的提升速度喷浆搅拌提升。停浆面应高于桩顶设计标高</w:t>
      </w:r>
      <w:r>
        <w:rPr>
          <w:rFonts w:ascii="宋体" w:hAnsi="宋体" w:hint="eastAsia"/>
          <w:sz w:val="24"/>
          <w:szCs w:val="24"/>
        </w:rPr>
        <w:t>50</w:t>
      </w:r>
      <w:r>
        <w:rPr>
          <w:rFonts w:ascii="宋体" w:hAnsi="宋体" w:hint="eastAsia"/>
          <w:sz w:val="24"/>
          <w:szCs w:val="24"/>
        </w:rPr>
        <w:t>cm</w:t>
      </w:r>
      <w:r>
        <w:rPr>
          <w:rFonts w:ascii="宋体" w:hAnsi="宋体" w:hint="eastAsia"/>
          <w:sz w:val="24"/>
          <w:szCs w:val="24"/>
        </w:rPr>
        <w:t>且</w:t>
      </w:r>
      <w:r>
        <w:rPr>
          <w:rFonts w:ascii="宋体" w:hAnsi="宋体" w:hint="eastAsia"/>
          <w:sz w:val="24"/>
          <w:szCs w:val="24"/>
        </w:rPr>
        <w:t>离地面</w:t>
      </w:r>
      <w:r>
        <w:rPr>
          <w:rFonts w:ascii="宋体" w:hAnsi="宋体" w:hint="eastAsia"/>
          <w:sz w:val="24"/>
          <w:szCs w:val="24"/>
        </w:rPr>
        <w:t>30cm</w:t>
      </w:r>
      <w:r>
        <w:rPr>
          <w:rFonts w:ascii="宋体" w:hAnsi="宋体" w:hint="eastAsia"/>
          <w:sz w:val="24"/>
          <w:szCs w:val="24"/>
        </w:rPr>
        <w:t>。</w:t>
      </w:r>
    </w:p>
    <w:p w:rsidR="00B37071">
      <w:pPr>
        <w:pStyle w:val="Normal0"/>
        <w:autoSpaceDE w:val="0"/>
        <w:autoSpaceDN w:val="0"/>
        <w:adjustRightInd w:val="0"/>
        <w:spacing w:line="360" w:lineRule="auto"/>
        <w:ind w:firstLine="480" w:firstLineChars="200"/>
        <w:jc w:val="left"/>
        <w:rPr>
          <w:rFonts w:ascii="宋体" w:hAnsi="宋体"/>
          <w:sz w:val="24"/>
          <w:szCs w:val="24"/>
        </w:rPr>
      </w:pPr>
      <w:r>
        <w:rPr>
          <w:rFonts w:ascii="宋体" w:hAnsi="宋体" w:hint="eastAsia"/>
          <w:sz w:val="24"/>
          <w:szCs w:val="24"/>
        </w:rPr>
        <w:t>成桩结束后清理完钻杆，进行移架移位，每班必须认真进行成桩记录。若暂不施工，需准备一个桶或贮料罐注入清水，开启灰浆泵，抽清水清洗全部管路中残存的水泥浆，直到基本干净。</w:t>
      </w:r>
    </w:p>
    <w:p w:rsidR="00B37071">
      <w:pPr>
        <w:pStyle w:val="Normal0"/>
        <w:spacing w:line="360" w:lineRule="auto"/>
        <w:rPr>
          <w:rFonts w:ascii="宋体" w:hAnsi="宋体"/>
          <w:sz w:val="24"/>
          <w:szCs w:val="24"/>
        </w:rPr>
      </w:pPr>
      <w:r>
        <w:rPr>
          <w:rFonts w:ascii="宋体" w:hAnsi="宋体" w:hint="eastAsia"/>
          <w:sz w:val="24"/>
          <w:szCs w:val="24"/>
        </w:rPr>
        <w:t>5.3.3</w:t>
      </w:r>
      <w:r>
        <w:rPr>
          <w:rFonts w:ascii="宋体" w:hAnsi="宋体" w:hint="eastAsia"/>
          <w:sz w:val="24"/>
          <w:szCs w:val="24"/>
        </w:rPr>
        <w:t>、高压旋喷桩施工方法</w:t>
      </w:r>
    </w:p>
    <w:p w:rsidR="00B37071">
      <w:pPr>
        <w:pStyle w:val="Normal0"/>
        <w:spacing w:line="360" w:lineRule="auto"/>
        <w:rPr>
          <w:rFonts w:ascii="宋体" w:hAnsi="宋体"/>
          <w:sz w:val="24"/>
          <w:szCs w:val="24"/>
        </w:rPr>
      </w:pPr>
      <w:r>
        <w:rPr>
          <w:rFonts w:ascii="宋体" w:hAnsi="宋体"/>
          <w:sz w:val="24"/>
          <w:szCs w:val="24"/>
        </w:rPr>
        <w:t>5.3.</w:t>
      </w:r>
      <w:r>
        <w:rPr>
          <w:rFonts w:ascii="宋体" w:hAnsi="宋体" w:hint="eastAsia"/>
          <w:sz w:val="24"/>
          <w:szCs w:val="24"/>
        </w:rPr>
        <w:t>3.1</w:t>
      </w:r>
      <w:r>
        <w:rPr>
          <w:rFonts w:ascii="宋体" w:hAnsi="宋体" w:hint="eastAsia"/>
          <w:sz w:val="24"/>
          <w:szCs w:val="24"/>
        </w:rPr>
        <w:t>、定位</w:t>
      </w:r>
    </w:p>
    <w:p w:rsidR="00B37071">
      <w:pPr>
        <w:pStyle w:val="Normal0"/>
        <w:spacing w:line="360" w:lineRule="auto"/>
        <w:ind w:firstLine="570"/>
        <w:rPr>
          <w:rFonts w:ascii="宋体" w:hAnsi="宋体"/>
          <w:sz w:val="24"/>
          <w:szCs w:val="24"/>
        </w:rPr>
      </w:pPr>
      <w:r>
        <w:rPr>
          <w:rFonts w:ascii="宋体" w:hAnsi="宋体" w:hint="eastAsia"/>
          <w:sz w:val="24"/>
          <w:szCs w:val="24"/>
        </w:rPr>
        <w:t>桩位准确，施工之前，应根据设计图纸、周围环境和埋设标志位置等情况</w:t>
      </w:r>
      <w:r>
        <w:rPr>
          <w:rFonts w:ascii="宋体" w:hAnsi="宋体" w:hint="eastAsia"/>
          <w:sz w:val="24"/>
          <w:szCs w:val="24"/>
        </w:rPr>
        <w:t>，复核高压旋喷桩的桩位，其偏差不得大于</w:t>
      </w:r>
      <w:r>
        <w:rPr>
          <w:rFonts w:ascii="宋体" w:hAnsi="宋体" w:hint="eastAsia"/>
          <w:sz w:val="24"/>
          <w:szCs w:val="24"/>
        </w:rPr>
        <w:t>50mm</w:t>
      </w:r>
      <w:r>
        <w:rPr>
          <w:rFonts w:ascii="宋体" w:hAnsi="宋体" w:hint="eastAsia"/>
          <w:sz w:val="24"/>
          <w:szCs w:val="24"/>
        </w:rPr>
        <w:t>。</w:t>
      </w:r>
    </w:p>
    <w:p w:rsidR="00B37071">
      <w:pPr>
        <w:pStyle w:val="Normal0"/>
        <w:spacing w:line="360" w:lineRule="auto"/>
        <w:rPr>
          <w:rFonts w:ascii="宋体" w:hAnsi="宋体"/>
          <w:sz w:val="24"/>
          <w:szCs w:val="24"/>
        </w:rPr>
      </w:pPr>
      <w:r>
        <w:rPr>
          <w:rFonts w:ascii="宋体" w:hAnsi="宋体"/>
          <w:sz w:val="24"/>
          <w:szCs w:val="24"/>
        </w:rPr>
        <w:t>5.3.</w:t>
      </w:r>
      <w:r>
        <w:rPr>
          <w:rFonts w:ascii="宋体" w:hAnsi="宋体" w:hint="eastAsia"/>
          <w:sz w:val="24"/>
          <w:szCs w:val="24"/>
        </w:rPr>
        <w:t>3.2</w:t>
      </w:r>
      <w:r>
        <w:rPr>
          <w:rFonts w:ascii="宋体" w:hAnsi="宋体" w:hint="eastAsia"/>
          <w:sz w:val="24"/>
          <w:szCs w:val="24"/>
        </w:rPr>
        <w:t>、工程钻机引孔</w:t>
      </w:r>
    </w:p>
    <w:p w:rsidR="00B37071">
      <w:pPr>
        <w:pStyle w:val="PlainText"/>
        <w:spacing w:line="360" w:lineRule="auto"/>
        <w:rPr>
          <w:rFonts w:hAnsi="宋体"/>
        </w:rPr>
      </w:pPr>
      <w:r>
        <w:rPr>
          <w:rFonts w:hAnsi="宋体" w:hint="eastAsia"/>
        </w:rPr>
        <w:t>采用工程钻机成孔，故成孔时应依据相应土层采用合金钻头或金刚石钻头，以便钻进设计深度。</w:t>
      </w:r>
    </w:p>
    <w:p w:rsidR="00B37071">
      <w:pPr>
        <w:pStyle w:val="Normal0"/>
        <w:autoSpaceDE w:val="0"/>
        <w:autoSpaceDN w:val="0"/>
        <w:adjustRightInd w:val="0"/>
        <w:spacing w:line="360" w:lineRule="auto"/>
        <w:jc w:val="left"/>
        <w:rPr>
          <w:rFonts w:ascii="宋体" w:hAnsi="宋体"/>
          <w:sz w:val="24"/>
          <w:szCs w:val="24"/>
        </w:rPr>
      </w:pPr>
      <w:r>
        <w:rPr>
          <w:rFonts w:ascii="宋体" w:hAnsi="宋体"/>
          <w:sz w:val="24"/>
          <w:szCs w:val="24"/>
        </w:rPr>
        <w:t>5.3.</w:t>
      </w:r>
      <w:r>
        <w:rPr>
          <w:rFonts w:ascii="宋体" w:hAnsi="宋体" w:hint="eastAsia"/>
          <w:sz w:val="24"/>
          <w:szCs w:val="24"/>
        </w:rPr>
        <w:t>3.3</w:t>
      </w:r>
      <w:r>
        <w:rPr>
          <w:rFonts w:ascii="宋体" w:hAnsi="宋体" w:hint="eastAsia"/>
          <w:sz w:val="24"/>
          <w:szCs w:val="24"/>
        </w:rPr>
        <w:t>、旋喷管插入</w:t>
      </w:r>
    </w:p>
    <w:p w:rsidR="00B37071">
      <w:pPr>
        <w:pStyle w:val="PlainText"/>
        <w:spacing w:line="360" w:lineRule="auto"/>
        <w:ind w:firstLine="555"/>
        <w:rPr>
          <w:rFonts w:hAnsi="宋体"/>
        </w:rPr>
      </w:pPr>
      <w:r>
        <w:rPr>
          <w:rFonts w:hAnsi="宋体" w:hint="eastAsia"/>
        </w:rPr>
        <w:t>成孔完成之后，必须拔出钻具，换上旋喷管并将其插入至设计深度，在旋喷管插入过程中，使用不超过</w:t>
      </w:r>
      <w:r>
        <w:rPr>
          <w:rFonts w:hAnsi="宋体" w:hint="eastAsia"/>
        </w:rPr>
        <w:t>20Mpa</w:t>
      </w:r>
      <w:r>
        <w:rPr>
          <w:rFonts w:hAnsi="宋体" w:hint="eastAsia"/>
        </w:rPr>
        <w:t>的压力，边射水，边插入。</w:t>
      </w:r>
    </w:p>
    <w:p w:rsidR="00B37071">
      <w:pPr>
        <w:pStyle w:val="Normal0"/>
        <w:autoSpaceDE w:val="0"/>
        <w:autoSpaceDN w:val="0"/>
        <w:adjustRightInd w:val="0"/>
        <w:spacing w:line="360" w:lineRule="auto"/>
        <w:jc w:val="left"/>
        <w:rPr>
          <w:rFonts w:ascii="宋体" w:hAnsi="宋体"/>
          <w:sz w:val="24"/>
          <w:szCs w:val="24"/>
        </w:rPr>
      </w:pPr>
      <w:r>
        <w:rPr>
          <w:rFonts w:ascii="宋体" w:hAnsi="宋体"/>
          <w:sz w:val="24"/>
          <w:szCs w:val="24"/>
        </w:rPr>
        <w:t>5.3.</w:t>
      </w:r>
      <w:r>
        <w:rPr>
          <w:rFonts w:ascii="宋体" w:hAnsi="宋体" w:hint="eastAsia"/>
          <w:sz w:val="24"/>
          <w:szCs w:val="24"/>
        </w:rPr>
        <w:t>3.4</w:t>
      </w:r>
      <w:r>
        <w:rPr>
          <w:rFonts w:ascii="宋体" w:hAnsi="宋体" w:hint="eastAsia"/>
          <w:sz w:val="24"/>
          <w:szCs w:val="24"/>
        </w:rPr>
        <w:t>、制浆</w:t>
      </w:r>
    </w:p>
    <w:p w:rsidR="00B37071">
      <w:pPr>
        <w:pStyle w:val="PlainText"/>
        <w:spacing w:line="360" w:lineRule="auto"/>
        <w:ind w:firstLine="555"/>
        <w:rPr>
          <w:rFonts w:hAnsi="宋体"/>
        </w:rPr>
      </w:pPr>
      <w:r>
        <w:rPr>
          <w:rFonts w:hAnsi="宋体" w:hint="eastAsia"/>
        </w:rPr>
        <w:t>高压旋喷注浆所采用的水泥浆，按水灰比</w:t>
      </w:r>
      <w:r>
        <w:rPr>
          <w:rFonts w:hAnsi="宋体" w:hint="eastAsia"/>
        </w:rPr>
        <w:t>0.8</w:t>
      </w:r>
      <w:r>
        <w:rPr>
          <w:rFonts w:hAnsi="宋体" w:hint="eastAsia"/>
        </w:rPr>
        <w:t>～</w:t>
      </w:r>
      <w:r>
        <w:rPr>
          <w:rFonts w:hAnsi="宋体" w:hint="eastAsia"/>
        </w:rPr>
        <w:t>1.2</w:t>
      </w:r>
      <w:r>
        <w:rPr>
          <w:rFonts w:hAnsi="宋体" w:hint="eastAsia"/>
        </w:rPr>
        <w:t>配制，水灰浆液应严格过滤。</w:t>
      </w:r>
    </w:p>
    <w:p w:rsidR="00B37071">
      <w:pPr>
        <w:pStyle w:val="Normal0"/>
        <w:autoSpaceDE w:val="0"/>
        <w:autoSpaceDN w:val="0"/>
        <w:adjustRightInd w:val="0"/>
        <w:spacing w:line="360" w:lineRule="auto"/>
        <w:jc w:val="left"/>
        <w:rPr>
          <w:rFonts w:ascii="宋体" w:hAnsi="宋体"/>
          <w:sz w:val="24"/>
          <w:szCs w:val="24"/>
        </w:rPr>
      </w:pPr>
      <w:r>
        <w:rPr>
          <w:rFonts w:ascii="宋体" w:hAnsi="宋体"/>
          <w:sz w:val="24"/>
          <w:szCs w:val="24"/>
        </w:rPr>
        <w:t>5.3.</w:t>
      </w:r>
      <w:r>
        <w:rPr>
          <w:rFonts w:ascii="宋体" w:hAnsi="宋体" w:hint="eastAsia"/>
          <w:sz w:val="24"/>
          <w:szCs w:val="24"/>
        </w:rPr>
        <w:t>3.5</w:t>
      </w:r>
      <w:r>
        <w:rPr>
          <w:rFonts w:ascii="宋体" w:hAnsi="宋体" w:hint="eastAsia"/>
          <w:sz w:val="24"/>
          <w:szCs w:val="24"/>
        </w:rPr>
        <w:t>、旋喷</w:t>
      </w:r>
    </w:p>
    <w:p w:rsidR="00B37071">
      <w:pPr>
        <w:pStyle w:val="PlainText"/>
        <w:spacing w:line="360" w:lineRule="auto"/>
        <w:ind w:firstLine="555"/>
        <w:rPr>
          <w:rFonts w:hAnsi="宋体"/>
        </w:rPr>
        <w:sectPr>
          <w:type w:val="nextPage"/>
          <w:pgSz w:w="11907" w:h="16840"/>
          <w:pgMar w:top="1418" w:right="1123" w:bottom="1418" w:left="1418" w:header="851" w:footer="851" w:gutter="0"/>
          <w:pgNumType w:fmt="numberInDash" w:start="11"/>
          <w:cols w:space="708"/>
          <w:titlePg w:val="0"/>
          <w:docGrid w:linePitch="312"/>
        </w:sectPr>
      </w:pPr>
      <w:r>
        <w:rPr>
          <w:rFonts w:hAnsi="宋体" w:hint="eastAsia"/>
        </w:rPr>
        <w:t>当旋喷管插入至预定的深度时，应先原地旋转旋喷管，输入水泥浆液，待泵压升至设计值时，按设计提升速度提升旋喷管，进行由下而上旋喷。</w:t>
      </w:r>
    </w:p>
    <w:p w:rsidR="00B37071">
      <w:pPr>
        <w:pStyle w:val="Normal0"/>
        <w:autoSpaceDE w:val="0"/>
        <w:autoSpaceDN w:val="0"/>
        <w:adjustRightInd w:val="0"/>
        <w:spacing w:line="360" w:lineRule="auto"/>
        <w:jc w:val="left"/>
        <w:rPr>
          <w:rFonts w:ascii="宋体" w:hAnsi="宋体"/>
          <w:sz w:val="24"/>
          <w:szCs w:val="24"/>
        </w:rPr>
      </w:pPr>
      <w:r>
        <w:rPr>
          <w:rFonts w:ascii="宋体" w:hAnsi="宋体"/>
          <w:sz w:val="24"/>
          <w:szCs w:val="24"/>
        </w:rPr>
        <w:t>5.3.</w:t>
      </w:r>
      <w:r>
        <w:rPr>
          <w:rFonts w:ascii="宋体" w:hAnsi="宋体" w:hint="eastAsia"/>
          <w:sz w:val="24"/>
          <w:szCs w:val="24"/>
        </w:rPr>
        <w:t>3.6</w:t>
      </w:r>
      <w:r>
        <w:rPr>
          <w:rFonts w:ascii="宋体" w:hAnsi="宋体" w:hint="eastAsia"/>
          <w:sz w:val="24"/>
          <w:szCs w:val="24"/>
        </w:rPr>
        <w:t>、冲洗移机</w:t>
      </w:r>
    </w:p>
    <w:p w:rsidR="00B37071">
      <w:pPr>
        <w:pStyle w:val="PlainText"/>
        <w:spacing w:line="360" w:lineRule="auto"/>
        <w:ind w:firstLine="555"/>
        <w:rPr>
          <w:rFonts w:hAnsi="宋体"/>
        </w:rPr>
      </w:pPr>
      <w:r>
        <w:rPr>
          <w:rFonts w:hint="eastAsia"/>
        </w:rPr>
        <w:t>每根桩施工完毕，应用清水把泥浆泵和管路内的残留浆液全部喷射排出；钻机及其他设备，应用低压水冲洗，移动机械设备到下一桩位。</w:t>
      </w:r>
    </w:p>
    <w:p w:rsidR="00B37071">
      <w:pPr>
        <w:pStyle w:val="Normal0"/>
        <w:spacing w:line="360" w:lineRule="auto"/>
        <w:outlineLvl w:val="1"/>
        <w:rPr>
          <w:rFonts w:ascii="宋体" w:hAnsi="宋体"/>
          <w:sz w:val="24"/>
          <w:szCs w:val="24"/>
        </w:rPr>
      </w:pPr>
      <w:bookmarkStart w:id="57" w:name="_Toc360632733"/>
      <w:r>
        <w:rPr>
          <w:rFonts w:ascii="宋体" w:hAnsi="宋体"/>
          <w:sz w:val="24"/>
          <w:szCs w:val="24"/>
        </w:rPr>
        <w:t>5.</w:t>
      </w:r>
      <w:r>
        <w:rPr>
          <w:rFonts w:ascii="宋体" w:hAnsi="宋体" w:hint="eastAsia"/>
          <w:sz w:val="24"/>
          <w:szCs w:val="24"/>
        </w:rPr>
        <w:t>4</w:t>
      </w:r>
      <w:r>
        <w:rPr>
          <w:rFonts w:ascii="宋体" w:hAnsi="宋体" w:hint="eastAsia"/>
          <w:sz w:val="24"/>
          <w:szCs w:val="24"/>
        </w:rPr>
        <w:t>质量检验评定标准</w:t>
      </w:r>
      <w:bookmarkEnd w:id="57"/>
      <w:r>
        <w:rPr>
          <w:rFonts w:ascii="宋体" w:hAnsi="宋体" w:hint="eastAsia"/>
          <w:sz w:val="24"/>
          <w:szCs w:val="24"/>
        </w:rPr>
        <w:t xml:space="preserve">   </w:t>
      </w:r>
    </w:p>
    <w:p w:rsidR="00B37071">
      <w:pPr>
        <w:pStyle w:val="Normal0"/>
        <w:spacing w:line="360" w:lineRule="auto"/>
        <w:ind w:firstLine="1793" w:firstLineChars="747"/>
        <w:outlineLvl w:val="1"/>
        <w:rPr>
          <w:rFonts w:ascii="宋体" w:hAnsi="宋体"/>
          <w:sz w:val="24"/>
          <w:szCs w:val="24"/>
        </w:rPr>
      </w:pPr>
      <w:bookmarkStart w:id="58" w:name="_Toc359923109"/>
      <w:bookmarkStart w:id="59" w:name="_Toc360632734"/>
      <w:r>
        <w:rPr>
          <w:rFonts w:ascii="宋体" w:hAnsi="宋体" w:hint="eastAsia"/>
          <w:b/>
          <w:bCs/>
          <w:sz w:val="24"/>
          <w:szCs w:val="24"/>
        </w:rPr>
        <w:t>水泥搅拌桩及高压旋喷桩质量检验评定标准</w:t>
      </w:r>
      <w:r>
        <w:rPr>
          <w:rFonts w:ascii="宋体" w:hAnsi="宋体" w:hint="eastAsia"/>
          <w:b/>
          <w:bCs/>
          <w:sz w:val="24"/>
          <w:szCs w:val="24"/>
        </w:rPr>
        <w:t xml:space="preserve">             </w:t>
      </w:r>
      <w:r>
        <w:rPr>
          <w:rFonts w:ascii="宋体" w:hAnsi="宋体" w:hint="eastAsia"/>
          <w:bCs/>
          <w:sz w:val="24"/>
          <w:szCs w:val="24"/>
        </w:rPr>
        <w:t>表</w:t>
      </w:r>
      <w:r>
        <w:rPr>
          <w:rFonts w:ascii="宋体" w:hAnsi="宋体" w:hint="eastAsia"/>
          <w:bCs/>
          <w:sz w:val="24"/>
          <w:szCs w:val="24"/>
        </w:rPr>
        <w:t>5.4-7</w:t>
      </w:r>
      <w:bookmarkEnd w:id="58"/>
      <w:bookmarkEnd w:id="59"/>
    </w:p>
    <w:tbl>
      <w:tblPr>
        <w:tblStyle w:val="TableNormal"/>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4" w:space="0" w:color="auto"/>
          <w:insideV w:val="single" w:sz="4" w:space="0" w:color="auto"/>
        </w:tblBorders>
        <w:tblLayout w:type="fixed"/>
        <w:tblLook w:val="0000"/>
      </w:tblPr>
      <w:tblGrid>
        <w:gridCol w:w="1060"/>
        <w:gridCol w:w="2705"/>
        <w:gridCol w:w="3192"/>
        <w:gridCol w:w="2307"/>
      </w:tblGrid>
      <w:tr>
        <w:tblPrEx>
          <w:tblW w:w="0" w:type="auto"/>
          <w:jc w:val="center"/>
          <w:tblBorders>
            <w:top w:val="thinThickSmallGap" w:sz="24" w:space="0" w:color="auto"/>
            <w:left w:val="thinThickSmallGap" w:sz="24" w:space="0" w:color="auto"/>
            <w:bottom w:val="thinThickSmallGap" w:sz="24" w:space="0" w:color="auto"/>
            <w:right w:val="thinThickSmallGap" w:sz="24" w:space="0" w:color="auto"/>
            <w:insideH w:val="single" w:sz="4" w:space="0" w:color="auto"/>
            <w:insideV w:val="single" w:sz="4" w:space="0" w:color="auto"/>
          </w:tblBorders>
          <w:tblLayout w:type="fixed"/>
          <w:tblLook w:val="0000"/>
        </w:tblPrEx>
        <w:trPr>
          <w:trHeight w:val="189"/>
          <w:jc w:val="center"/>
        </w:trPr>
        <w:tc>
          <w:tcPr>
            <w:tcW w:w="1060" w:type="dxa"/>
            <w:tcBorders>
              <w:top w:val="thinThickSmallGap" w:sz="24" w:space="0" w:color="auto"/>
              <w:bottom w:val="single" w:sz="4" w:space="0" w:color="auto"/>
            </w:tcBorders>
            <w:shd w:val="clear" w:color="auto" w:fill="00FFFF"/>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项</w:t>
            </w:r>
            <w:r>
              <w:rPr>
                <w:rFonts w:ascii="新宋体" w:hAnsi="新宋体"/>
                <w:sz w:val="24"/>
                <w:szCs w:val="24"/>
              </w:rPr>
              <w:t xml:space="preserve"> </w:t>
            </w:r>
            <w:r>
              <w:rPr>
                <w:rFonts w:ascii="新宋体" w:hAnsi="新宋体" w:hint="eastAsia"/>
                <w:sz w:val="24"/>
                <w:szCs w:val="24"/>
              </w:rPr>
              <w:t>次</w:t>
            </w:r>
          </w:p>
        </w:tc>
        <w:tc>
          <w:tcPr>
            <w:tcW w:w="2705" w:type="dxa"/>
            <w:tcBorders>
              <w:top w:val="thinThickSmallGap" w:sz="24" w:space="0" w:color="auto"/>
              <w:bottom w:val="single" w:sz="4" w:space="0" w:color="auto"/>
            </w:tcBorders>
            <w:shd w:val="clear" w:color="auto" w:fill="00FFFF"/>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检</w:t>
            </w:r>
            <w:r>
              <w:rPr>
                <w:rFonts w:ascii="新宋体" w:hAnsi="新宋体" w:hint="eastAsia"/>
                <w:sz w:val="24"/>
                <w:szCs w:val="24"/>
              </w:rPr>
              <w:t>查</w:t>
            </w:r>
            <w:r>
              <w:rPr>
                <w:rFonts w:ascii="新宋体" w:hAnsi="新宋体"/>
                <w:sz w:val="24"/>
                <w:szCs w:val="24"/>
              </w:rPr>
              <w:t>项目</w:t>
            </w:r>
          </w:p>
        </w:tc>
        <w:tc>
          <w:tcPr>
            <w:tcW w:w="3192" w:type="dxa"/>
            <w:tcBorders>
              <w:top w:val="thinThickSmallGap" w:sz="24" w:space="0" w:color="auto"/>
              <w:bottom w:val="single" w:sz="4" w:space="0" w:color="auto"/>
            </w:tcBorders>
            <w:shd w:val="clear" w:color="auto" w:fill="00FFFF"/>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规</w:t>
            </w:r>
            <w:r>
              <w:rPr>
                <w:rFonts w:ascii="新宋体" w:hAnsi="新宋体" w:hint="eastAsia"/>
                <w:sz w:val="24"/>
                <w:szCs w:val="24"/>
              </w:rPr>
              <w:t>定值及</w:t>
            </w:r>
            <w:r>
              <w:rPr>
                <w:rFonts w:ascii="新宋体" w:hAnsi="新宋体"/>
                <w:sz w:val="24"/>
                <w:szCs w:val="24"/>
              </w:rPr>
              <w:t>允许</w:t>
            </w:r>
            <w:r>
              <w:rPr>
                <w:rFonts w:ascii="新宋体" w:hAnsi="新宋体" w:hint="eastAsia"/>
                <w:sz w:val="24"/>
                <w:szCs w:val="24"/>
              </w:rPr>
              <w:t>偏差</w:t>
            </w:r>
          </w:p>
        </w:tc>
        <w:tc>
          <w:tcPr>
            <w:tcW w:w="2307" w:type="dxa"/>
            <w:tcBorders>
              <w:top w:val="thinThickSmallGap" w:sz="24" w:space="0" w:color="auto"/>
              <w:bottom w:val="single" w:sz="4" w:space="0" w:color="auto"/>
            </w:tcBorders>
            <w:shd w:val="clear" w:color="auto" w:fill="00FFFF"/>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检</w:t>
            </w:r>
            <w:r>
              <w:rPr>
                <w:rFonts w:ascii="新宋体" w:hAnsi="新宋体" w:hint="eastAsia"/>
                <w:sz w:val="24"/>
                <w:szCs w:val="24"/>
              </w:rPr>
              <w:t>查方法</w:t>
            </w:r>
          </w:p>
        </w:tc>
      </w:tr>
      <w:tr>
        <w:tblPrEx>
          <w:tblW w:w="0" w:type="auto"/>
          <w:jc w:val="center"/>
          <w:tblLayout w:type="fixed"/>
          <w:tblLook w:val="0000"/>
        </w:tblPrEx>
        <w:trPr>
          <w:trHeight w:val="152"/>
          <w:jc w:val="center"/>
        </w:trPr>
        <w:tc>
          <w:tcPr>
            <w:tcW w:w="1060" w:type="dxa"/>
            <w:tcBorders>
              <w:top w:val="single" w:sz="4" w:space="0" w:color="auto"/>
            </w:tcBorders>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1</w:t>
            </w:r>
          </w:p>
        </w:tc>
        <w:tc>
          <w:tcPr>
            <w:tcW w:w="2705" w:type="dxa"/>
            <w:tcBorders>
              <w:top w:val="single" w:sz="4" w:space="0" w:color="auto"/>
            </w:tcBorders>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桩</w:t>
            </w:r>
            <w:r>
              <w:rPr>
                <w:rFonts w:ascii="新宋体" w:hAnsi="新宋体" w:hint="eastAsia"/>
                <w:sz w:val="24"/>
                <w:szCs w:val="24"/>
              </w:rPr>
              <w:t>距（</w:t>
            </w:r>
            <w:r>
              <w:rPr>
                <w:rFonts w:ascii="新宋体" w:hAnsi="新宋体"/>
                <w:sz w:val="24"/>
                <w:szCs w:val="24"/>
              </w:rPr>
              <w:t>mm</w:t>
            </w:r>
            <w:r>
              <w:rPr>
                <w:rFonts w:ascii="新宋体" w:hAnsi="新宋体" w:hint="eastAsia"/>
                <w:sz w:val="24"/>
                <w:szCs w:val="24"/>
              </w:rPr>
              <w:t>）</w:t>
            </w:r>
          </w:p>
        </w:tc>
        <w:tc>
          <w:tcPr>
            <w:tcW w:w="3192" w:type="dxa"/>
            <w:tcBorders>
              <w:top w:val="single" w:sz="4" w:space="0" w:color="auto"/>
            </w:tcBorders>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w:t>
            </w:r>
            <w:r>
              <w:rPr>
                <w:rFonts w:ascii="新宋体" w:hAnsi="新宋体"/>
                <w:sz w:val="24"/>
                <w:szCs w:val="24"/>
              </w:rPr>
              <w:t>50mm</w:t>
            </w:r>
          </w:p>
        </w:tc>
        <w:tc>
          <w:tcPr>
            <w:tcW w:w="2307" w:type="dxa"/>
            <w:tcBorders>
              <w:top w:val="single" w:sz="4" w:space="0" w:color="auto"/>
            </w:tcBorders>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实测</w:t>
            </w:r>
          </w:p>
        </w:tc>
      </w:tr>
      <w:tr>
        <w:tblPrEx>
          <w:tblW w:w="0" w:type="auto"/>
          <w:jc w:val="center"/>
          <w:tblLayout w:type="fixed"/>
          <w:tblLook w:val="0000"/>
        </w:tblPrEx>
        <w:trPr>
          <w:trHeight w:val="459"/>
          <w:jc w:val="center"/>
        </w:trPr>
        <w:tc>
          <w:tcPr>
            <w:tcW w:w="1060"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2</w:t>
            </w:r>
          </w:p>
        </w:tc>
        <w:tc>
          <w:tcPr>
            <w:tcW w:w="2705"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桩径</w:t>
            </w:r>
            <w:r>
              <w:rPr>
                <w:rFonts w:ascii="新宋体" w:hAnsi="新宋体" w:hint="eastAsia"/>
                <w:sz w:val="24"/>
                <w:szCs w:val="24"/>
              </w:rPr>
              <w:t>（</w:t>
            </w:r>
            <w:r>
              <w:rPr>
                <w:rFonts w:ascii="新宋体" w:hAnsi="新宋体"/>
                <w:sz w:val="24"/>
                <w:szCs w:val="24"/>
              </w:rPr>
              <w:t>cm</w:t>
            </w:r>
            <w:r>
              <w:rPr>
                <w:rFonts w:ascii="新宋体" w:hAnsi="新宋体" w:hint="eastAsia"/>
                <w:sz w:val="24"/>
                <w:szCs w:val="24"/>
              </w:rPr>
              <w:t>）</w:t>
            </w:r>
          </w:p>
        </w:tc>
        <w:tc>
          <w:tcPr>
            <w:tcW w:w="3192"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不小于</w:t>
            </w:r>
            <w:r>
              <w:rPr>
                <w:rFonts w:ascii="新宋体" w:hAnsi="新宋体"/>
                <w:sz w:val="24"/>
                <w:szCs w:val="24"/>
              </w:rPr>
              <w:t>设计</w:t>
            </w:r>
            <w:r>
              <w:rPr>
                <w:rFonts w:ascii="新宋体" w:hAnsi="新宋体" w:hint="eastAsia"/>
                <w:sz w:val="24"/>
                <w:szCs w:val="24"/>
              </w:rPr>
              <w:t>值（</w:t>
            </w:r>
            <w:r>
              <w:rPr>
                <w:rFonts w:ascii="新宋体" w:hAnsi="新宋体"/>
                <w:sz w:val="24"/>
                <w:szCs w:val="24"/>
              </w:rPr>
              <w:t>50cm</w:t>
            </w:r>
            <w:r>
              <w:rPr>
                <w:rFonts w:ascii="新宋体" w:hAnsi="新宋体" w:hint="eastAsia"/>
                <w:sz w:val="24"/>
                <w:szCs w:val="24"/>
              </w:rPr>
              <w:t>）</w:t>
            </w:r>
          </w:p>
        </w:tc>
        <w:tc>
          <w:tcPr>
            <w:tcW w:w="2307"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实测</w:t>
            </w:r>
          </w:p>
        </w:tc>
      </w:tr>
      <w:tr>
        <w:tblPrEx>
          <w:tblW w:w="0" w:type="auto"/>
          <w:jc w:val="center"/>
          <w:tblLayout w:type="fixed"/>
          <w:tblLook w:val="0000"/>
        </w:tblPrEx>
        <w:trPr>
          <w:trHeight w:val="459"/>
          <w:jc w:val="center"/>
        </w:trPr>
        <w:tc>
          <w:tcPr>
            <w:tcW w:w="1060"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3</w:t>
            </w:r>
          </w:p>
        </w:tc>
        <w:tc>
          <w:tcPr>
            <w:tcW w:w="2705"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桩长</w:t>
            </w:r>
            <w:r>
              <w:rPr>
                <w:rFonts w:ascii="新宋体" w:hAnsi="新宋体" w:hint="eastAsia"/>
                <w:sz w:val="24"/>
                <w:szCs w:val="24"/>
              </w:rPr>
              <w:t>（</w:t>
            </w:r>
            <w:r>
              <w:rPr>
                <w:rFonts w:ascii="新宋体" w:hAnsi="新宋体"/>
                <w:sz w:val="24"/>
                <w:szCs w:val="24"/>
              </w:rPr>
              <w:t>m</w:t>
            </w:r>
            <w:r>
              <w:rPr>
                <w:rFonts w:ascii="新宋体" w:hAnsi="新宋体" w:hint="eastAsia"/>
                <w:sz w:val="24"/>
                <w:szCs w:val="24"/>
              </w:rPr>
              <w:t>）</w:t>
            </w:r>
          </w:p>
        </w:tc>
        <w:tc>
          <w:tcPr>
            <w:tcW w:w="3192"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不小于</w:t>
            </w:r>
            <w:r>
              <w:rPr>
                <w:rFonts w:ascii="新宋体" w:hAnsi="新宋体"/>
                <w:sz w:val="24"/>
                <w:szCs w:val="24"/>
              </w:rPr>
              <w:t>设计</w:t>
            </w:r>
            <w:r>
              <w:rPr>
                <w:rFonts w:ascii="新宋体" w:hAnsi="新宋体" w:hint="eastAsia"/>
                <w:sz w:val="24"/>
                <w:szCs w:val="24"/>
              </w:rPr>
              <w:t>值</w:t>
            </w:r>
          </w:p>
        </w:tc>
        <w:tc>
          <w:tcPr>
            <w:tcW w:w="2307"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查施工</w:t>
            </w:r>
            <w:r>
              <w:rPr>
                <w:rFonts w:ascii="新宋体" w:hAnsi="新宋体"/>
                <w:sz w:val="24"/>
                <w:szCs w:val="24"/>
              </w:rPr>
              <w:t>记录</w:t>
            </w:r>
          </w:p>
        </w:tc>
      </w:tr>
      <w:tr>
        <w:tblPrEx>
          <w:tblW w:w="0" w:type="auto"/>
          <w:jc w:val="center"/>
          <w:tblLayout w:type="fixed"/>
          <w:tblLook w:val="0000"/>
        </w:tblPrEx>
        <w:trPr>
          <w:trHeight w:val="459"/>
          <w:jc w:val="center"/>
        </w:trPr>
        <w:tc>
          <w:tcPr>
            <w:tcW w:w="1060"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4</w:t>
            </w:r>
          </w:p>
        </w:tc>
        <w:tc>
          <w:tcPr>
            <w:tcW w:w="2705"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垂直度（</w:t>
            </w:r>
            <w:r>
              <w:rPr>
                <w:rFonts w:ascii="新宋体" w:hAnsi="新宋体"/>
                <w:sz w:val="24"/>
                <w:szCs w:val="24"/>
              </w:rPr>
              <w:t>%</w:t>
            </w:r>
            <w:r>
              <w:rPr>
                <w:rFonts w:ascii="新宋体" w:hAnsi="新宋体" w:hint="eastAsia"/>
                <w:sz w:val="24"/>
                <w:szCs w:val="24"/>
              </w:rPr>
              <w:t>）</w:t>
            </w:r>
          </w:p>
        </w:tc>
        <w:tc>
          <w:tcPr>
            <w:tcW w:w="3192" w:type="dxa"/>
          </w:tcPr>
          <w:p w:rsidR="00B37071">
            <w:pPr>
              <w:pStyle w:val="Normal0"/>
              <w:adjustRightInd w:val="0"/>
              <w:jc w:val="center"/>
              <w:textAlignment w:val="baseline"/>
              <w:rPr>
                <w:rFonts w:ascii="新宋体" w:eastAsia="新宋体" w:hAnsi="新宋体"/>
                <w:sz w:val="24"/>
                <w:szCs w:val="24"/>
              </w:rPr>
            </w:pPr>
            <w:r>
              <w:rPr>
                <w:rFonts w:ascii="新宋体" w:eastAsia="新宋体" w:hAnsi="新宋体" w:hint="eastAsia"/>
                <w:sz w:val="24"/>
                <w:szCs w:val="24"/>
              </w:rPr>
              <w:t>≤</w:t>
            </w:r>
            <w:r>
              <w:rPr>
                <w:rFonts w:ascii="新宋体" w:hAnsi="新宋体"/>
                <w:sz w:val="24"/>
                <w:szCs w:val="24"/>
              </w:rPr>
              <w:t>1%</w:t>
            </w:r>
          </w:p>
        </w:tc>
        <w:tc>
          <w:tcPr>
            <w:tcW w:w="2307"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查施工</w:t>
            </w:r>
            <w:r>
              <w:rPr>
                <w:rFonts w:ascii="新宋体" w:hAnsi="新宋体"/>
                <w:sz w:val="24"/>
                <w:szCs w:val="24"/>
              </w:rPr>
              <w:t>记录</w:t>
            </w:r>
          </w:p>
        </w:tc>
      </w:tr>
      <w:tr>
        <w:tblPrEx>
          <w:tblW w:w="0" w:type="auto"/>
          <w:jc w:val="center"/>
          <w:tblLayout w:type="fixed"/>
          <w:tblLook w:val="0000"/>
        </w:tblPrEx>
        <w:trPr>
          <w:trHeight w:val="459"/>
          <w:jc w:val="center"/>
        </w:trPr>
        <w:tc>
          <w:tcPr>
            <w:tcW w:w="1060"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5</w:t>
            </w:r>
          </w:p>
        </w:tc>
        <w:tc>
          <w:tcPr>
            <w:tcW w:w="2705" w:type="dxa"/>
          </w:tcPr>
          <w:p w:rsidR="00B37071">
            <w:pPr>
              <w:pStyle w:val="Normal0"/>
              <w:adjustRightInd w:val="0"/>
              <w:jc w:val="center"/>
              <w:textAlignment w:val="baseline"/>
              <w:rPr>
                <w:rFonts w:ascii="新宋体" w:eastAsia="新宋体" w:hAnsi="新宋体"/>
                <w:sz w:val="24"/>
                <w:szCs w:val="24"/>
              </w:rPr>
            </w:pPr>
            <w:r>
              <w:rPr>
                <w:rFonts w:ascii="新宋体" w:hAnsi="新宋体"/>
                <w:sz w:val="24"/>
                <w:szCs w:val="24"/>
              </w:rPr>
              <w:t>单桩</w:t>
            </w:r>
            <w:r>
              <w:rPr>
                <w:rFonts w:ascii="新宋体" w:hAnsi="新宋体" w:hint="eastAsia"/>
                <w:sz w:val="24"/>
                <w:szCs w:val="24"/>
              </w:rPr>
              <w:t>水泥用量（</w:t>
            </w:r>
            <w:r>
              <w:rPr>
                <w:rFonts w:ascii="新宋体" w:hAnsi="新宋体"/>
                <w:sz w:val="24"/>
                <w:szCs w:val="24"/>
              </w:rPr>
              <w:t>%</w:t>
            </w:r>
            <w:r>
              <w:rPr>
                <w:rFonts w:ascii="新宋体" w:hAnsi="新宋体" w:hint="eastAsia"/>
                <w:sz w:val="24"/>
                <w:szCs w:val="24"/>
              </w:rPr>
              <w:t>）</w:t>
            </w:r>
          </w:p>
        </w:tc>
        <w:tc>
          <w:tcPr>
            <w:tcW w:w="3192"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符合</w:t>
            </w:r>
            <w:r>
              <w:rPr>
                <w:rFonts w:ascii="新宋体" w:hAnsi="新宋体"/>
                <w:sz w:val="24"/>
                <w:szCs w:val="24"/>
              </w:rPr>
              <w:t>设计</w:t>
            </w:r>
          </w:p>
        </w:tc>
        <w:tc>
          <w:tcPr>
            <w:tcW w:w="2307" w:type="dxa"/>
          </w:tcPr>
          <w:p w:rsidR="00B37071">
            <w:pPr>
              <w:pStyle w:val="Normal0"/>
              <w:adjustRightInd w:val="0"/>
              <w:jc w:val="center"/>
              <w:textAlignment w:val="baseline"/>
              <w:rPr>
                <w:rFonts w:ascii="新宋体" w:eastAsia="新宋体" w:hAnsi="新宋体"/>
                <w:sz w:val="24"/>
                <w:szCs w:val="24"/>
              </w:rPr>
            </w:pPr>
            <w:r>
              <w:rPr>
                <w:rFonts w:ascii="新宋体" w:hAnsi="新宋体" w:hint="eastAsia"/>
                <w:sz w:val="24"/>
                <w:szCs w:val="24"/>
              </w:rPr>
              <w:t>查施工</w:t>
            </w:r>
            <w:r>
              <w:rPr>
                <w:rFonts w:ascii="新宋体" w:hAnsi="新宋体"/>
                <w:sz w:val="24"/>
                <w:szCs w:val="24"/>
              </w:rPr>
              <w:t>记录</w:t>
            </w:r>
          </w:p>
        </w:tc>
      </w:tr>
    </w:tbl>
    <w:p w:rsidR="00B37071">
      <w:pPr>
        <w:pStyle w:val="Normal0"/>
        <w:spacing w:line="360" w:lineRule="auto"/>
        <w:outlineLvl w:val="0"/>
        <w:rPr>
          <w:rFonts w:ascii="宋体" w:hAnsi="宋体"/>
          <w:b/>
          <w:bCs/>
          <w:sz w:val="28"/>
        </w:rPr>
      </w:pPr>
      <w:bookmarkStart w:id="60" w:name="_Toc360632735"/>
      <w:r>
        <w:rPr>
          <w:rFonts w:hint="eastAsia"/>
          <w:b/>
          <w:sz w:val="28"/>
          <w:szCs w:val="28"/>
        </w:rPr>
        <w:t>6</w:t>
      </w:r>
      <w:r>
        <w:rPr>
          <w:rFonts w:hint="eastAsia"/>
          <w:b/>
          <w:sz w:val="28"/>
          <w:szCs w:val="28"/>
        </w:rPr>
        <w:t>、</w:t>
      </w:r>
      <w:r>
        <w:rPr>
          <w:rFonts w:ascii="宋体" w:hAnsi="宋体" w:hint="eastAsia"/>
          <w:b/>
          <w:bCs/>
          <w:sz w:val="28"/>
        </w:rPr>
        <w:t>各项管理及保证措施</w:t>
      </w:r>
      <w:bookmarkEnd w:id="60"/>
    </w:p>
    <w:p w:rsidR="00B37071">
      <w:pPr>
        <w:pStyle w:val="Normal0"/>
        <w:spacing w:before="120" w:beforeLines="50" w:after="120" w:afterLines="50" w:line="360" w:lineRule="auto"/>
        <w:outlineLvl w:val="1"/>
        <w:rPr>
          <w:rFonts w:ascii="宋体" w:hAnsi="宋体"/>
          <w:bCs/>
          <w:spacing w:val="6"/>
          <w:sz w:val="24"/>
          <w:szCs w:val="24"/>
        </w:rPr>
      </w:pPr>
      <w:bookmarkStart w:id="61" w:name="_Toc323330388"/>
      <w:bookmarkStart w:id="62" w:name="_Toc360632736"/>
      <w:r>
        <w:rPr>
          <w:rFonts w:ascii="宋体" w:hAnsi="宋体" w:hint="eastAsia"/>
          <w:bCs/>
          <w:spacing w:val="6"/>
          <w:sz w:val="24"/>
          <w:szCs w:val="24"/>
        </w:rPr>
        <w:t>6</w:t>
      </w:r>
      <w:r>
        <w:rPr>
          <w:rFonts w:ascii="宋体" w:hAnsi="宋体"/>
          <w:bCs/>
          <w:spacing w:val="6"/>
          <w:sz w:val="24"/>
          <w:szCs w:val="24"/>
        </w:rPr>
        <w:t>.1</w:t>
      </w:r>
      <w:r>
        <w:rPr>
          <w:rFonts w:ascii="宋体" w:hAnsi="宋体" w:hint="eastAsia"/>
          <w:bCs/>
          <w:spacing w:val="6"/>
          <w:sz w:val="24"/>
          <w:szCs w:val="24"/>
        </w:rPr>
        <w:t>、软基处理工程质量、环境和职业健康安全管理体系职能分配表</w:t>
      </w:r>
      <w:bookmarkEnd w:id="61"/>
      <w:bookmarkEnd w:id="62"/>
    </w:p>
    <w:p w:rsidR="00B37071">
      <w:pPr>
        <w:pStyle w:val="Normal0"/>
        <w:spacing w:before="120" w:beforeLines="50" w:after="120" w:afterLines="50" w:line="300" w:lineRule="exact"/>
        <w:jc w:val="center"/>
        <w:rPr>
          <w:rFonts w:eastAsia="黑体"/>
          <w:b/>
          <w:bCs/>
          <w:color w:val="000000"/>
          <w:sz w:val="30"/>
          <w:szCs w:val="30"/>
        </w:rPr>
      </w:pPr>
      <w:r>
        <w:rPr>
          <w:rFonts w:eastAsia="黑体" w:hint="eastAsia"/>
          <w:b/>
          <w:bCs/>
          <w:color w:val="000000"/>
          <w:sz w:val="30"/>
          <w:szCs w:val="30"/>
        </w:rPr>
        <w:t>项目部质量管理体系职责分配表</w:t>
      </w:r>
    </w:p>
    <w:p w:rsidR="00B37071">
      <w:pPr>
        <w:pStyle w:val="Normal0"/>
        <w:spacing w:before="120" w:beforeLines="50" w:after="120" w:afterLines="50" w:line="220" w:lineRule="exact"/>
        <w:ind w:left="-158" w:hanging="472" w:leftChars="-300" w:hangingChars="262"/>
        <w:jc w:val="center"/>
        <w:rPr>
          <w:rFonts w:ascii="宋体" w:hAnsi="宋体"/>
          <w:b/>
          <w:bCs/>
          <w:color w:val="000000"/>
          <w:sz w:val="18"/>
          <w:szCs w:val="18"/>
        </w:rPr>
      </w:pPr>
      <w:r>
        <w:rPr>
          <w:rFonts w:ascii="宋体" w:hAnsi="宋体" w:hint="eastAsia"/>
          <w:bCs/>
          <w:color w:val="000000"/>
          <w:sz w:val="18"/>
          <w:szCs w:val="18"/>
        </w:rPr>
        <w:t>表中</w:t>
      </w:r>
      <w:r>
        <w:rPr>
          <w:rFonts w:ascii="宋体" w:hAnsi="宋体" w:hint="eastAsia"/>
          <w:bCs/>
          <w:color w:val="000000"/>
          <w:sz w:val="18"/>
          <w:szCs w:val="18"/>
        </w:rPr>
        <w:t>:</w:t>
      </w:r>
      <w:r>
        <w:rPr>
          <w:rFonts w:ascii="宋体" w:hAnsi="宋体" w:hint="eastAsia"/>
          <w:color w:val="000000"/>
          <w:sz w:val="18"/>
          <w:szCs w:val="18"/>
        </w:rPr>
        <w:t>●：主控职责</w:t>
      </w:r>
      <w:r>
        <w:rPr>
          <w:rFonts w:ascii="宋体" w:hAnsi="宋体" w:hint="eastAsia"/>
          <w:color w:val="000000"/>
          <w:sz w:val="18"/>
          <w:szCs w:val="18"/>
        </w:rPr>
        <w:t xml:space="preserve">   </w:t>
      </w:r>
      <w:r>
        <w:rPr>
          <w:rFonts w:ascii="宋体" w:hAnsi="宋体" w:hint="eastAsia"/>
          <w:color w:val="000000"/>
          <w:sz w:val="18"/>
          <w:szCs w:val="18"/>
        </w:rPr>
        <w:t>○：相关职责</w:t>
      </w:r>
      <w:r>
        <w:rPr>
          <w:rFonts w:ascii="宋体" w:hAnsi="宋体" w:hint="eastAsia"/>
          <w:color w:val="000000"/>
          <w:sz w:val="18"/>
          <w:szCs w:val="18"/>
        </w:rPr>
        <w:t xml:space="preserve">   </w:t>
      </w:r>
      <w:r>
        <w:rPr>
          <w:rFonts w:ascii="宋体" w:hAnsi="宋体" w:hint="eastAsia"/>
          <w:color w:val="000000"/>
          <w:sz w:val="18"/>
          <w:szCs w:val="18"/>
        </w:rPr>
        <w:t>▲：主要责任人</w:t>
      </w:r>
      <w:r>
        <w:rPr>
          <w:rFonts w:ascii="宋体" w:hAnsi="宋体" w:hint="eastAsia"/>
          <w:color w:val="000000"/>
          <w:sz w:val="18"/>
          <w:szCs w:val="18"/>
        </w:rPr>
        <w:t xml:space="preserve"> </w:t>
      </w:r>
      <w:r>
        <w:rPr>
          <w:rFonts w:ascii="宋体" w:hAnsi="宋体" w:hint="eastAsia"/>
          <w:color w:val="000000"/>
          <w:sz w:val="18"/>
          <w:szCs w:val="18"/>
        </w:rPr>
        <w:t>△：相关责任人</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
      <w:tblGrid>
        <w:gridCol w:w="1071"/>
        <w:gridCol w:w="3158"/>
        <w:gridCol w:w="960"/>
        <w:gridCol w:w="795"/>
        <w:gridCol w:w="796"/>
        <w:gridCol w:w="796"/>
        <w:gridCol w:w="796"/>
        <w:gridCol w:w="796"/>
        <w:gridCol w:w="796"/>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Ex>
        <w:trPr>
          <w:trHeight w:val="438"/>
          <w:jc w:val="center"/>
        </w:trPr>
        <w:tc>
          <w:tcPr>
            <w:tcW w:w="1071" w:type="dxa"/>
            <w:vMerge w:val="restart"/>
            <w:tcBorders>
              <w:top w:val="single" w:sz="12" w:space="0" w:color="auto"/>
              <w:bottom w:val="single" w:sz="8" w:space="0" w:color="auto"/>
            </w:tcBorders>
            <w:shd w:val="clear" w:color="auto" w:fill="00FFFF"/>
            <w:vAlign w:val="center"/>
          </w:tcPr>
          <w:p w:rsidR="00B37071">
            <w:pPr>
              <w:pStyle w:val="Normal0"/>
              <w:spacing w:line="300" w:lineRule="exact"/>
              <w:jc w:val="center"/>
              <w:rPr>
                <w:b/>
                <w:bCs/>
                <w:color w:val="000000"/>
                <w:sz w:val="18"/>
                <w:szCs w:val="18"/>
              </w:rPr>
            </w:pPr>
            <w:r>
              <w:rPr>
                <w:rFonts w:hint="eastAsia"/>
                <w:b/>
                <w:bCs/>
                <w:color w:val="000000"/>
                <w:sz w:val="18"/>
                <w:szCs w:val="18"/>
              </w:rPr>
              <w:t>条款号</w:t>
            </w:r>
          </w:p>
        </w:tc>
        <w:tc>
          <w:tcPr>
            <w:tcW w:w="3158" w:type="dxa"/>
            <w:vMerge w:val="restart"/>
            <w:tcBorders>
              <w:top w:val="single" w:sz="12" w:space="0" w:color="auto"/>
              <w:bottom w:val="single" w:sz="8" w:space="0" w:color="auto"/>
            </w:tcBorders>
            <w:shd w:val="clear" w:color="auto" w:fill="00FFFF"/>
            <w:vAlign w:val="center"/>
          </w:tcPr>
          <w:p w:rsidR="00B37071">
            <w:pPr>
              <w:pStyle w:val="Normal0"/>
              <w:spacing w:line="300" w:lineRule="exact"/>
              <w:jc w:val="center"/>
              <w:rPr>
                <w:b/>
                <w:bCs/>
                <w:color w:val="000000"/>
                <w:sz w:val="18"/>
                <w:szCs w:val="18"/>
              </w:rPr>
            </w:pPr>
            <w:r>
              <w:rPr>
                <w:rFonts w:hint="eastAsia"/>
                <w:b/>
                <w:bCs/>
                <w:color w:val="000000"/>
                <w:sz w:val="18"/>
                <w:szCs w:val="18"/>
              </w:rPr>
              <w:t>条</w:t>
            </w:r>
            <w:r>
              <w:rPr>
                <w:rFonts w:hint="eastAsia"/>
                <w:b/>
                <w:bCs/>
                <w:color w:val="000000"/>
                <w:sz w:val="18"/>
                <w:szCs w:val="18"/>
              </w:rPr>
              <w:t xml:space="preserve">  </w:t>
            </w:r>
            <w:r>
              <w:rPr>
                <w:rFonts w:hint="eastAsia"/>
                <w:b/>
                <w:bCs/>
                <w:color w:val="000000"/>
                <w:sz w:val="18"/>
                <w:szCs w:val="18"/>
              </w:rPr>
              <w:t>款</w:t>
            </w:r>
            <w:r>
              <w:rPr>
                <w:rFonts w:hint="eastAsia"/>
                <w:b/>
                <w:bCs/>
                <w:color w:val="000000"/>
                <w:sz w:val="18"/>
                <w:szCs w:val="18"/>
              </w:rPr>
              <w:t xml:space="preserve">  </w:t>
            </w:r>
            <w:r>
              <w:rPr>
                <w:rFonts w:hint="eastAsia"/>
                <w:b/>
                <w:bCs/>
                <w:color w:val="000000"/>
                <w:sz w:val="18"/>
                <w:szCs w:val="18"/>
              </w:rPr>
              <w:t>名</w:t>
            </w:r>
            <w:r>
              <w:rPr>
                <w:rFonts w:hint="eastAsia"/>
                <w:b/>
                <w:bCs/>
                <w:color w:val="000000"/>
                <w:sz w:val="18"/>
                <w:szCs w:val="18"/>
              </w:rPr>
              <w:t xml:space="preserve">  </w:t>
            </w:r>
            <w:r>
              <w:rPr>
                <w:rFonts w:hint="eastAsia"/>
                <w:b/>
                <w:bCs/>
                <w:color w:val="000000"/>
                <w:sz w:val="18"/>
                <w:szCs w:val="18"/>
              </w:rPr>
              <w:t>称</w:t>
            </w:r>
          </w:p>
        </w:tc>
        <w:tc>
          <w:tcPr>
            <w:tcW w:w="960" w:type="dxa"/>
            <w:vMerge w:val="restart"/>
            <w:tcBorders>
              <w:top w:val="single" w:sz="12" w:space="0" w:color="auto"/>
              <w:bottom w:val="single" w:sz="8" w:space="0" w:color="auto"/>
            </w:tcBorders>
            <w:shd w:val="clear" w:color="auto" w:fill="00FFFF"/>
            <w:vAlign w:val="center"/>
          </w:tcPr>
          <w:p w:rsidR="00B37071">
            <w:pPr>
              <w:pStyle w:val="Normal0"/>
              <w:jc w:val="distribute"/>
              <w:rPr>
                <w:b/>
                <w:bCs/>
                <w:color w:val="000000"/>
                <w:sz w:val="18"/>
                <w:szCs w:val="18"/>
              </w:rPr>
            </w:pPr>
            <w:r>
              <w:rPr>
                <w:rFonts w:hint="eastAsia"/>
                <w:b/>
                <w:bCs/>
                <w:color w:val="000000"/>
                <w:sz w:val="18"/>
                <w:szCs w:val="18"/>
              </w:rPr>
              <w:t>控制责任</w:t>
            </w:r>
          </w:p>
        </w:tc>
        <w:tc>
          <w:tcPr>
            <w:tcW w:w="4775" w:type="dxa"/>
            <w:gridSpan w:val="6"/>
            <w:tcBorders>
              <w:top w:val="single" w:sz="12" w:space="0" w:color="auto"/>
              <w:bottom w:val="single" w:sz="8" w:space="0" w:color="auto"/>
            </w:tcBorders>
            <w:shd w:val="clear" w:color="auto" w:fill="00FFFF"/>
            <w:vAlign w:val="center"/>
          </w:tcPr>
          <w:p w:rsidR="00B37071">
            <w:pPr>
              <w:pStyle w:val="Normal0"/>
              <w:jc w:val="center"/>
              <w:rPr>
                <w:b/>
                <w:bCs/>
                <w:color w:val="000000"/>
                <w:sz w:val="18"/>
                <w:szCs w:val="18"/>
              </w:rPr>
            </w:pPr>
            <w:r>
              <w:rPr>
                <w:rFonts w:hint="eastAsia"/>
                <w:b/>
                <w:bCs/>
                <w:color w:val="000000"/>
                <w:sz w:val="18"/>
                <w:szCs w:val="18"/>
              </w:rPr>
              <w:t>责</w:t>
            </w:r>
            <w:r>
              <w:rPr>
                <w:rFonts w:hint="eastAsia"/>
                <w:b/>
                <w:bCs/>
                <w:color w:val="000000"/>
                <w:sz w:val="18"/>
                <w:szCs w:val="18"/>
              </w:rPr>
              <w:t xml:space="preserve">         </w:t>
            </w:r>
            <w:r>
              <w:rPr>
                <w:rFonts w:hint="eastAsia"/>
                <w:b/>
                <w:bCs/>
                <w:color w:val="000000"/>
                <w:sz w:val="18"/>
                <w:szCs w:val="18"/>
              </w:rPr>
              <w:t>任</w:t>
            </w:r>
            <w:r>
              <w:rPr>
                <w:rFonts w:hint="eastAsia"/>
                <w:b/>
                <w:bCs/>
                <w:color w:val="000000"/>
                <w:sz w:val="18"/>
                <w:szCs w:val="18"/>
              </w:rPr>
              <w:t xml:space="preserve">        </w:t>
            </w:r>
            <w:r>
              <w:rPr>
                <w:rFonts w:hint="eastAsia"/>
                <w:b/>
                <w:bCs/>
                <w:color w:val="000000"/>
                <w:sz w:val="18"/>
                <w:szCs w:val="18"/>
              </w:rPr>
              <w:t>人</w:t>
            </w:r>
          </w:p>
        </w:tc>
      </w:tr>
      <w:tr>
        <w:tblPrEx>
          <w:tblW w:w="0" w:type="auto"/>
          <w:jc w:val="center"/>
          <w:tblLayout w:type="fixed"/>
          <w:tblLook w:val="0000"/>
        </w:tblPrEx>
        <w:trPr>
          <w:trHeight w:val="438"/>
          <w:jc w:val="center"/>
        </w:trPr>
        <w:tc>
          <w:tcPr>
            <w:tcW w:w="1" w:type="dxa"/>
            <w:vMerge/>
            <w:tcBorders>
              <w:top w:val="single" w:sz="4" w:space="0" w:color="auto"/>
              <w:bottom w:val="single" w:sz="8" w:space="0" w:color="auto"/>
            </w:tcBorders>
            <w:shd w:val="clear" w:color="auto" w:fill="00FFFF"/>
            <w:vAlign w:val="center"/>
          </w:tcPr>
          <w:p w:rsidR="00B37071">
            <w:pPr>
              <w:pStyle w:val="Normal0"/>
              <w:spacing w:line="200" w:lineRule="exact"/>
              <w:jc w:val="center"/>
              <w:rPr>
                <w:color w:val="000000"/>
                <w:sz w:val="18"/>
                <w:szCs w:val="18"/>
              </w:rPr>
            </w:pPr>
          </w:p>
        </w:tc>
        <w:tc>
          <w:tcPr>
            <w:tcW w:w="1" w:type="dxa"/>
            <w:vMerge/>
            <w:tcBorders>
              <w:top w:val="single" w:sz="4" w:space="0" w:color="auto"/>
              <w:bottom w:val="single" w:sz="8" w:space="0" w:color="auto"/>
            </w:tcBorders>
            <w:shd w:val="clear" w:color="auto" w:fill="00FFFF"/>
            <w:vAlign w:val="center"/>
          </w:tcPr>
          <w:p w:rsidR="00B37071">
            <w:pPr>
              <w:pStyle w:val="Normal0"/>
              <w:spacing w:line="200" w:lineRule="exact"/>
              <w:jc w:val="center"/>
              <w:rPr>
                <w:color w:val="000000"/>
                <w:sz w:val="18"/>
                <w:szCs w:val="18"/>
              </w:rPr>
            </w:pPr>
          </w:p>
        </w:tc>
        <w:tc>
          <w:tcPr>
            <w:tcW w:w="1" w:type="dxa"/>
            <w:vMerge/>
            <w:tcBorders>
              <w:top w:val="single" w:sz="4" w:space="0" w:color="auto"/>
              <w:bottom w:val="single" w:sz="8" w:space="0" w:color="auto"/>
            </w:tcBorders>
            <w:shd w:val="clear" w:color="auto" w:fill="00FFFF"/>
            <w:vAlign w:val="center"/>
          </w:tcPr>
          <w:p w:rsidR="00B37071">
            <w:pPr>
              <w:pStyle w:val="Normal0"/>
              <w:spacing w:line="200" w:lineRule="exact"/>
              <w:jc w:val="center"/>
              <w:rPr>
                <w:rFonts w:ascii="宋体" w:hAnsi="宋体"/>
                <w:color w:val="000000"/>
                <w:sz w:val="18"/>
                <w:szCs w:val="18"/>
              </w:rPr>
            </w:pPr>
          </w:p>
        </w:tc>
        <w:tc>
          <w:tcPr>
            <w:tcW w:w="795" w:type="dxa"/>
            <w:tcBorders>
              <w:top w:val="single" w:sz="8" w:space="0" w:color="auto"/>
            </w:tcBorders>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周永祥</w:t>
            </w:r>
          </w:p>
        </w:tc>
        <w:tc>
          <w:tcPr>
            <w:tcW w:w="796" w:type="dxa"/>
            <w:tcBorders>
              <w:top w:val="single" w:sz="8" w:space="0" w:color="auto"/>
            </w:tcBorders>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陈仕源</w:t>
            </w:r>
          </w:p>
        </w:tc>
        <w:tc>
          <w:tcPr>
            <w:tcW w:w="796" w:type="dxa"/>
            <w:tcBorders>
              <w:top w:val="single" w:sz="8" w:space="0" w:color="auto"/>
            </w:tcBorders>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付绪峰</w:t>
            </w:r>
          </w:p>
        </w:tc>
        <w:tc>
          <w:tcPr>
            <w:tcW w:w="796" w:type="dxa"/>
            <w:tcBorders>
              <w:top w:val="single" w:sz="8" w:space="0" w:color="auto"/>
            </w:tcBorders>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李傲</w:t>
            </w:r>
          </w:p>
        </w:tc>
        <w:tc>
          <w:tcPr>
            <w:tcW w:w="796" w:type="dxa"/>
            <w:tcBorders>
              <w:top w:val="single" w:sz="8" w:space="0" w:color="auto"/>
            </w:tcBorders>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张贵荣</w:t>
            </w:r>
          </w:p>
        </w:tc>
        <w:tc>
          <w:tcPr>
            <w:tcW w:w="796" w:type="dxa"/>
            <w:tcBorders>
              <w:top w:val="single" w:sz="8" w:space="0" w:color="auto"/>
            </w:tcBorders>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吴培富</w:t>
            </w:r>
          </w:p>
        </w:tc>
      </w:tr>
      <w:tr>
        <w:tblPrEx>
          <w:tblW w:w="0" w:type="auto"/>
          <w:jc w:val="center"/>
          <w:tblLayout w:type="fixed"/>
          <w:tblLook w:val="0000"/>
        </w:tblPrEx>
        <w:trPr>
          <w:trHeight w:hRule="exact" w:val="298"/>
          <w:jc w:val="center"/>
        </w:trPr>
        <w:tc>
          <w:tcPr>
            <w:tcW w:w="1071" w:type="dxa"/>
            <w:tcBorders>
              <w:top w:val="single" w:sz="8" w:space="0" w:color="auto"/>
            </w:tcBorders>
            <w:vAlign w:val="center"/>
          </w:tcPr>
          <w:p w:rsidR="00B37071">
            <w:pPr>
              <w:pStyle w:val="Normal0"/>
              <w:spacing w:line="200" w:lineRule="exact"/>
              <w:jc w:val="center"/>
              <w:rPr>
                <w:color w:val="000000"/>
                <w:sz w:val="18"/>
                <w:szCs w:val="18"/>
              </w:rPr>
            </w:pPr>
            <w:r>
              <w:rPr>
                <w:color w:val="000000"/>
                <w:sz w:val="18"/>
                <w:szCs w:val="18"/>
              </w:rPr>
              <w:t>4.1</w:t>
            </w:r>
          </w:p>
        </w:tc>
        <w:tc>
          <w:tcPr>
            <w:tcW w:w="3158" w:type="dxa"/>
            <w:tcBorders>
              <w:top w:val="single" w:sz="8" w:space="0" w:color="auto"/>
            </w:tcBorders>
            <w:vAlign w:val="center"/>
          </w:tcPr>
          <w:p w:rsidR="00B37071">
            <w:pPr>
              <w:pStyle w:val="Normal0"/>
              <w:spacing w:line="200" w:lineRule="exact"/>
              <w:jc w:val="center"/>
              <w:rPr>
                <w:color w:val="000000"/>
                <w:sz w:val="18"/>
                <w:szCs w:val="18"/>
              </w:rPr>
            </w:pPr>
            <w:r>
              <w:rPr>
                <w:rFonts w:hint="eastAsia"/>
                <w:color w:val="000000"/>
                <w:sz w:val="18"/>
                <w:szCs w:val="18"/>
              </w:rPr>
              <w:t>管理体系总要求</w:t>
            </w:r>
          </w:p>
        </w:tc>
        <w:tc>
          <w:tcPr>
            <w:tcW w:w="960" w:type="dxa"/>
            <w:tcBorders>
              <w:top w:val="single" w:sz="8" w:space="0" w:color="auto"/>
            </w:tcBorders>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b/>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4.2.1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总则</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4.2.</w:t>
            </w:r>
            <w:r>
              <w:rPr>
                <w:rFonts w:hint="eastAsia"/>
                <w:color w:val="000000"/>
                <w:sz w:val="18"/>
                <w:szCs w:val="18"/>
              </w:rPr>
              <w:t>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质量管理手册</w:t>
            </w:r>
          </w:p>
        </w:tc>
        <w:tc>
          <w:tcPr>
            <w:tcW w:w="960" w:type="dxa"/>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b/>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4.2.3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文件控制</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b/>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rFonts w:hint="eastAsia"/>
                <w:color w:val="000000"/>
                <w:sz w:val="18"/>
                <w:szCs w:val="18"/>
              </w:rPr>
              <w:t>4</w:t>
            </w:r>
            <w:r>
              <w:rPr>
                <w:color w:val="000000"/>
                <w:sz w:val="18"/>
                <w:szCs w:val="18"/>
              </w:rPr>
              <w:t>.2.4</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记录控制</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管理承诺</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以顾客为关注焦点</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质量方针</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5.4.1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质量目标</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5.4.2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质量管理体系策划</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rFonts w:hint="eastAsia"/>
                <w:color w:val="000000"/>
                <w:sz w:val="18"/>
                <w:szCs w:val="18"/>
              </w:rPr>
              <w:t>5</w:t>
            </w:r>
            <w:r>
              <w:rPr>
                <w:color w:val="000000"/>
                <w:sz w:val="18"/>
                <w:szCs w:val="18"/>
              </w:rPr>
              <w:t>.5.1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职责、权限</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rFonts w:hint="eastAsia"/>
                <w:color w:val="000000"/>
                <w:sz w:val="18"/>
                <w:szCs w:val="18"/>
              </w:rPr>
              <w:t>5.5.2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管理者代表</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5.5.3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内部沟通</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5.6</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管理评审</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6.1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资源提供</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6.2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人力资源</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6.3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基础设施</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6.4</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工作环境</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产品实现策划</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7.2.1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与产品有关要求的确定</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bl>
    <w:p>
      <w:pPr>
        <w:sectPr>
          <w:type w:val="nextPage"/>
          <w:pgSz w:w="11907" w:h="16840"/>
          <w:pgMar w:top="1418" w:right="1123" w:bottom="1418" w:left="1418" w:header="851" w:footer="851" w:gutter="0"/>
          <w:pgNumType w:fmt="numberInDash" w:start="12"/>
          <w:cols w:space="708"/>
          <w:titlePg w:val="0"/>
          <w:docGrid w:linePitch="312"/>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
      <w:tblGrid>
        <w:gridCol w:w="1071"/>
        <w:gridCol w:w="3158"/>
        <w:gridCol w:w="960"/>
        <w:gridCol w:w="795"/>
        <w:gridCol w:w="796"/>
        <w:gridCol w:w="796"/>
        <w:gridCol w:w="796"/>
        <w:gridCol w:w="796"/>
        <w:gridCol w:w="796"/>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7.2.2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与产品有关要求的评审</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7.2.3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顾客沟通</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w:t>
            </w:r>
            <w:r>
              <w:rPr>
                <w:rFonts w:hint="eastAsia"/>
                <w:color w:val="000000"/>
                <w:sz w:val="18"/>
                <w:szCs w:val="18"/>
              </w:rPr>
              <w:t>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设计和开发</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7.4</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采购</w:t>
            </w:r>
          </w:p>
        </w:tc>
        <w:tc>
          <w:tcPr>
            <w:tcW w:w="960"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7.5.1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生产和服务提供的控制</w:t>
            </w:r>
          </w:p>
        </w:tc>
        <w:tc>
          <w:tcPr>
            <w:tcW w:w="960" w:type="dxa"/>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7.5.2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生产和服务提供过程的确认</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7.5.3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标识与可追溯性</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7.5.4</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顾客财产</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7.5.5</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产品防护</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7.6</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监视和测量装置的控制</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总则</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rFonts w:hint="eastAsia"/>
                <w:color w:val="000000"/>
                <w:sz w:val="18"/>
                <w:szCs w:val="18"/>
              </w:rPr>
              <w:t>8.2.1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顾客满意</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8.2.2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内部审核</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8.2.3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过程监视和测量</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8.2.4</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产品监视和测量</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rFonts w:hint="eastAsia"/>
                <w:color w:val="000000"/>
                <w:sz w:val="18"/>
                <w:szCs w:val="18"/>
              </w:rPr>
              <w:t>8</w:t>
            </w:r>
            <w:r>
              <w:rPr>
                <w:color w:val="000000"/>
                <w:sz w:val="18"/>
                <w:szCs w:val="18"/>
              </w:rPr>
              <w:t>.3.</w:t>
            </w:r>
            <w:r>
              <w:rPr>
                <w:rFonts w:hint="eastAsia"/>
                <w:color w:val="000000"/>
                <w:sz w:val="18"/>
                <w:szCs w:val="18"/>
              </w:rPr>
              <w:t>0</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不合格品控制</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pPr>
            <w:r>
              <w:rPr>
                <w:rFonts w:ascii="宋体" w:hAnsi="宋体" w:hint="eastAsia"/>
                <w:color w:val="000000"/>
                <w:sz w:val="18"/>
                <w:szCs w:val="18"/>
              </w:rPr>
              <w:t>▲</w:t>
            </w:r>
          </w:p>
        </w:tc>
        <w:tc>
          <w:tcPr>
            <w:tcW w:w="796" w:type="dxa"/>
            <w:vAlign w:val="center"/>
          </w:tcPr>
          <w:p w:rsidR="00B37071">
            <w:pPr>
              <w:pStyle w:val="Normal0"/>
              <w:jc w:val="cente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8.4</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数据分析</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8.5.1</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持续改进</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8.5.2</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纠正措施</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r>
        <w:tblPrEx>
          <w:tblW w:w="0" w:type="auto"/>
          <w:jc w:val="center"/>
          <w:tblLayout w:type="fixed"/>
          <w:tblLook w:val="0000"/>
        </w:tblPrEx>
        <w:trPr>
          <w:trHeight w:hRule="exact" w:val="298"/>
          <w:jc w:val="center"/>
        </w:trPr>
        <w:tc>
          <w:tcPr>
            <w:tcW w:w="1071" w:type="dxa"/>
            <w:vAlign w:val="center"/>
          </w:tcPr>
          <w:p w:rsidR="00B37071">
            <w:pPr>
              <w:pStyle w:val="Normal0"/>
              <w:spacing w:line="200" w:lineRule="exact"/>
              <w:jc w:val="center"/>
              <w:rPr>
                <w:color w:val="000000"/>
                <w:sz w:val="18"/>
                <w:szCs w:val="18"/>
              </w:rPr>
            </w:pPr>
            <w:r>
              <w:rPr>
                <w:color w:val="000000"/>
                <w:sz w:val="18"/>
                <w:szCs w:val="18"/>
              </w:rPr>
              <w:t>8.5.3</w:t>
            </w:r>
          </w:p>
        </w:tc>
        <w:tc>
          <w:tcPr>
            <w:tcW w:w="3158" w:type="dxa"/>
            <w:vAlign w:val="center"/>
          </w:tcPr>
          <w:p w:rsidR="00B37071">
            <w:pPr>
              <w:pStyle w:val="Normal0"/>
              <w:spacing w:line="200" w:lineRule="exact"/>
              <w:jc w:val="center"/>
              <w:rPr>
                <w:color w:val="000000"/>
                <w:sz w:val="18"/>
                <w:szCs w:val="18"/>
              </w:rPr>
            </w:pPr>
            <w:r>
              <w:rPr>
                <w:rFonts w:hint="eastAsia"/>
                <w:color w:val="000000"/>
                <w:sz w:val="18"/>
                <w:szCs w:val="18"/>
              </w:rPr>
              <w:t>预防措施</w:t>
            </w:r>
          </w:p>
        </w:tc>
        <w:tc>
          <w:tcPr>
            <w:tcW w:w="960" w:type="dxa"/>
          </w:tcPr>
          <w:p w:rsidR="00B37071">
            <w:pPr>
              <w:pStyle w:val="Normal0"/>
              <w:jc w:val="center"/>
            </w:pPr>
            <w:r>
              <w:rPr>
                <w:rFonts w:ascii="宋体" w:hAnsi="宋体" w:hint="eastAsia"/>
                <w:color w:val="000000"/>
                <w:sz w:val="18"/>
                <w:szCs w:val="18"/>
              </w:rPr>
              <w:t>●</w:t>
            </w:r>
          </w:p>
        </w:tc>
        <w:tc>
          <w:tcPr>
            <w:tcW w:w="795"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c>
          <w:tcPr>
            <w:tcW w:w="796" w:type="dxa"/>
            <w:vAlign w:val="center"/>
          </w:tcPr>
          <w:p w:rsidR="00B37071">
            <w:pPr>
              <w:pStyle w:val="Normal0"/>
              <w:jc w:val="center"/>
              <w:rPr>
                <w:color w:val="000000"/>
                <w:sz w:val="18"/>
                <w:szCs w:val="18"/>
              </w:rPr>
            </w:pPr>
            <w:r>
              <w:rPr>
                <w:rFonts w:ascii="宋体" w:hAnsi="宋体" w:hint="eastAsia"/>
                <w:color w:val="000000"/>
                <w:sz w:val="18"/>
                <w:szCs w:val="18"/>
              </w:rPr>
              <w:t>△</w:t>
            </w:r>
          </w:p>
        </w:tc>
      </w:tr>
    </w:tbl>
    <w:p w:rsidR="00B37071">
      <w:pPr>
        <w:pStyle w:val="Normal0"/>
        <w:spacing w:before="120" w:beforeLines="50" w:after="120" w:afterLines="50" w:line="300" w:lineRule="exact"/>
        <w:jc w:val="center"/>
        <w:rPr>
          <w:rFonts w:eastAsia="黑体"/>
          <w:b/>
          <w:bCs/>
          <w:color w:val="000000"/>
          <w:sz w:val="30"/>
          <w:szCs w:val="30"/>
        </w:rPr>
      </w:pPr>
      <w:r>
        <w:rPr>
          <w:rFonts w:eastAsia="黑体" w:hint="eastAsia"/>
          <w:b/>
          <w:bCs/>
          <w:color w:val="000000"/>
          <w:sz w:val="30"/>
          <w:szCs w:val="30"/>
        </w:rPr>
        <w:t>环境和职业健康安全管理体系职责分配表</w:t>
      </w:r>
    </w:p>
    <w:p w:rsidR="00B37071">
      <w:pPr>
        <w:pStyle w:val="Normal0"/>
        <w:spacing w:before="120" w:beforeLines="50" w:after="120" w:afterLines="50" w:line="220" w:lineRule="exact"/>
        <w:ind w:left="-158" w:hanging="472" w:leftChars="-300" w:hangingChars="262"/>
        <w:jc w:val="center"/>
        <w:rPr>
          <w:rFonts w:ascii="宋体" w:hAnsi="宋体"/>
          <w:b/>
          <w:bCs/>
          <w:color w:val="000000"/>
          <w:sz w:val="18"/>
          <w:szCs w:val="18"/>
        </w:rPr>
      </w:pPr>
      <w:r>
        <w:rPr>
          <w:rFonts w:ascii="宋体" w:hAnsi="宋体" w:hint="eastAsia"/>
          <w:bCs/>
          <w:color w:val="000000"/>
          <w:sz w:val="18"/>
          <w:szCs w:val="18"/>
        </w:rPr>
        <w:t>表中</w:t>
      </w:r>
      <w:r>
        <w:rPr>
          <w:rFonts w:ascii="宋体" w:hAnsi="宋体" w:hint="eastAsia"/>
          <w:bCs/>
          <w:color w:val="000000"/>
          <w:sz w:val="18"/>
          <w:szCs w:val="18"/>
        </w:rPr>
        <w:t>:</w:t>
      </w:r>
      <w:r>
        <w:rPr>
          <w:rFonts w:ascii="宋体" w:hAnsi="宋体" w:hint="eastAsia"/>
          <w:color w:val="000000"/>
          <w:sz w:val="18"/>
          <w:szCs w:val="18"/>
        </w:rPr>
        <w:t>●：主控职责</w:t>
      </w:r>
      <w:r>
        <w:rPr>
          <w:rFonts w:ascii="宋体" w:hAnsi="宋体" w:hint="eastAsia"/>
          <w:color w:val="000000"/>
          <w:sz w:val="18"/>
          <w:szCs w:val="18"/>
        </w:rPr>
        <w:t xml:space="preserve">   </w:t>
      </w:r>
      <w:r>
        <w:rPr>
          <w:rFonts w:ascii="宋体" w:hAnsi="宋体" w:hint="eastAsia"/>
          <w:color w:val="000000"/>
          <w:sz w:val="18"/>
          <w:szCs w:val="18"/>
        </w:rPr>
        <w:t>○：相关职责</w:t>
      </w:r>
      <w:r>
        <w:rPr>
          <w:rFonts w:ascii="宋体" w:hAnsi="宋体" w:hint="eastAsia"/>
          <w:color w:val="000000"/>
          <w:sz w:val="18"/>
          <w:szCs w:val="18"/>
        </w:rPr>
        <w:t xml:space="preserve">   </w:t>
      </w:r>
      <w:r>
        <w:rPr>
          <w:rFonts w:ascii="宋体" w:hAnsi="宋体" w:hint="eastAsia"/>
          <w:color w:val="000000"/>
          <w:sz w:val="18"/>
          <w:szCs w:val="18"/>
        </w:rPr>
        <w:t>▲：主要责任人</w:t>
      </w:r>
      <w:r>
        <w:rPr>
          <w:rFonts w:ascii="宋体" w:hAnsi="宋体" w:hint="eastAsia"/>
          <w:color w:val="000000"/>
          <w:sz w:val="18"/>
          <w:szCs w:val="18"/>
        </w:rPr>
        <w:t xml:space="preserve"> </w:t>
      </w:r>
      <w:r>
        <w:rPr>
          <w:rFonts w:ascii="宋体" w:hAnsi="宋体" w:hint="eastAsia"/>
          <w:color w:val="000000"/>
          <w:sz w:val="18"/>
          <w:szCs w:val="18"/>
        </w:rPr>
        <w:t>△：相关责任人</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
      <w:tblGrid>
        <w:gridCol w:w="1197"/>
        <w:gridCol w:w="4219"/>
        <w:gridCol w:w="808"/>
        <w:gridCol w:w="584"/>
        <w:gridCol w:w="584"/>
        <w:gridCol w:w="584"/>
        <w:gridCol w:w="584"/>
        <w:gridCol w:w="584"/>
        <w:gridCol w:w="585"/>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Ex>
        <w:trPr>
          <w:trHeight w:val="729"/>
          <w:jc w:val="center"/>
        </w:trPr>
        <w:tc>
          <w:tcPr>
            <w:tcW w:w="1197" w:type="dxa"/>
            <w:vMerge w:val="restart"/>
            <w:tcBorders>
              <w:top w:val="single" w:sz="12" w:space="0" w:color="auto"/>
              <w:bottom w:val="single" w:sz="8" w:space="0" w:color="auto"/>
            </w:tcBorders>
            <w:shd w:val="clear" w:color="auto" w:fill="00FFFF"/>
            <w:vAlign w:val="center"/>
          </w:tcPr>
          <w:p w:rsidR="00B37071">
            <w:pPr>
              <w:pStyle w:val="Normal0"/>
              <w:spacing w:line="300" w:lineRule="exact"/>
              <w:jc w:val="center"/>
              <w:rPr>
                <w:b/>
                <w:bCs/>
                <w:color w:val="000000"/>
                <w:sz w:val="18"/>
                <w:szCs w:val="18"/>
              </w:rPr>
            </w:pPr>
            <w:r>
              <w:rPr>
                <w:rFonts w:hint="eastAsia"/>
                <w:b/>
                <w:bCs/>
                <w:color w:val="000000"/>
                <w:sz w:val="18"/>
                <w:szCs w:val="18"/>
              </w:rPr>
              <w:t>条款号</w:t>
            </w:r>
          </w:p>
        </w:tc>
        <w:tc>
          <w:tcPr>
            <w:tcW w:w="4219" w:type="dxa"/>
            <w:vMerge w:val="restart"/>
            <w:tcBorders>
              <w:top w:val="single" w:sz="12" w:space="0" w:color="auto"/>
              <w:bottom w:val="single" w:sz="8" w:space="0" w:color="auto"/>
            </w:tcBorders>
            <w:shd w:val="clear" w:color="auto" w:fill="00FFFF"/>
            <w:vAlign w:val="center"/>
          </w:tcPr>
          <w:p w:rsidR="00B37071">
            <w:pPr>
              <w:pStyle w:val="Normal0"/>
              <w:spacing w:line="300" w:lineRule="exact"/>
              <w:jc w:val="center"/>
              <w:rPr>
                <w:b/>
                <w:bCs/>
                <w:color w:val="000000"/>
                <w:sz w:val="18"/>
                <w:szCs w:val="18"/>
              </w:rPr>
            </w:pPr>
            <w:r>
              <w:rPr>
                <w:rFonts w:hint="eastAsia"/>
                <w:b/>
                <w:bCs/>
                <w:color w:val="000000"/>
                <w:sz w:val="18"/>
                <w:szCs w:val="18"/>
              </w:rPr>
              <w:t>条</w:t>
            </w:r>
            <w:r>
              <w:rPr>
                <w:rFonts w:hint="eastAsia"/>
                <w:b/>
                <w:bCs/>
                <w:color w:val="000000"/>
                <w:sz w:val="18"/>
                <w:szCs w:val="18"/>
              </w:rPr>
              <w:t xml:space="preserve">  </w:t>
            </w:r>
            <w:r>
              <w:rPr>
                <w:rFonts w:hint="eastAsia"/>
                <w:b/>
                <w:bCs/>
                <w:color w:val="000000"/>
                <w:sz w:val="18"/>
                <w:szCs w:val="18"/>
              </w:rPr>
              <w:t>款</w:t>
            </w:r>
            <w:r>
              <w:rPr>
                <w:rFonts w:hint="eastAsia"/>
                <w:b/>
                <w:bCs/>
                <w:color w:val="000000"/>
                <w:sz w:val="18"/>
                <w:szCs w:val="18"/>
              </w:rPr>
              <w:t xml:space="preserve">  </w:t>
            </w:r>
            <w:r>
              <w:rPr>
                <w:rFonts w:hint="eastAsia"/>
                <w:b/>
                <w:bCs/>
                <w:color w:val="000000"/>
                <w:sz w:val="18"/>
                <w:szCs w:val="18"/>
              </w:rPr>
              <w:t>名</w:t>
            </w:r>
            <w:r>
              <w:rPr>
                <w:rFonts w:hint="eastAsia"/>
                <w:b/>
                <w:bCs/>
                <w:color w:val="000000"/>
                <w:sz w:val="18"/>
                <w:szCs w:val="18"/>
              </w:rPr>
              <w:t xml:space="preserve">  </w:t>
            </w:r>
            <w:r>
              <w:rPr>
                <w:rFonts w:hint="eastAsia"/>
                <w:b/>
                <w:bCs/>
                <w:color w:val="000000"/>
                <w:sz w:val="18"/>
                <w:szCs w:val="18"/>
              </w:rPr>
              <w:t>称</w:t>
            </w:r>
          </w:p>
        </w:tc>
        <w:tc>
          <w:tcPr>
            <w:tcW w:w="808" w:type="dxa"/>
            <w:vMerge w:val="restart"/>
            <w:tcBorders>
              <w:top w:val="single" w:sz="12" w:space="0" w:color="auto"/>
              <w:bottom w:val="single" w:sz="8" w:space="0" w:color="auto"/>
            </w:tcBorders>
            <w:shd w:val="clear" w:color="auto" w:fill="00FFFF"/>
            <w:vAlign w:val="center"/>
          </w:tcPr>
          <w:p w:rsidR="00B37071">
            <w:pPr>
              <w:pStyle w:val="Normal0"/>
              <w:jc w:val="distribute"/>
              <w:rPr>
                <w:b/>
                <w:bCs/>
                <w:color w:val="000000"/>
                <w:sz w:val="18"/>
                <w:szCs w:val="18"/>
              </w:rPr>
            </w:pPr>
            <w:r>
              <w:rPr>
                <w:rFonts w:hint="eastAsia"/>
                <w:b/>
                <w:bCs/>
                <w:color w:val="000000"/>
                <w:sz w:val="18"/>
                <w:szCs w:val="18"/>
              </w:rPr>
              <w:t>控制</w:t>
            </w:r>
          </w:p>
          <w:p w:rsidR="00B37071">
            <w:pPr>
              <w:pStyle w:val="Normal0"/>
              <w:jc w:val="distribute"/>
              <w:rPr>
                <w:b/>
                <w:bCs/>
                <w:color w:val="000000"/>
                <w:sz w:val="18"/>
                <w:szCs w:val="18"/>
              </w:rPr>
            </w:pPr>
            <w:r>
              <w:rPr>
                <w:rFonts w:hint="eastAsia"/>
                <w:b/>
                <w:bCs/>
                <w:color w:val="000000"/>
                <w:sz w:val="18"/>
                <w:szCs w:val="18"/>
              </w:rPr>
              <w:t>责任</w:t>
            </w:r>
          </w:p>
        </w:tc>
        <w:tc>
          <w:tcPr>
            <w:tcW w:w="3505" w:type="dxa"/>
            <w:gridSpan w:val="6"/>
            <w:tcBorders>
              <w:top w:val="single" w:sz="12" w:space="0" w:color="auto"/>
              <w:bottom w:val="single" w:sz="8" w:space="0" w:color="auto"/>
            </w:tcBorders>
            <w:shd w:val="clear" w:color="auto" w:fill="00FFFF"/>
            <w:vAlign w:val="center"/>
          </w:tcPr>
          <w:p w:rsidR="00B37071">
            <w:pPr>
              <w:pStyle w:val="Normal0"/>
              <w:jc w:val="center"/>
              <w:rPr>
                <w:b/>
                <w:bCs/>
                <w:color w:val="000000"/>
                <w:sz w:val="18"/>
                <w:szCs w:val="18"/>
              </w:rPr>
            </w:pPr>
            <w:r>
              <w:rPr>
                <w:rFonts w:hint="eastAsia"/>
                <w:b/>
                <w:bCs/>
                <w:color w:val="000000"/>
                <w:sz w:val="18"/>
                <w:szCs w:val="18"/>
              </w:rPr>
              <w:t>责</w:t>
            </w:r>
            <w:r>
              <w:rPr>
                <w:rFonts w:hint="eastAsia"/>
                <w:b/>
                <w:bCs/>
                <w:color w:val="000000"/>
                <w:sz w:val="18"/>
                <w:szCs w:val="18"/>
              </w:rPr>
              <w:t xml:space="preserve">     </w:t>
            </w:r>
            <w:r>
              <w:rPr>
                <w:rFonts w:hint="eastAsia"/>
                <w:b/>
                <w:bCs/>
                <w:color w:val="000000"/>
                <w:sz w:val="18"/>
                <w:szCs w:val="18"/>
              </w:rPr>
              <w:t>任</w:t>
            </w:r>
            <w:r>
              <w:rPr>
                <w:rFonts w:hint="eastAsia"/>
                <w:b/>
                <w:bCs/>
                <w:color w:val="000000"/>
                <w:sz w:val="18"/>
                <w:szCs w:val="18"/>
              </w:rPr>
              <w:t xml:space="preserve">    </w:t>
            </w:r>
            <w:r>
              <w:rPr>
                <w:rFonts w:hint="eastAsia"/>
                <w:b/>
                <w:bCs/>
                <w:color w:val="000000"/>
                <w:sz w:val="18"/>
                <w:szCs w:val="18"/>
              </w:rPr>
              <w:t>人</w:t>
            </w:r>
          </w:p>
        </w:tc>
      </w:tr>
      <w:tr>
        <w:tblPrEx>
          <w:tblW w:w="0" w:type="auto"/>
          <w:jc w:val="center"/>
          <w:tblLayout w:type="fixed"/>
          <w:tblLook w:val="0000"/>
        </w:tblPrEx>
        <w:trPr>
          <w:trHeight w:val="729"/>
          <w:jc w:val="center"/>
        </w:trPr>
        <w:tc>
          <w:tcPr>
            <w:tcW w:w="1" w:type="dxa"/>
            <w:vMerge/>
            <w:tcBorders>
              <w:top w:val="single" w:sz="4" w:space="0" w:color="auto"/>
              <w:bottom w:val="single" w:sz="8" w:space="0" w:color="auto"/>
            </w:tcBorders>
            <w:shd w:val="clear" w:color="auto" w:fill="00FFFF"/>
            <w:vAlign w:val="center"/>
          </w:tcPr>
          <w:p w:rsidR="00B37071">
            <w:pPr>
              <w:pStyle w:val="Normal0"/>
              <w:spacing w:line="200" w:lineRule="exact"/>
              <w:jc w:val="center"/>
              <w:rPr>
                <w:color w:val="000000"/>
                <w:sz w:val="18"/>
                <w:szCs w:val="18"/>
              </w:rPr>
            </w:pPr>
          </w:p>
        </w:tc>
        <w:tc>
          <w:tcPr>
            <w:tcW w:w="1" w:type="dxa"/>
            <w:vMerge/>
            <w:tcBorders>
              <w:top w:val="single" w:sz="4" w:space="0" w:color="auto"/>
              <w:bottom w:val="single" w:sz="8" w:space="0" w:color="auto"/>
            </w:tcBorders>
            <w:shd w:val="clear" w:color="auto" w:fill="00FFFF"/>
            <w:vAlign w:val="center"/>
          </w:tcPr>
          <w:p w:rsidR="00B37071">
            <w:pPr>
              <w:pStyle w:val="Normal0"/>
              <w:spacing w:line="200" w:lineRule="exact"/>
              <w:rPr>
                <w:color w:val="000000"/>
                <w:sz w:val="18"/>
                <w:szCs w:val="18"/>
              </w:rPr>
            </w:pPr>
          </w:p>
        </w:tc>
        <w:tc>
          <w:tcPr>
            <w:tcW w:w="1" w:type="dxa"/>
            <w:vMerge/>
            <w:tcBorders>
              <w:top w:val="single" w:sz="4" w:space="0" w:color="auto"/>
              <w:bottom w:val="single" w:sz="8" w:space="0" w:color="auto"/>
            </w:tcBorders>
            <w:shd w:val="clear" w:color="auto" w:fill="00FFFF"/>
            <w:vAlign w:val="center"/>
          </w:tcPr>
          <w:p w:rsidR="00B37071">
            <w:pPr>
              <w:pStyle w:val="Normal0"/>
              <w:spacing w:line="200" w:lineRule="exact"/>
              <w:jc w:val="center"/>
              <w:rPr>
                <w:rFonts w:ascii="宋体" w:hAnsi="宋体"/>
                <w:color w:val="000000"/>
                <w:sz w:val="18"/>
                <w:szCs w:val="18"/>
              </w:rPr>
            </w:pPr>
          </w:p>
        </w:tc>
        <w:tc>
          <w:tcPr>
            <w:tcW w:w="584" w:type="dxa"/>
            <w:tcBorders>
              <w:top w:val="single" w:sz="8" w:space="0" w:color="auto"/>
            </w:tcBorders>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周永祥</w:t>
            </w:r>
          </w:p>
        </w:tc>
        <w:tc>
          <w:tcPr>
            <w:tcW w:w="584" w:type="dxa"/>
            <w:tcBorders>
              <w:top w:val="single" w:sz="8" w:space="0" w:color="auto"/>
            </w:tcBorders>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陈仕源</w:t>
            </w:r>
          </w:p>
        </w:tc>
        <w:tc>
          <w:tcPr>
            <w:tcW w:w="584" w:type="dxa"/>
            <w:tcBorders>
              <w:top w:val="single" w:sz="8" w:space="0" w:color="auto"/>
            </w:tcBorders>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付绪峰</w:t>
            </w:r>
          </w:p>
        </w:tc>
        <w:tc>
          <w:tcPr>
            <w:tcW w:w="584" w:type="dxa"/>
            <w:tcBorders>
              <w:top w:val="single" w:sz="8" w:space="0" w:color="auto"/>
            </w:tcBorders>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李傲</w:t>
            </w:r>
          </w:p>
        </w:tc>
        <w:tc>
          <w:tcPr>
            <w:tcW w:w="584" w:type="dxa"/>
            <w:tcBorders>
              <w:top w:val="single" w:sz="8" w:space="0" w:color="auto"/>
            </w:tcBorders>
            <w:vAlign w:val="center"/>
          </w:tcPr>
          <w:p w:rsidR="00B37071">
            <w:pPr>
              <w:pStyle w:val="Normal0"/>
              <w:spacing w:line="200" w:lineRule="exact"/>
              <w:jc w:val="center"/>
              <w:rPr>
                <w:rFonts w:ascii="宋体" w:hAnsi="宋体"/>
                <w:color w:val="000000"/>
                <w:sz w:val="18"/>
                <w:szCs w:val="18"/>
              </w:rPr>
            </w:pPr>
            <w:r>
              <w:rPr>
                <w:rFonts w:ascii="宋体" w:hAnsi="宋体" w:hint="eastAsia"/>
                <w:color w:val="000000"/>
                <w:sz w:val="18"/>
                <w:szCs w:val="18"/>
              </w:rPr>
              <w:t>张贵荣</w:t>
            </w:r>
          </w:p>
        </w:tc>
        <w:tc>
          <w:tcPr>
            <w:tcW w:w="585" w:type="dxa"/>
            <w:tcBorders>
              <w:top w:val="single" w:sz="8" w:space="0" w:color="auto"/>
            </w:tcBorders>
            <w:vAlign w:val="center"/>
          </w:tcPr>
          <w:p w:rsidR="00B37071">
            <w:pPr>
              <w:pStyle w:val="Normal0"/>
              <w:jc w:val="center"/>
              <w:rPr>
                <w:rFonts w:ascii="宋体" w:hAnsi="宋体"/>
                <w:color w:val="000000"/>
                <w:sz w:val="18"/>
                <w:szCs w:val="18"/>
              </w:rPr>
            </w:pPr>
            <w:r>
              <w:rPr>
                <w:rFonts w:ascii="宋体" w:hAnsi="宋体" w:hint="eastAsia"/>
                <w:color w:val="000000"/>
                <w:sz w:val="18"/>
                <w:szCs w:val="18"/>
              </w:rPr>
              <w:t>吴培富</w:t>
            </w:r>
          </w:p>
        </w:tc>
      </w:tr>
      <w:tr>
        <w:tblPrEx>
          <w:tblW w:w="0" w:type="auto"/>
          <w:jc w:val="center"/>
          <w:tblLayout w:type="fixed"/>
          <w:tblLook w:val="0000"/>
        </w:tblPrEx>
        <w:trPr>
          <w:trHeight w:hRule="exact" w:val="394"/>
          <w:jc w:val="center"/>
        </w:trPr>
        <w:tc>
          <w:tcPr>
            <w:tcW w:w="1197" w:type="dxa"/>
            <w:tcBorders>
              <w:top w:val="single" w:sz="8" w:space="0" w:color="auto"/>
            </w:tcBorders>
            <w:vAlign w:val="center"/>
          </w:tcPr>
          <w:p w:rsidR="00B37071">
            <w:pPr>
              <w:pStyle w:val="Normal0"/>
              <w:spacing w:line="200" w:lineRule="exact"/>
              <w:jc w:val="center"/>
              <w:rPr>
                <w:color w:val="000000"/>
                <w:sz w:val="18"/>
                <w:szCs w:val="18"/>
              </w:rPr>
            </w:pPr>
            <w:r>
              <w:rPr>
                <w:color w:val="000000"/>
                <w:sz w:val="18"/>
                <w:szCs w:val="18"/>
              </w:rPr>
              <w:t>4.1</w:t>
            </w:r>
          </w:p>
        </w:tc>
        <w:tc>
          <w:tcPr>
            <w:tcW w:w="4219" w:type="dxa"/>
            <w:tcBorders>
              <w:top w:val="single" w:sz="8" w:space="0" w:color="auto"/>
            </w:tcBorders>
            <w:vAlign w:val="center"/>
          </w:tcPr>
          <w:p w:rsidR="00B37071">
            <w:pPr>
              <w:pStyle w:val="Normal0"/>
              <w:spacing w:line="200" w:lineRule="exact"/>
              <w:rPr>
                <w:color w:val="000000"/>
                <w:sz w:val="18"/>
                <w:szCs w:val="18"/>
              </w:rPr>
            </w:pPr>
            <w:r>
              <w:rPr>
                <w:rFonts w:hint="eastAsia"/>
                <w:color w:val="000000"/>
                <w:sz w:val="18"/>
                <w:szCs w:val="18"/>
              </w:rPr>
              <w:t>总要求</w:t>
            </w:r>
          </w:p>
        </w:tc>
        <w:tc>
          <w:tcPr>
            <w:tcW w:w="808" w:type="dxa"/>
            <w:tcBorders>
              <w:top w:val="single" w:sz="8" w:space="0" w:color="auto"/>
            </w:tcBorders>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4.2</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职业健康安全方针</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4.3</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策划</w:t>
            </w:r>
          </w:p>
        </w:tc>
        <w:tc>
          <w:tcPr>
            <w:tcW w:w="808" w:type="dxa"/>
            <w:vAlign w:val="center"/>
          </w:tcPr>
          <w:p w:rsidR="00B37071">
            <w:pPr>
              <w:pStyle w:val="Normal0"/>
              <w:spacing w:line="200" w:lineRule="exact"/>
              <w:jc w:val="center"/>
              <w:rPr>
                <w:color w:val="000000"/>
                <w:sz w:val="18"/>
                <w:szCs w:val="18"/>
              </w:rPr>
            </w:pPr>
          </w:p>
        </w:tc>
        <w:tc>
          <w:tcPr>
            <w:tcW w:w="584" w:type="dxa"/>
            <w:vAlign w:val="center"/>
          </w:tcPr>
          <w:p w:rsidR="00B37071">
            <w:pPr>
              <w:pStyle w:val="Normal0"/>
              <w:jc w:val="center"/>
            </w:pPr>
          </w:p>
        </w:tc>
        <w:tc>
          <w:tcPr>
            <w:tcW w:w="584" w:type="dxa"/>
            <w:vAlign w:val="center"/>
          </w:tcPr>
          <w:p w:rsidR="00B37071">
            <w:pPr>
              <w:pStyle w:val="Normal0"/>
              <w:jc w:val="center"/>
            </w:pPr>
          </w:p>
        </w:tc>
        <w:tc>
          <w:tcPr>
            <w:tcW w:w="584" w:type="dxa"/>
            <w:vAlign w:val="center"/>
          </w:tcPr>
          <w:p w:rsidR="00B37071">
            <w:pPr>
              <w:pStyle w:val="Normal0"/>
              <w:jc w:val="center"/>
            </w:pPr>
          </w:p>
        </w:tc>
        <w:tc>
          <w:tcPr>
            <w:tcW w:w="584" w:type="dxa"/>
            <w:vAlign w:val="center"/>
          </w:tcPr>
          <w:p w:rsidR="00B37071">
            <w:pPr>
              <w:pStyle w:val="Normal0"/>
              <w:jc w:val="center"/>
            </w:pPr>
          </w:p>
        </w:tc>
        <w:tc>
          <w:tcPr>
            <w:tcW w:w="584" w:type="dxa"/>
            <w:vAlign w:val="center"/>
          </w:tcPr>
          <w:p w:rsidR="00B37071">
            <w:pPr>
              <w:pStyle w:val="Normal0"/>
              <w:jc w:val="center"/>
            </w:pPr>
          </w:p>
        </w:tc>
        <w:tc>
          <w:tcPr>
            <w:tcW w:w="585" w:type="dxa"/>
            <w:vAlign w:val="center"/>
          </w:tcPr>
          <w:p w:rsidR="00B37071">
            <w:pPr>
              <w:pStyle w:val="Normal0"/>
              <w:jc w:val="center"/>
            </w:pPr>
          </w:p>
        </w:tc>
      </w:tr>
      <w:tr>
        <w:tblPrEx>
          <w:tblW w:w="0" w:type="auto"/>
          <w:jc w:val="center"/>
          <w:tblLayout w:type="fixed"/>
          <w:tblLook w:val="0000"/>
        </w:tblPrEx>
        <w:trPr>
          <w:trHeight w:hRule="exact" w:val="56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4.3.1</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危险源辨识、风险评价和控制措施的确定</w:t>
            </w:r>
            <w:r>
              <w:rPr>
                <w:rFonts w:hint="eastAsia"/>
                <w:color w:val="000000"/>
                <w:sz w:val="18"/>
                <w:szCs w:val="18"/>
              </w:rPr>
              <w:t>/</w:t>
            </w:r>
            <w:r>
              <w:rPr>
                <w:rFonts w:hint="eastAsia"/>
                <w:color w:val="000000"/>
                <w:sz w:val="18"/>
                <w:szCs w:val="18"/>
              </w:rPr>
              <w:t>环境因素</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4.3.2</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法律法规和其他要求</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4.3.3</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目标和方案</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实施和运行</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4.4.1</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资源、作用、职责、责任和权限</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4.4.2</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能力、培训和意识</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4.4.3</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沟通参与和协商</w:t>
            </w:r>
            <w:r>
              <w:rPr>
                <w:rFonts w:hint="eastAsia"/>
                <w:color w:val="000000"/>
                <w:sz w:val="18"/>
                <w:szCs w:val="18"/>
              </w:rPr>
              <w:t>/</w:t>
            </w:r>
            <w:r>
              <w:rPr>
                <w:rFonts w:hint="eastAsia"/>
                <w:color w:val="000000"/>
                <w:sz w:val="18"/>
                <w:szCs w:val="18"/>
              </w:rPr>
              <w:t>信息交流</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4.4.4</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文件</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4.4.5</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文件控制</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4.4.6</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运行控制</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bl>
    <w:p>
      <w:pPr>
        <w:sectPr>
          <w:type w:val="nextPage"/>
          <w:pgSz w:w="11907" w:h="16840"/>
          <w:pgMar w:top="1418" w:right="1123" w:bottom="1418" w:left="1418" w:header="851" w:footer="851" w:gutter="0"/>
          <w:pgNumType w:fmt="numberInDash" w:start="13"/>
          <w:cols w:space="708"/>
          <w:titlePg w:val="0"/>
          <w:docGrid w:linePitch="312"/>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
      <w:tblGrid>
        <w:gridCol w:w="1197"/>
        <w:gridCol w:w="4219"/>
        <w:gridCol w:w="808"/>
        <w:gridCol w:w="584"/>
        <w:gridCol w:w="584"/>
        <w:gridCol w:w="584"/>
        <w:gridCol w:w="584"/>
        <w:gridCol w:w="584"/>
        <w:gridCol w:w="585"/>
      </w:tblGrid>
      <w:tr>
        <w:tblPrEx>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4.4.7</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应急准备和响应</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4.5</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检查</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4.5.1</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绩效测量和监视</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4.5.2</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合规性评价</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4.5.3</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事件调查、不符合、纠正和预防措施</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4.5.4</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记录控制</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4.5.5</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内部审核</w:t>
            </w:r>
          </w:p>
        </w:tc>
        <w:tc>
          <w:tcPr>
            <w:tcW w:w="808"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r>
        <w:tblPrEx>
          <w:tblW w:w="0" w:type="auto"/>
          <w:jc w:val="center"/>
          <w:tblLayout w:type="fixed"/>
          <w:tblLook w:val="0000"/>
        </w:tblPrEx>
        <w:trPr>
          <w:trHeight w:hRule="exact" w:val="394"/>
          <w:jc w:val="center"/>
        </w:trPr>
        <w:tc>
          <w:tcPr>
            <w:tcW w:w="1197" w:type="dxa"/>
            <w:vAlign w:val="center"/>
          </w:tcPr>
          <w:p w:rsidR="00B37071">
            <w:pPr>
              <w:pStyle w:val="Normal0"/>
              <w:spacing w:line="200" w:lineRule="exact"/>
              <w:jc w:val="center"/>
              <w:rPr>
                <w:color w:val="000000"/>
                <w:sz w:val="18"/>
                <w:szCs w:val="18"/>
              </w:rPr>
            </w:pPr>
            <w:r>
              <w:rPr>
                <w:rFonts w:hint="eastAsia"/>
                <w:color w:val="000000"/>
                <w:sz w:val="18"/>
                <w:szCs w:val="18"/>
              </w:rPr>
              <w:t>4.6</w:t>
            </w:r>
          </w:p>
        </w:tc>
        <w:tc>
          <w:tcPr>
            <w:tcW w:w="4219" w:type="dxa"/>
            <w:vAlign w:val="center"/>
          </w:tcPr>
          <w:p w:rsidR="00B37071">
            <w:pPr>
              <w:pStyle w:val="Normal0"/>
              <w:spacing w:line="200" w:lineRule="exact"/>
              <w:rPr>
                <w:color w:val="000000"/>
                <w:sz w:val="18"/>
                <w:szCs w:val="18"/>
              </w:rPr>
            </w:pPr>
            <w:r>
              <w:rPr>
                <w:rFonts w:hint="eastAsia"/>
                <w:color w:val="000000"/>
                <w:sz w:val="18"/>
                <w:szCs w:val="18"/>
              </w:rPr>
              <w:t>管理评审</w:t>
            </w:r>
          </w:p>
        </w:tc>
        <w:tc>
          <w:tcPr>
            <w:tcW w:w="808" w:type="dxa"/>
            <w:vAlign w:val="center"/>
          </w:tcPr>
          <w:p w:rsidR="00B37071">
            <w:pPr>
              <w:pStyle w:val="Normal0"/>
              <w:spacing w:line="200" w:lineRule="exact"/>
              <w:jc w:val="center"/>
              <w:rPr>
                <w:color w:val="000000"/>
                <w:sz w:val="18"/>
                <w:szCs w:val="18"/>
              </w:rP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4" w:type="dxa"/>
            <w:vAlign w:val="center"/>
          </w:tcPr>
          <w:p w:rsidR="00B37071">
            <w:pPr>
              <w:pStyle w:val="Normal0"/>
              <w:jc w:val="center"/>
            </w:pPr>
            <w:r>
              <w:rPr>
                <w:rFonts w:ascii="宋体" w:hAnsi="宋体" w:hint="eastAsia"/>
                <w:color w:val="000000"/>
                <w:sz w:val="18"/>
                <w:szCs w:val="18"/>
              </w:rPr>
              <w:t>△</w:t>
            </w:r>
          </w:p>
        </w:tc>
        <w:tc>
          <w:tcPr>
            <w:tcW w:w="585" w:type="dxa"/>
            <w:vAlign w:val="center"/>
          </w:tcPr>
          <w:p w:rsidR="00B37071">
            <w:pPr>
              <w:pStyle w:val="Normal0"/>
              <w:jc w:val="center"/>
            </w:pPr>
            <w:r>
              <w:rPr>
                <w:rFonts w:ascii="宋体" w:hAnsi="宋体" w:hint="eastAsia"/>
                <w:color w:val="000000"/>
                <w:sz w:val="18"/>
                <w:szCs w:val="18"/>
              </w:rPr>
              <w:t>△</w:t>
            </w:r>
          </w:p>
        </w:tc>
      </w:tr>
    </w:tbl>
    <w:p w:rsidR="00B37071">
      <w:pPr>
        <w:pStyle w:val="Normal0"/>
        <w:spacing w:line="360" w:lineRule="auto"/>
        <w:outlineLvl w:val="1"/>
        <w:rPr>
          <w:rFonts w:ascii="宋体" w:hAnsi="宋体"/>
          <w:sz w:val="24"/>
        </w:rPr>
      </w:pPr>
      <w:bookmarkStart w:id="63" w:name="_Toc360632737"/>
      <w:r>
        <w:rPr>
          <w:rFonts w:ascii="宋体" w:hAnsi="宋体" w:hint="eastAsia"/>
          <w:sz w:val="24"/>
        </w:rPr>
        <w:t>6</w:t>
      </w:r>
      <w:r>
        <w:rPr>
          <w:rFonts w:ascii="宋体" w:hAnsi="宋体"/>
          <w:sz w:val="24"/>
        </w:rPr>
        <w:t>.</w:t>
      </w:r>
      <w:r>
        <w:rPr>
          <w:rFonts w:ascii="宋体" w:hAnsi="宋体" w:hint="eastAsia"/>
          <w:sz w:val="24"/>
        </w:rPr>
        <w:t>2</w:t>
      </w:r>
      <w:r>
        <w:rPr>
          <w:rFonts w:ascii="宋体" w:hAnsi="宋体" w:hint="eastAsia"/>
          <w:sz w:val="24"/>
        </w:rPr>
        <w:t>、质量保证措施</w:t>
      </w:r>
      <w:bookmarkEnd w:id="63"/>
    </w:p>
    <w:p w:rsidR="00B37071">
      <w:pPr>
        <w:pStyle w:val="Normal0"/>
        <w:spacing w:line="360" w:lineRule="auto"/>
        <w:rPr>
          <w:rFonts w:ascii="宋体" w:hAnsi="宋体"/>
          <w:bCs/>
          <w:sz w:val="24"/>
        </w:rPr>
      </w:pPr>
      <w:r>
        <w:rPr>
          <w:rFonts w:ascii="宋体" w:hAnsi="宋体" w:hint="eastAsia"/>
          <w:bCs/>
          <w:sz w:val="24"/>
        </w:rPr>
        <w:t>6</w:t>
      </w:r>
      <w:r>
        <w:rPr>
          <w:rFonts w:ascii="宋体" w:hAnsi="宋体"/>
          <w:bCs/>
          <w:sz w:val="24"/>
        </w:rPr>
        <w:t>.</w:t>
      </w:r>
      <w:r>
        <w:rPr>
          <w:rFonts w:ascii="宋体" w:hAnsi="宋体" w:hint="eastAsia"/>
          <w:bCs/>
          <w:sz w:val="24"/>
        </w:rPr>
        <w:t>2</w:t>
      </w:r>
      <w:r>
        <w:rPr>
          <w:rFonts w:ascii="宋体" w:hAnsi="宋体"/>
          <w:bCs/>
          <w:sz w:val="24"/>
        </w:rPr>
        <w:t>.1</w:t>
      </w:r>
      <w:r>
        <w:rPr>
          <w:rFonts w:ascii="宋体" w:hAnsi="宋体" w:hint="eastAsia"/>
          <w:bCs/>
          <w:sz w:val="24"/>
        </w:rPr>
        <w:t>一般过程控制</w:t>
      </w:r>
    </w:p>
    <w:p w:rsidR="00B37071">
      <w:pPr>
        <w:pStyle w:val="Normal0"/>
        <w:spacing w:line="360" w:lineRule="auto"/>
        <w:ind w:firstLine="480" w:firstLineChars="200"/>
        <w:rPr>
          <w:rFonts w:ascii="宋体" w:hAnsi="宋体"/>
          <w:sz w:val="24"/>
        </w:rPr>
      </w:pPr>
      <w:r>
        <w:rPr>
          <w:rFonts w:ascii="宋体" w:hAnsi="宋体" w:hint="eastAsia"/>
          <w:sz w:val="24"/>
        </w:rPr>
        <w:t>一般工程施工前，由项目施工员依据施工方案、施工图纸、有关规范标准、工艺标准向作业班组进行技术交底，并组织实施。项目施工员依据图纸进行测量放线，标明轴线、标高及截面尺寸位置，施工员针对作业环境采取相应的控制措施。施工员组织作业班组对施工质量进行自检、互检、交接检，及时做好工程预检和隐蔽，并办理验收手续。工程施工过程中如遇到有质量波动，项目技术负责人应及时对过程进行分析、查找原因，并做好记录及时采取对策。</w:t>
      </w:r>
    </w:p>
    <w:p w:rsidR="00B37071">
      <w:pPr>
        <w:pStyle w:val="Normal0"/>
        <w:spacing w:line="360" w:lineRule="auto"/>
        <w:rPr>
          <w:rFonts w:ascii="宋体" w:hAnsi="宋体"/>
          <w:sz w:val="24"/>
        </w:rPr>
      </w:pPr>
      <w:r>
        <w:rPr>
          <w:rFonts w:ascii="宋体" w:hAnsi="宋体" w:hint="eastAsia"/>
          <w:sz w:val="24"/>
        </w:rPr>
        <w:t>6</w:t>
      </w:r>
      <w:r>
        <w:rPr>
          <w:rFonts w:ascii="宋体" w:hAnsi="宋体"/>
          <w:sz w:val="24"/>
        </w:rPr>
        <w:t>.</w:t>
      </w:r>
      <w:r>
        <w:rPr>
          <w:rFonts w:ascii="宋体" w:hAnsi="宋体" w:hint="eastAsia"/>
          <w:sz w:val="24"/>
        </w:rPr>
        <w:t>2</w:t>
      </w:r>
      <w:r>
        <w:rPr>
          <w:rFonts w:ascii="宋体" w:hAnsi="宋体"/>
          <w:sz w:val="24"/>
        </w:rPr>
        <w:t>.2</w:t>
      </w:r>
      <w:r>
        <w:rPr>
          <w:rFonts w:ascii="宋体" w:hAnsi="宋体" w:hint="eastAsia"/>
          <w:sz w:val="24"/>
        </w:rPr>
        <w:t>、水泥搅拌桩施工过程控制</w:t>
      </w:r>
    </w:p>
    <w:p w:rsidR="00B37071">
      <w:pPr>
        <w:pStyle w:val="Normal0"/>
        <w:spacing w:line="360" w:lineRule="auto"/>
        <w:rPr>
          <w:rFonts w:ascii="新宋体" w:hAnsi="新宋体"/>
          <w:sz w:val="24"/>
        </w:rPr>
      </w:pPr>
      <w:r>
        <w:rPr>
          <w:rFonts w:ascii="新宋体" w:hAnsi="新宋体" w:hint="eastAsia"/>
          <w:sz w:val="24"/>
        </w:rPr>
        <w:t>6.2.2.1</w:t>
      </w:r>
      <w:r>
        <w:rPr>
          <w:rFonts w:ascii="新宋体" w:hAnsi="新宋体" w:hint="eastAsia"/>
          <w:sz w:val="24"/>
        </w:rPr>
        <w:t>、施工现场事先予以平整清障，不得回填杂填土或生活垃圾。施</w:t>
      </w:r>
      <w:r>
        <w:rPr>
          <w:rFonts w:ascii="新宋体" w:hAnsi="新宋体" w:hint="eastAsia"/>
          <w:sz w:val="24"/>
        </w:rPr>
        <w:t>工前检验机具性能和施工工艺各项技术参数，并进行实际标定，有关技术参数及时提供现场监理工程师，以作为控制搅拌桩质量的依据。</w:t>
      </w:r>
    </w:p>
    <w:p w:rsidR="00B37071">
      <w:pPr>
        <w:pStyle w:val="Normal0"/>
        <w:spacing w:line="360" w:lineRule="auto"/>
        <w:rPr>
          <w:rFonts w:ascii="新宋体" w:hAnsi="新宋体"/>
          <w:sz w:val="24"/>
        </w:rPr>
      </w:pPr>
      <w:r>
        <w:rPr>
          <w:rFonts w:ascii="新宋体" w:hAnsi="新宋体" w:hint="eastAsia"/>
          <w:sz w:val="24"/>
        </w:rPr>
        <w:t>6.2.2.2</w:t>
      </w:r>
      <w:r>
        <w:rPr>
          <w:rFonts w:ascii="新宋体" w:hAnsi="新宋体" w:hint="eastAsia"/>
          <w:sz w:val="24"/>
        </w:rPr>
        <w:t>、严格执行各项材料检验制度，所有建筑材料必须有出厂合格证或质量保证资料，杜绝不合格材料入场。对需复检的材料必须复检合格后方准使用。加强对原材料分类，标识管理。</w:t>
      </w:r>
    </w:p>
    <w:p w:rsidR="00B37071">
      <w:pPr>
        <w:pStyle w:val="Normal0"/>
        <w:spacing w:line="360" w:lineRule="auto"/>
        <w:rPr>
          <w:rFonts w:ascii="新宋体" w:hAnsi="新宋体"/>
          <w:sz w:val="24"/>
        </w:rPr>
      </w:pPr>
      <w:r>
        <w:rPr>
          <w:rFonts w:ascii="新宋体" w:hAnsi="新宋体" w:hint="eastAsia"/>
          <w:sz w:val="24"/>
        </w:rPr>
        <w:t>6.2.2.3</w:t>
      </w:r>
      <w:r>
        <w:rPr>
          <w:rFonts w:ascii="新宋体" w:hAnsi="新宋体" w:hint="eastAsia"/>
          <w:sz w:val="24"/>
        </w:rPr>
        <w:t>、加强现场计量器具管理。对测量仪器、计量器必须校验合格后才能使用，使用中要定期校核。现场测量放线采用专人负责制，加强对现场测量复检工作。</w:t>
      </w:r>
    </w:p>
    <w:p w:rsidR="00B37071">
      <w:pPr>
        <w:pStyle w:val="Normal0"/>
        <w:spacing w:line="360" w:lineRule="auto"/>
        <w:rPr>
          <w:rFonts w:ascii="新宋体" w:hAnsi="新宋体"/>
          <w:sz w:val="24"/>
        </w:rPr>
      </w:pPr>
      <w:r>
        <w:rPr>
          <w:rFonts w:ascii="新宋体" w:hAnsi="新宋体" w:hint="eastAsia"/>
          <w:sz w:val="24"/>
        </w:rPr>
        <w:t>6.2.2.4</w:t>
      </w:r>
      <w:r>
        <w:rPr>
          <w:rFonts w:ascii="新宋体" w:hAnsi="新宋体" w:hint="eastAsia"/>
          <w:sz w:val="24"/>
        </w:rPr>
        <w:t>、根据设计要求进行工艺性试验，确定出各项施工参数，</w:t>
      </w:r>
      <w:r>
        <w:rPr>
          <w:rFonts w:ascii="新宋体" w:hAnsi="新宋体" w:hint="eastAsia"/>
          <w:sz w:val="24"/>
        </w:rPr>
        <w:t>施工工程中严格按设计及工艺要求进行。当桩周为成层土时，应对相对软弱土层增加搅拌次数或增加水泥渗量。</w:t>
      </w:r>
    </w:p>
    <w:p w:rsidR="00B37071">
      <w:pPr>
        <w:pStyle w:val="Normal0"/>
        <w:spacing w:line="360" w:lineRule="auto"/>
        <w:rPr>
          <w:rFonts w:ascii="新宋体" w:hAnsi="新宋体"/>
          <w:sz w:val="24"/>
        </w:rPr>
      </w:pPr>
      <w:r>
        <w:rPr>
          <w:rFonts w:ascii="新宋体" w:hAnsi="新宋体" w:hint="eastAsia"/>
          <w:sz w:val="24"/>
        </w:rPr>
        <w:t>6.2.2.5</w:t>
      </w:r>
      <w:r>
        <w:rPr>
          <w:rFonts w:ascii="新宋体" w:hAnsi="新宋体" w:hint="eastAsia"/>
          <w:sz w:val="24"/>
        </w:rPr>
        <w:t>、搅拌头叶片的枚数、宽度、与搅拌轴的垂直夹角、搅拌头的回转数、提升速度相互匹配，确保加固深度范围内土体的搅拌次数满足规范要求。</w:t>
      </w:r>
    </w:p>
    <w:p w:rsidR="00B37071">
      <w:pPr>
        <w:pStyle w:val="Normal0"/>
        <w:spacing w:line="360" w:lineRule="auto"/>
        <w:rPr>
          <w:rFonts w:ascii="新宋体" w:hAnsi="新宋体"/>
          <w:sz w:val="24"/>
        </w:rPr>
      </w:pPr>
      <w:r>
        <w:rPr>
          <w:rFonts w:ascii="新宋体" w:hAnsi="新宋体" w:hint="eastAsia"/>
          <w:sz w:val="24"/>
        </w:rPr>
        <w:t>6.2.2.6</w:t>
      </w:r>
      <w:r>
        <w:rPr>
          <w:rFonts w:ascii="新宋体" w:hAnsi="新宋体" w:hint="eastAsia"/>
          <w:sz w:val="24"/>
        </w:rPr>
        <w:t>、施工中始终保持搅拌桩机底盘的水平和导向架的垂直，搅拌桩的垂直度偏差不超高</w:t>
      </w:r>
      <w:r>
        <w:rPr>
          <w:rFonts w:ascii="新宋体" w:hAnsi="新宋体" w:hint="eastAsia"/>
          <w:sz w:val="24"/>
        </w:rPr>
        <w:t>1%</w:t>
      </w:r>
      <w:r>
        <w:rPr>
          <w:rFonts w:ascii="新宋体" w:hAnsi="新宋体" w:hint="eastAsia"/>
          <w:sz w:val="24"/>
        </w:rPr>
        <w:t>，桩位的偏差不大于</w:t>
      </w:r>
      <w:r>
        <w:rPr>
          <w:rFonts w:ascii="新宋体" w:hAnsi="新宋体" w:hint="eastAsia"/>
          <w:sz w:val="24"/>
        </w:rPr>
        <w:t>50mm</w:t>
      </w:r>
      <w:r>
        <w:rPr>
          <w:rFonts w:ascii="新宋体" w:hAnsi="新宋体" w:hint="eastAsia"/>
          <w:sz w:val="24"/>
        </w:rPr>
        <w:t>，成桩直径及桩长满足设计要求。</w:t>
      </w:r>
      <w:r>
        <w:rPr>
          <w:rFonts w:ascii="新宋体" w:hAnsi="新宋体"/>
          <w:sz w:val="24"/>
        </w:rPr>
        <w:br/>
      </w:r>
      <w:r>
        <w:rPr>
          <w:rFonts w:ascii="新宋体" w:hAnsi="新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https://d.book118.com/125303033343011114</w:t>
        </w:r>
      </w:hyperlink>
    </w:p>
    <w:p w:rsidR="00B37071">
      <w:pPr>
        <w:pStyle w:val="Normal0"/>
        <w:spacing w:line="360" w:lineRule="auto"/>
        <w:rPr>
          <w:rFonts w:ascii="新宋体" w:hAnsi="新宋体"/>
          <w:sz w:val="24"/>
        </w:rPr>
      </w:pPr>
    </w:p>
    <w:sectPr>
      <w:type w:val="nextPage"/>
      <w:pgSz w:w="11907" w:h="16840"/>
      <w:pgMar w:top="1418" w:right="1123" w:bottom="1418" w:left="1418" w:header="851" w:footer="851" w:gutter="0"/>
      <w:pgNumType w:fmt="numberInDash" w:start="14"/>
      <w:cols w:space="708"/>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default"/>
    <w:sig w:usb0="E0002EFF" w:usb1="C0007843" w:usb2="00000009" w:usb3="00000000" w:csb0="400001FF" w:csb1="FFFF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A1FC9"/>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37071"/>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B5A4A89-01E4-4E81-88DB-BDFABECCA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32"/>
    </w:rPr>
  </w:style>
  <w:style w:type="paragraph" w:styleId="TOC1">
    <w:name w:val="toc 1"/>
    <w:basedOn w:val="Normal"/>
    <w:next w:val="Normal0"/>
    <w:pPr>
      <w:spacing w:before="120" w:after="120"/>
      <w:jc w:val="left"/>
    </w:pPr>
    <w:rPr>
      <w:rFonts w:ascii="Times New Roman" w:hAnsi="Times New Roman"/>
      <w:b/>
      <w:bCs/>
      <w:caps/>
      <w:sz w:val="20"/>
      <w:szCs w:val="20"/>
    </w:rPr>
  </w:style>
  <w:style w:type="character" w:styleId="Hyperlink">
    <w:name w:val="Hyperlink"/>
    <w:basedOn w:val="DefaultParagraphFont"/>
    <w:rPr>
      <w:color w:val="0000FF"/>
      <w:u w:val="single"/>
    </w:rPr>
  </w:style>
  <w:style w:type="paragraph" w:styleId="TOC2">
    <w:name w:val="toc 2"/>
    <w:basedOn w:val="Normal"/>
    <w:next w:val="Normal0"/>
    <w:pPr>
      <w:tabs>
        <w:tab w:val="right" w:leader="dot" w:pos="9356"/>
      </w:tabs>
      <w:ind w:left="320"/>
      <w:jc w:val="left"/>
    </w:pPr>
    <w:rPr>
      <w:rFonts w:ascii="Times New Roman" w:hAnsi="Times New Roman"/>
      <w:smallCaps/>
      <w:sz w:val="20"/>
      <w:szCs w:val="20"/>
    </w:rPr>
  </w:style>
  <w:style w:type="paragraph" w:styleId="Date">
    <w:name w:val="Date"/>
    <w:basedOn w:val="Normal"/>
    <w:next w:val="Normal0"/>
    <w:pPr>
      <w:ind w:left="100" w:leftChars="2500"/>
    </w:pPr>
    <w:rPr>
      <w:rFonts w:ascii="Times New Roman" w:hAnsi="Times New Roman"/>
      <w:sz w:val="28"/>
      <w:szCs w:val="20"/>
    </w:rPr>
  </w:style>
  <w:style w:type="paragraph" w:styleId="PlainText">
    <w:name w:val="Plain Text"/>
    <w:basedOn w:val="Normal"/>
    <w:pPr>
      <w:adjustRightInd w:val="0"/>
      <w:snapToGrid w:val="0"/>
      <w:ind w:firstLine="510"/>
    </w:pPr>
    <w:rPr>
      <w:rFonts w:ascii="宋体" w:hAnsi="Courier New"/>
      <w:sz w:val="24"/>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hyperlink" Target="https://d.book118.com/12530303334301111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3341</Words>
  <Characters>19046</Characters>
  <Application>Microsoft Office Word</Application>
  <DocSecurity>0</DocSecurity>
  <Lines>158</Lines>
  <Paragraphs>44</Paragraphs>
  <ScaleCrop>false</ScaleCrop>
  <Company/>
  <LinksUpToDate>false</LinksUpToDate>
  <CharactersWithSpaces>22343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