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r>
        <w:rPr>
          <w:sz w:val="44"/>
        </w:rPr>
        <w:drawing>
          <wp:anchor distT="0" distB="0" distL="114300" distR="114300" simplePos="0" relativeHeight="251658240" behindDoc="0" locked="0" layoutInCell="1" allowOverlap="1">
            <wp:simplePos x="0" y="0"/>
            <wp:positionH relativeFrom="column">
              <wp:posOffset>-306070</wp:posOffset>
            </wp:positionH>
            <wp:positionV relativeFrom="page">
              <wp:posOffset>401955</wp:posOffset>
            </wp:positionV>
            <wp:extent cx="2519045" cy="2356485"/>
            <wp:effectExtent l="0" t="0" r="0" b="0"/>
            <wp:wrapNone/>
            <wp:docPr id="6" name="图片 6"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图片1.png图片1"/>
                    <pic:cNvPicPr>
                      <a:picLocks noChangeAspect="1"/>
                    </pic:cNvPicPr>
                  </pic:nvPicPr>
                  <pic:blipFill>
                    <a:blip xmlns:r="http://schemas.openxmlformats.org/officeDocument/2006/relationships" r:embed="rId6"/>
                    <a:stretch>
                      <a:fillRect/>
                    </a:stretch>
                  </pic:blipFill>
                  <pic:spPr>
                    <a:xfrm>
                      <a:off x="0" y="0"/>
                      <a:ext cx="2519045" cy="2356485"/>
                    </a:xfrm>
                    <a:prstGeom prst="rect">
                      <a:avLst/>
                    </a:prstGeom>
                  </pic:spPr>
                </pic:pic>
              </a:graphicData>
            </a:graphic>
          </wp:anchor>
        </w:drawing>
      </w:r>
    </w:p>
    <w:p>
      <w:pPr>
        <w:rPr>
          <w:rFonts w:ascii="黑体" w:eastAsia="黑体" w:hAnsi="黑体" w:cs="黑体" w:hint="eastAsia"/>
          <w:b/>
          <w:bCs/>
          <w:sz w:val="52"/>
          <w:szCs w:val="52"/>
          <w:lang w:eastAsia="zh-CN"/>
        </w:rPr>
      </w:pPr>
      <w:bookmarkStart w:id="0" w:name="_GoBack"/>
      <w:bookmarkEnd w:id="0"/>
    </w:p>
    <w:p>
      <w:pPr>
        <w:rPr>
          <w:rFonts w:ascii="黑体" w:eastAsia="黑体" w:hAnsi="黑体" w:cs="黑体" w:hint="eastAsia"/>
          <w:b/>
          <w:bCs/>
          <w:sz w:val="52"/>
          <w:szCs w:val="52"/>
          <w:lang w:eastAsia="zh-CN"/>
        </w:rPr>
      </w:pPr>
      <w:r>
        <w:rPr>
          <w:rFonts w:ascii="黑体" w:eastAsia="黑体" w:hAnsi="黑体" w:cs="黑体" w:hint="eastAsia"/>
          <w:b/>
          <w:bCs/>
          <w:sz w:val="52"/>
          <w:szCs w:val="52"/>
          <w:lang w:val="en-US" w:eastAsia="zh-CN"/>
        </w:rPr>
        <w:t>供货合同范本通用版8篇</w:t>
      </w:r>
    </w:p>
    <w:p>
      <w:pPr>
        <w:rPr>
          <w:rFonts w:eastAsia="黑体" w:hAnsi="黑体" w:asciiTheme="minorAscii" w:cs="黑体" w:hint="eastAsia"/>
          <w:b w:val="0"/>
          <w:bCs w:val="0"/>
          <w:sz w:val="32"/>
          <w:szCs w:val="32"/>
          <w:lang w:eastAsia="zh-CN"/>
        </w:rPr>
      </w:pPr>
      <w:r>
        <w:rPr>
          <w:rFonts w:eastAsia="黑体" w:hAnsi="黑体" w:asciiTheme="minorAscii" w:cs="黑体" w:hint="eastAsia"/>
          <w:b w:val="0"/>
          <w:bCs w:val="0"/>
          <w:sz w:val="32"/>
          <w:szCs w:val="32"/>
          <w:lang w:val="en-US" w:eastAsia="zh-CN"/>
        </w:rPr>
        <w:t>General version of supply contract model</w:t>
      </w:r>
    </w:p>
    <w:p>
      <w:pPr>
        <w:rPr>
          <w:rFonts w:eastAsia="黑体" w:hAnsi="黑体" w:asciiTheme="minorAscii" w:cs="黑体" w:hint="eastAsia"/>
          <w:b w:val="0"/>
          <w:bCs w:val="0"/>
          <w:sz w:val="32"/>
          <w:szCs w:val="32"/>
          <w:lang w:eastAsia="zh-CN"/>
        </w:rPr>
        <w:sectPr>
          <w:headerReference w:type="default" r:id="rId7"/>
          <w:footerReference w:type="default" r:id="rId8"/>
          <w:pgSz w:w="12240" w:h="15840"/>
          <w:pgMar w:top="1440" w:right="1800" w:bottom="1440" w:left="1800" w:header="720" w:footer="720" w:gutter="0"/>
          <w:pgNumType w:fmt="decimal"/>
          <w:cols w:num="1" w:space="720"/>
          <w:docGrid w:linePitch="360" w:charSpace="0"/>
        </w:sectPr>
      </w:pPr>
      <w:r>
        <w:rPr>
          <w:sz w:val="44"/>
        </w:rPr>
        <mc:AlternateContent>
          <mc:Choice Requires="wps">
            <w:drawing>
              <wp:anchor distT="0" distB="0" distL="114300" distR="114300" simplePos="0" relativeHeight="251662336" behindDoc="0" locked="0" layoutInCell="1" allowOverlap="1">
                <wp:simplePos x="0" y="0"/>
                <wp:positionH relativeFrom="column">
                  <wp:posOffset>954405</wp:posOffset>
                </wp:positionH>
                <wp:positionV relativeFrom="page">
                  <wp:posOffset>5755005</wp:posOffset>
                </wp:positionV>
                <wp:extent cx="3634105" cy="1304290"/>
                <wp:effectExtent l="13970" t="13970" r="28575" b="1524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3634105" cy="1304290"/>
                        </a:xfrm>
                        <a:prstGeom prst="rect">
                          <a:avLst/>
                        </a:prstGeom>
                        <a:noFill/>
                        <a:ln w="28575" cap="rnd" cmpd="dbl">
                          <a:solidFill>
                            <a:schemeClr val="bg2"/>
                          </a:solidFill>
                          <a:prstDash val="solid"/>
                        </a:ln>
                        <a:effectLst/>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ascii="黑体" w:eastAsia="黑体" w:hAnsi="黑体" w:cs="黑体" w:hint="default"/>
                                <w:b w:val="0"/>
                                <w:bCs w:val="0"/>
                                <w:color w:val="000000" w:themeColor="text1"/>
                                <w:sz w:val="32"/>
                                <w:szCs w:val="32"/>
                                <w:u w:val="single"/>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pPr>
                            <w:r>
                              <w:rPr>
                                <w:rFonts w:ascii="黑体" w:eastAsia="黑体" w:hAnsi="黑体" w:cs="黑体" w:hint="eastAsia"/>
                                <w:b w:val="0"/>
                                <w:bCs w:val="0"/>
                                <w:color w:val="000000" w:themeColor="text1"/>
                                <w:sz w:val="30"/>
                                <w:szCs w:val="30"/>
                                <w:u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t>甲方：___________________________</w:t>
                            </w:r>
                            <w:r>
                              <w:rPr>
                                <w:rFonts w:ascii="黑体" w:eastAsia="黑体" w:hAnsi="黑体" w:cs="黑体" w:hint="eastAsia"/>
                                <w:b w:val="0"/>
                                <w:bCs w:val="0"/>
                                <w:color w:val="000000" w:themeColor="text1"/>
                                <w:sz w:val="32"/>
                                <w:szCs w:val="32"/>
                                <w:u w:val="singl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t xml:space="preserve">                </w:t>
                            </w:r>
                          </w:p>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ascii="黑体" w:eastAsia="黑体" w:hAnsi="黑体" w:cs="黑体" w:hint="default"/>
                                <w:b w:val="0"/>
                                <w:bCs w:val="0"/>
                                <w:color w:val="000000" w:themeColor="text1"/>
                                <w:sz w:val="30"/>
                                <w:szCs w:val="30"/>
                                <w:u w:val="single"/>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pPr>
                            <w:r>
                              <w:rPr>
                                <w:rFonts w:ascii="黑体" w:eastAsia="黑体" w:hAnsi="黑体" w:cs="黑体" w:hint="eastAsia"/>
                                <w:b w:val="0"/>
                                <w:bCs w:val="0"/>
                                <w:color w:val="000000" w:themeColor="text1"/>
                                <w:sz w:val="30"/>
                                <w:szCs w:val="30"/>
                                <w:u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t>乙方：___________________________</w:t>
                            </w:r>
                          </w:p>
                          <w:p>
                            <w:pPr>
                              <w:keepNext w:val="0"/>
                              <w:keepLines w:val="0"/>
                              <w:pageBreakBefore w:val="0"/>
                              <w:widowControl/>
                              <w:numPr>
                                <w:ilvl w:val="0"/>
                                <w:numId w:val="0"/>
                              </w:numPr>
                              <w:kinsoku/>
                              <w:wordWrap/>
                              <w:overflowPunct/>
                              <w:topLinePunct w:val="0"/>
                              <w:autoSpaceDE/>
                              <w:autoSpaceDN/>
                              <w:bidi w:val="0"/>
                              <w:adjustRightInd/>
                              <w:snapToGrid/>
                              <w:ind w:leftChars="0"/>
                              <w:jc w:val="left"/>
                              <w:textAlignment w:val="auto"/>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pPr>
                            <w:r>
                              <w:rPr>
                                <w:rFonts w:ascii="黑体" w:eastAsia="黑体" w:hAnsi="黑体" w:cs="黑体" w:hint="eastAsia"/>
                                <w:b w:val="0"/>
                                <w:bCs w:val="0"/>
                                <w:color w:val="000000" w:themeColor="text1"/>
                                <w:sz w:val="30"/>
                                <w:szCs w:val="30"/>
                                <w:u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t xml:space="preserve">签订日期：____ 年 ____ 月 ____ 日 </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文本框 2" o:spid="_x0000_s1025" type="#_x0000_t202" style="width:286.15pt;height:102.7pt;margin-top:453.15pt;margin-left:75.15pt;mso-position-vertical-relative:page;mso-wrap-distance-bottom:0;mso-wrap-distance-left:9pt;mso-wrap-distance-right:9pt;mso-wrap-distance-top:0;position:absolute;v-text-anchor:top;z-index:251661312" filled="f" fillcolor="this" stroked="t" strokecolor="#eeece1" strokeweight="2.25pt">
                <v:stroke linestyle="thinThin" endcap="round"/>
                <v:textbox>
                  <w:txbxContent>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ascii="黑体" w:eastAsia="黑体" w:hAnsi="黑体" w:cs="黑体" w:hint="default"/>
                          <w:b w:val="0"/>
                          <w:bCs w:val="0"/>
                          <w:color w:val="000000" w:themeColor="text1"/>
                          <w:sz w:val="32"/>
                          <w:szCs w:val="32"/>
                          <w:u w:val="single"/>
                          <w:lang w:eastAsia="zh-CN"/>
                        </w:rPr>
                      </w:pPr>
                      <w:r>
                        <w:rPr>
                          <w:rFonts w:ascii="黑体" w:eastAsia="黑体" w:hAnsi="黑体" w:cs="黑体" w:hint="eastAsia"/>
                          <w:b w:val="0"/>
                          <w:bCs w:val="0"/>
                          <w:color w:val="000000" w:themeColor="text1"/>
                          <w:sz w:val="30"/>
                          <w:szCs w:val="30"/>
                          <w:u w:val="none"/>
                          <w:lang w:val="en-US" w:eastAsia="zh-CN"/>
                        </w:rPr>
                        <w:t>甲方：___________________________</w:t>
                      </w:r>
                      <w:r>
                        <w:rPr>
                          <w:rFonts w:ascii="黑体" w:eastAsia="黑体" w:hAnsi="黑体" w:cs="黑体" w:hint="eastAsia"/>
                          <w:b w:val="0"/>
                          <w:bCs w:val="0"/>
                          <w:color w:val="000000" w:themeColor="text1"/>
                          <w:sz w:val="32"/>
                          <w:szCs w:val="32"/>
                          <w:u w:val="single"/>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ascii="黑体" w:eastAsia="黑体" w:hAnsi="黑体" w:cs="黑体" w:hint="default"/>
                          <w:b w:val="0"/>
                          <w:bCs w:val="0"/>
                          <w:color w:val="000000" w:themeColor="text1"/>
                          <w:sz w:val="30"/>
                          <w:szCs w:val="30"/>
                          <w:u w:val="single"/>
                          <w:lang w:eastAsia="zh-CN"/>
                        </w:rPr>
                      </w:pPr>
                      <w:r>
                        <w:rPr>
                          <w:rFonts w:ascii="黑体" w:eastAsia="黑体" w:hAnsi="黑体" w:cs="黑体" w:hint="eastAsia"/>
                          <w:b w:val="0"/>
                          <w:bCs w:val="0"/>
                          <w:color w:val="000000" w:themeColor="text1"/>
                          <w:sz w:val="30"/>
                          <w:szCs w:val="30"/>
                          <w:u w:val="none"/>
                          <w:lang w:val="en-US" w:eastAsia="zh-CN"/>
                        </w:rPr>
                        <w:t>乙方：___________________________</w:t>
                      </w:r>
                    </w:p>
                    <w:p>
                      <w:pPr>
                        <w:keepNext w:val="0"/>
                        <w:keepLines w:val="0"/>
                        <w:pageBreakBefore w:val="0"/>
                        <w:widowControl/>
                        <w:numPr>
                          <w:ilvl w:val="0"/>
                          <w:numId w:val="0"/>
                        </w:numPr>
                        <w:kinsoku/>
                        <w:wordWrap/>
                        <w:overflowPunct/>
                        <w:topLinePunct w:val="0"/>
                        <w:autoSpaceDE/>
                        <w:autoSpaceDN/>
                        <w:bidi w:val="0"/>
                        <w:adjustRightInd/>
                        <w:snapToGrid/>
                        <w:ind w:leftChars="0"/>
                        <w:jc w:val="left"/>
                        <w:textAlignment w:val="auto"/>
                        <w:rPr>
                          <w:rFonts w:hint="eastAsia"/>
                          <w:color w:val="000000" w:themeColor="text1"/>
                          <w:lang w:eastAsia="zh-CN"/>
                        </w:rPr>
                      </w:pPr>
                      <w:r>
                        <w:rPr>
                          <w:rFonts w:ascii="黑体" w:eastAsia="黑体" w:hAnsi="黑体" w:cs="黑体" w:hint="eastAsia"/>
                          <w:b w:val="0"/>
                          <w:bCs w:val="0"/>
                          <w:color w:val="000000" w:themeColor="text1"/>
                          <w:sz w:val="30"/>
                          <w:szCs w:val="30"/>
                          <w:u w:val="none"/>
                          <w:lang w:val="en-US" w:eastAsia="zh-CN"/>
                        </w:rPr>
                        <w:t xml:space="preserve">签订日期：____ 年 ____ 月 ____ 日 </w:t>
                      </w:r>
                    </w:p>
                  </w:txbxContent>
                </v:textbox>
              </v:shape>
            </w:pict>
          </mc:Fallback>
        </mc:AlternateContent>
      </w:r>
      <w:r>
        <w:rPr>
          <w:sz w:val="44"/>
        </w:rPr>
        <w:drawing>
          <wp:anchor distT="0" distB="0" distL="114300" distR="114300" simplePos="0" relativeHeight="251663360" behindDoc="0" locked="0" layoutInCell="1" allowOverlap="1">
            <wp:simplePos x="0" y="0"/>
            <wp:positionH relativeFrom="column">
              <wp:posOffset>3796665</wp:posOffset>
            </wp:positionH>
            <wp:positionV relativeFrom="page">
              <wp:posOffset>7173595</wp:posOffset>
            </wp:positionV>
            <wp:extent cx="2416175" cy="2559685"/>
            <wp:effectExtent l="0" t="0" r="0" b="0"/>
            <wp:wrapNone/>
            <wp:docPr id="1" name="图片 1" descr="C:\Users\Administrator\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图片2.png图片2"/>
                    <pic:cNvPicPr>
                      <a:picLocks noChangeAspect="1"/>
                    </pic:cNvPicPr>
                  </pic:nvPicPr>
                  <pic:blipFill>
                    <a:blip xmlns:r="http://schemas.openxmlformats.org/officeDocument/2006/relationships" r:embed="rId9"/>
                    <a:stretch>
                      <a:fillRect/>
                    </a:stretch>
                  </pic:blipFill>
                  <pic:spPr>
                    <a:xfrm>
                      <a:off x="0" y="0"/>
                      <a:ext cx="2416175" cy="2559685"/>
                    </a:xfrm>
                    <a:prstGeom prst="rect">
                      <a:avLst/>
                    </a:prstGeom>
                  </pic:spPr>
                </pic:pic>
              </a:graphicData>
            </a:graphic>
          </wp:anchor>
        </w:drawing>
      </w:r>
      <w:r>
        <w:rPr>
          <w:sz w:val="44"/>
          <w:szCs w:val="44"/>
        </w:rPr>
        <mc:AlternateContent>
          <mc:Choice Requires="wps">
            <w:drawing>
              <wp:anchor distT="0" distB="0" distL="114300" distR="114300" simplePos="0" relativeHeight="251660288" behindDoc="0" locked="0" layoutInCell="1" allowOverlap="1">
                <wp:simplePos x="0" y="0"/>
                <wp:positionH relativeFrom="column">
                  <wp:posOffset>3431540</wp:posOffset>
                </wp:positionH>
                <wp:positionV relativeFrom="page">
                  <wp:posOffset>1014095</wp:posOffset>
                </wp:positionV>
                <wp:extent cx="2040890" cy="41275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2040890" cy="412750"/>
                        </a:xfrm>
                        <a:prstGeom prst="rect">
                          <a:avLst/>
                        </a:prstGeom>
                        <a:noFill/>
                        <a:ln w="28575" cap="rnd" cmpd="dbl">
                          <a:noFill/>
                          <a:prstDash val="solid"/>
                        </a:ln>
                        <a:effectLst/>
                      </wps:spPr>
                      <wps:style>
                        <a:lnRef idx="0">
                          <a:schemeClr val="accent1"/>
                        </a:lnRef>
                        <a:fillRef idx="0">
                          <a:schemeClr val="accent1"/>
                        </a:fillRef>
                        <a:effectRef idx="0">
                          <a:schemeClr val="accent1"/>
                        </a:effectRef>
                        <a:fontRef idx="minor">
                          <a:schemeClr val="dk1"/>
                        </a:fontRef>
                      </wps:style>
                      <wps:txbx>
                        <w:txbxContent>
                          <w:p>
                            <w:pPr>
                              <w:jc w:val="right"/>
                              <w:rPr>
                                <w:rFonts w:ascii="宋体" w:eastAsia="宋体" w:hAnsi="宋体" w:cs="宋体" w:hint="eastAsia"/>
                                <w:b w:val="0"/>
                                <w:bCs w:val="0"/>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pPr>
                            <w:r>
                              <w:rPr>
                                <w:rFonts w:ascii="宋体" w:eastAsia="宋体" w:hAnsi="宋体" w:cs="宋体" w:hint="eastAsia"/>
                                <w:b w:val="0"/>
                                <w:bCs w:val="0"/>
                                <w:color w:val="000000" w:themeColor="text1"/>
                                <w:sz w:val="28"/>
                                <w:szCs w:val="28"/>
                                <w:u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prstMaterial="clear"/>
                              </w:rPr>
                              <w:t>合同编号：XX-2020-01</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文本框 7" o:spid="_x0000_s1026" type="#_x0000_t202" style="width:160.7pt;height:32.5pt;margin-top:79.85pt;margin-left:270.2pt;mso-position-vertical-relative:page;mso-wrap-distance-bottom:0;mso-wrap-distance-left:9pt;mso-wrap-distance-right:9pt;mso-wrap-distance-top:0;position:absolute;v-text-anchor:top;z-index:251659264" filled="f" fillcolor="this" stroked="f" strokeweight="2.25pt">
                <v:stroke linestyle="thinThin" endcap="round"/>
                <v:textbox>
                  <w:txbxContent>
                    <w:p>
                      <w:pPr>
                        <w:jc w:val="right"/>
                        <w:rPr>
                          <w:rFonts w:ascii="宋体" w:eastAsia="宋体" w:hAnsi="宋体" w:cs="宋体" w:hint="eastAsia"/>
                          <w:b w:val="0"/>
                          <w:bCs w:val="0"/>
                          <w:color w:val="000000" w:themeColor="text1"/>
                          <w:sz w:val="28"/>
                          <w:szCs w:val="28"/>
                          <w:lang w:eastAsia="zh-CN"/>
                        </w:rPr>
                      </w:pPr>
                      <w:r>
                        <w:rPr>
                          <w:rFonts w:ascii="宋体" w:eastAsia="宋体" w:hAnsi="宋体" w:cs="宋体" w:hint="eastAsia"/>
                          <w:b w:val="0"/>
                          <w:bCs w:val="0"/>
                          <w:color w:val="000000" w:themeColor="text1"/>
                          <w:sz w:val="28"/>
                          <w:szCs w:val="28"/>
                          <w:u w:val="none"/>
                          <w:lang w:val="en-US" w:eastAsia="zh-CN"/>
                        </w:rPr>
                        <w:t>合同编号：XX-2020-01</w:t>
                      </w:r>
                    </w:p>
                  </w:txbxContent>
                </v:textbox>
              </v:shape>
            </w:pict>
          </mc:Fallback>
        </mc:AlternateContent>
      </w:r>
    </w:p>
    <w:p>
      <w:pPr>
        <w:bidi w:val="0"/>
        <w:rPr>
          <w:rFonts w:eastAsia="黑体" w:hAnsi="黑体" w:asciiTheme="minorAscii" w:cs="黑体" w:hint="eastAsia"/>
          <w:b w:val="0"/>
          <w:bCs w:val="0"/>
          <w:sz w:val="32"/>
          <w:szCs w:val="32"/>
          <w:lang w:eastAsia="zh-CN"/>
        </w:rPr>
      </w:pPr>
      <w:r>
        <w:rPr>
          <w:rFonts w:ascii="宋体" w:eastAsia="宋体" w:hAnsi="宋体" w:cs="宋体" w:hint="eastAsia"/>
          <w:b/>
          <w:bCs/>
          <w:sz w:val="48"/>
          <w:szCs w:val="48"/>
          <w:lang w:val="en-US" w:eastAsia="zh-CN"/>
        </w:rPr>
        <w:t>供货合同范本通用版8篇</w:t>
      </w:r>
    </w:p>
    <w:p>
      <w:pPr>
        <w:spacing w:line="360" w:lineRule="auto"/>
      </w:pPr>
      <w:r>
        <w:rPr>
          <w:rFonts w:ascii="宋体" w:eastAsia="宋体" w:hAnsi="宋体"/>
          <w:color w:val="8B4513"/>
          <w:sz w:val="24"/>
        </w:rPr>
        <w:t>前言：供货合同是指社会主义组织之间根据国家的物资分配计划达成的有关物资供应的协议，是买卖合同的一种特殊形式，由供方按期将一定数量、质量的物资转让给需方所有或经营管理，需方应及时接受并支付价款。本文档根据供货合同内容要求和特点展开说明，具有实践指导意义，便于学习和使用，本文档下载后内容可按需编辑修改及打印。</w:t>
        <w:br/>
      </w:r>
    </w:p>
    <w:p>
      <w:pPr>
        <w:spacing w:line="360" w:lineRule="auto"/>
      </w:pPr>
      <w:r>
        <w:rPr>
          <w:rFonts w:ascii="宋体" w:eastAsia="宋体" w:hAnsi="宋体"/>
          <w:b/>
          <w:sz w:val="32"/>
        </w:rPr>
        <w:t>本文简要目录如下：</w:t>
      </w:r>
      <w:r>
        <w:rPr>
          <w:rFonts w:ascii="微软雅黑" w:eastAsia="微软雅黑" w:hAnsi="微软雅黑"/>
          <w:sz w:val="28"/>
        </w:rPr>
        <w:t>【下载该文档后使用Word打开，按住键盘Ctrl键且鼠标单击目录内容即可跳转到对应篇章】</w:t>
      </w:r>
      <w:bookmarkStart w:id="1" w:name="title0"/>
      <w:bookmarkEnd w:id="1"/>
    </w:p>
    <w:p>
      <w:r>
        <w:tab/>
      </w:r>
      <w:hyperlink w:anchor="title1" w:history="1">
        <w:r>
          <w:rPr>
            <w:rStyle w:val="HeaderChar"/>
            <w:rFonts w:eastAsia="宋体"/>
            <w:b/>
            <w:sz w:val="32"/>
          </w:rPr>
          <w:t>1、篇章1：供货合同模板(通用版)</w:t>
        </w:r>
      </w:hyperlink>
    </w:p>
    <w:p>
      <w:r>
        <w:tab/>
      </w:r>
      <w:hyperlink w:anchor="title2" w:history="1">
        <w:r>
          <w:rPr>
            <w:rStyle w:val="HeaderChar"/>
            <w:rFonts w:eastAsia="宋体"/>
            <w:b/>
            <w:sz w:val="32"/>
          </w:rPr>
          <w:t>2、篇章2：供货合同文档规范版</w:t>
        </w:r>
      </w:hyperlink>
    </w:p>
    <w:p>
      <w:r>
        <w:tab/>
      </w:r>
      <w:hyperlink w:anchor="title3" w:history="1">
        <w:r>
          <w:rPr>
            <w:rStyle w:val="HeaderChar"/>
            <w:rFonts w:eastAsia="宋体"/>
            <w:b/>
            <w:sz w:val="32"/>
          </w:rPr>
          <w:t>3、篇章3：供货合同范本(标准版)</w:t>
        </w:r>
      </w:hyperlink>
    </w:p>
    <w:p>
      <w:r>
        <w:tab/>
      </w:r>
      <w:hyperlink w:anchor="title4" w:history="1">
        <w:r>
          <w:rPr>
            <w:rStyle w:val="HeaderChar"/>
            <w:rFonts w:eastAsia="宋体"/>
            <w:b/>
            <w:sz w:val="32"/>
          </w:rPr>
          <w:t>4、篇章4：供货合同范文规范版</w:t>
        </w:r>
      </w:hyperlink>
    </w:p>
    <w:p>
      <w:r>
        <w:tab/>
      </w:r>
      <w:hyperlink w:anchor="title5" w:history="1">
        <w:r>
          <w:rPr>
            <w:rStyle w:val="HeaderChar"/>
            <w:rFonts w:eastAsia="宋体"/>
            <w:b/>
            <w:sz w:val="32"/>
          </w:rPr>
          <w:t>5、篇章5：供货合同模板实用版</w:t>
        </w:r>
      </w:hyperlink>
    </w:p>
    <w:p>
      <w:r>
        <w:tab/>
      </w:r>
      <w:hyperlink w:anchor="title6" w:history="1">
        <w:r>
          <w:rPr>
            <w:rStyle w:val="HeaderChar"/>
            <w:rFonts w:eastAsia="宋体"/>
            <w:b/>
            <w:sz w:val="32"/>
          </w:rPr>
          <w:t>6、篇章6：供货合同范本</w:t>
        </w:r>
      </w:hyperlink>
    </w:p>
    <w:p>
      <w:r>
        <w:tab/>
      </w:r>
      <w:hyperlink w:anchor="title7" w:history="1">
        <w:r>
          <w:rPr>
            <w:rStyle w:val="HeaderChar"/>
            <w:rFonts w:eastAsia="宋体"/>
            <w:b/>
            <w:sz w:val="32"/>
          </w:rPr>
          <w:t>7、篇章7：供货合同文档</w:t>
        </w:r>
      </w:hyperlink>
    </w:p>
    <w:p>
      <w:r>
        <w:tab/>
      </w:r>
      <w:hyperlink w:anchor="title8" w:history="1">
        <w:r>
          <w:rPr>
            <w:rStyle w:val="HeaderChar"/>
            <w:rFonts w:eastAsia="宋体"/>
            <w:b/>
            <w:sz w:val="32"/>
          </w:rPr>
          <w:t>8、篇章8：供货合同样本2021版</w:t>
        </w:r>
      </w:hyperlink>
      <w:r>
        <w:br/>
      </w:r>
    </w:p>
    <w:p>
      <w:pPr>
        <w:spacing w:line="360" w:lineRule="auto"/>
      </w:pPr>
      <w:r>
        <w:rPr>
          <w:rFonts w:ascii="宋体" w:eastAsia="宋体" w:hAnsi="宋体"/>
          <w:b/>
          <w:color w:val="1874CD"/>
          <w:sz w:val="32"/>
        </w:rPr>
        <w:t>篇章1:供货合同模板(通用版)</w:t>
      </w:r>
      <w:bookmarkStart w:id="2" w:name="title1"/>
      <w:bookmarkEnd w:id="2"/>
    </w:p>
    <w:p>
      <w:pPr>
        <w:spacing w:line="360" w:lineRule="auto"/>
        <w:sectPr>
          <w:headerReference w:type="default" r:id="rId10"/>
          <w:footerReference w:type="default" r:id="rId11"/>
          <w:type w:val="nextPage"/>
          <w:pgSz w:w="12240" w:h="15840"/>
          <w:pgMar w:top="1440" w:right="1800" w:bottom="1440" w:left="1800" w:header="720" w:footer="720" w:gutter="0"/>
          <w:pgNumType w:fmt="decimal" w:start="2"/>
          <w:cols w:num="1" w:space="720"/>
          <w:titlePg w:val="0"/>
          <w:docGrid w:linePitch="360" w:charSpace="0"/>
        </w:sectPr>
      </w:pPr>
      <w:r>
        <w:rPr>
          <w:rFonts w:ascii="宋体" w:eastAsia="宋体" w:hAnsi="宋体"/>
          <w:sz w:val="32"/>
        </w:rPr>
        <w:tab/>
        <w:t>甲方：</w:t>
      </w:r>
    </w:p>
    <w:p>
      <w:pPr>
        <w:spacing w:line="360" w:lineRule="auto"/>
      </w:pPr>
      <w:r>
        <w:rPr>
          <w:rFonts w:ascii="宋体" w:eastAsia="宋体" w:hAnsi="宋体"/>
          <w:sz w:val="32"/>
        </w:rPr>
        <w:tab/>
        <w:t>乙方：</w:t>
      </w:r>
    </w:p>
    <w:p>
      <w:pPr>
        <w:spacing w:line="360" w:lineRule="auto"/>
      </w:pPr>
      <w:r>
        <w:rPr>
          <w:rFonts w:ascii="宋体" w:eastAsia="宋体" w:hAnsi="宋体"/>
          <w:sz w:val="32"/>
        </w:rPr>
        <w:tab/>
        <w:t>甲、乙双方根据《中华人民共和国合同法》及相关法律法规，在平等自愿、充分协商一致的基础上，就雁塔南路道路部分铺装石材事宜签订本供货合同，双方必须严格遵守。</w:t>
      </w:r>
    </w:p>
    <w:p>
      <w:pPr>
        <w:spacing w:line="360" w:lineRule="auto"/>
      </w:pPr>
      <w:r>
        <w:rPr>
          <w:rFonts w:ascii="宋体" w:eastAsia="宋体" w:hAnsi="宋体"/>
          <w:sz w:val="32"/>
        </w:rPr>
        <w:tab/>
        <w:t>一、协议要约</w:t>
      </w:r>
    </w:p>
    <w:p>
      <w:pPr>
        <w:spacing w:line="360" w:lineRule="auto"/>
      </w:pPr>
      <w:r>
        <w:rPr>
          <w:rFonts w:ascii="宋体" w:eastAsia="宋体" w:hAnsi="宋体"/>
          <w:sz w:val="32"/>
        </w:rPr>
        <w:tab/>
        <w:t>1、甲方同意从乙方购买，乙方同意向甲方出售部分铺装石材产品（主要石材的名称、数量、规格、单价详见本合同附件一《石材供料清单》）。</w:t>
      </w:r>
    </w:p>
    <w:p>
      <w:pPr>
        <w:spacing w:line="360" w:lineRule="auto"/>
      </w:pPr>
      <w:r>
        <w:rPr>
          <w:rFonts w:ascii="宋体" w:eastAsia="宋体" w:hAnsi="宋体"/>
          <w:sz w:val="32"/>
        </w:rPr>
        <w:tab/>
        <w:t>2、乙方确保所有石材编号进场，进场同时须出具相关技术资料及合格等级证明。</w:t>
      </w:r>
    </w:p>
    <w:p>
      <w:pPr>
        <w:spacing w:line="360" w:lineRule="auto"/>
      </w:pPr>
      <w:r>
        <w:rPr>
          <w:rFonts w:ascii="宋体" w:eastAsia="宋体" w:hAnsi="宋体"/>
          <w:sz w:val="32"/>
        </w:rPr>
        <w:tab/>
        <w:t>3、乙方进场的石材产品品质应符合认可的封样材质</w:t>
      </w:r>
    </w:p>
    <w:p>
      <w:pPr>
        <w:spacing w:line="360" w:lineRule="auto"/>
      </w:pPr>
      <w:r>
        <w:rPr>
          <w:rFonts w:ascii="宋体" w:eastAsia="宋体" w:hAnsi="宋体"/>
          <w:sz w:val="32"/>
        </w:rPr>
        <w:tab/>
        <w:t>4、甲方负责提供门道路铺装石材规格、尺寸、数量及相关设计施工图。</w:t>
      </w:r>
    </w:p>
    <w:p>
      <w:pPr>
        <w:spacing w:line="360" w:lineRule="auto"/>
      </w:pPr>
      <w:r>
        <w:rPr>
          <w:rFonts w:ascii="宋体" w:eastAsia="宋体" w:hAnsi="宋体"/>
          <w:sz w:val="32"/>
        </w:rPr>
        <w:tab/>
        <w:t>二、清单单价：</w:t>
      </w:r>
    </w:p>
    <w:p>
      <w:pPr>
        <w:spacing w:line="360" w:lineRule="auto"/>
      </w:pPr>
      <w:r>
        <w:rPr>
          <w:rFonts w:ascii="宋体" w:eastAsia="宋体" w:hAnsi="宋体"/>
          <w:sz w:val="32"/>
        </w:rPr>
        <w:tab/>
        <w:t>注：具体数量以实际发生数量为准。</w:t>
      </w:r>
    </w:p>
    <w:p>
      <w:pPr>
        <w:spacing w:line="360" w:lineRule="auto"/>
        <w:sectPr>
          <w:headerReference w:type="default" r:id="rId12"/>
          <w:footerReference w:type="default" r:id="rId13"/>
          <w:type w:val="nextPage"/>
          <w:pgSz w:w="12240" w:h="15840"/>
          <w:pgMar w:top="1440" w:right="1800" w:bottom="1440" w:left="1800" w:header="720" w:footer="720" w:gutter="0"/>
          <w:pgNumType w:fmt="decimal" w:start="3"/>
          <w:cols w:num="1" w:space="720"/>
          <w:titlePg w:val="0"/>
          <w:docGrid w:linePitch="360" w:charSpace="0"/>
        </w:sectPr>
      </w:pPr>
      <w:r>
        <w:rPr>
          <w:rFonts w:ascii="宋体" w:eastAsia="宋体" w:hAnsi="宋体"/>
          <w:sz w:val="32"/>
        </w:rPr>
        <w:tab/>
        <w:t>三、质量要求及技术标准</w:t>
      </w:r>
    </w:p>
    <w:p>
      <w:pPr>
        <w:spacing w:line="360" w:lineRule="auto"/>
      </w:pPr>
      <w:r>
        <w:rPr>
          <w:rFonts w:ascii="宋体" w:eastAsia="宋体" w:hAnsi="宋体"/>
          <w:sz w:val="32"/>
        </w:rPr>
        <w:tab/>
        <w:t>1、乙方按双方结合图纸规格共同确认的《石材供料清单》及国家行业标准JC 205—1992等要求进行加工、交货。</w:t>
      </w:r>
    </w:p>
    <w:p>
      <w:pPr>
        <w:spacing w:line="360" w:lineRule="auto"/>
      </w:pPr>
      <w:r>
        <w:rPr>
          <w:rFonts w:ascii="宋体" w:eastAsia="宋体" w:hAnsi="宋体"/>
          <w:sz w:val="32"/>
        </w:rPr>
        <w:tab/>
        <w:t>2、乙方所供石材必须确保为合格产品，不允许有明显色差及水纹，光面板必须保证高光洁度。石材厚度、平面几何尺寸、平整度及对角线精确度误差等均须满足JC205—1992相关规定。</w:t>
      </w:r>
    </w:p>
    <w:p>
      <w:pPr>
        <w:spacing w:line="360" w:lineRule="auto"/>
      </w:pPr>
      <w:r>
        <w:rPr>
          <w:rFonts w:ascii="宋体" w:eastAsia="宋体" w:hAnsi="宋体"/>
          <w:sz w:val="32"/>
        </w:rPr>
        <w:tab/>
        <w:t>3、石材花色和纹理必须与样品一致。石材进场后，必须经甲方现场验收合格。</w:t>
      </w:r>
    </w:p>
    <w:p>
      <w:pPr>
        <w:spacing w:line="360" w:lineRule="auto"/>
      </w:pPr>
      <w:r>
        <w:rPr>
          <w:rFonts w:ascii="宋体" w:eastAsia="宋体" w:hAnsi="宋体"/>
          <w:sz w:val="32"/>
        </w:rPr>
        <w:tab/>
        <w:t>4、乙方包装质量应符合石材产品在正常条件下安全装、运输的要求。</w:t>
      </w:r>
    </w:p>
    <w:p>
      <w:pPr>
        <w:spacing w:line="360" w:lineRule="auto"/>
      </w:pPr>
      <w:r>
        <w:rPr>
          <w:rFonts w:ascii="宋体" w:eastAsia="宋体" w:hAnsi="宋体"/>
          <w:sz w:val="32"/>
        </w:rPr>
        <w:tab/>
        <w:t>四、协议价款与支付方式</w:t>
      </w:r>
    </w:p>
    <w:p>
      <w:pPr>
        <w:spacing w:line="360" w:lineRule="auto"/>
      </w:pPr>
      <w:r>
        <w:rPr>
          <w:rFonts w:ascii="宋体" w:eastAsia="宋体" w:hAnsi="宋体"/>
          <w:sz w:val="32"/>
        </w:rPr>
        <w:tab/>
        <w:t>主要品种、规格石材的单价详见《清单单价》，表中石材单价均已包括加工制作费、运输费、税金等一切费用。</w:t>
      </w:r>
    </w:p>
    <w:p>
      <w:pPr>
        <w:spacing w:line="360" w:lineRule="auto"/>
      </w:pPr>
      <w:r>
        <w:rPr>
          <w:rFonts w:ascii="宋体" w:eastAsia="宋体" w:hAnsi="宋体"/>
          <w:sz w:val="32"/>
        </w:rPr>
        <w:tab/>
        <w:t>五、付款方式</w:t>
      </w:r>
    </w:p>
    <w:p>
      <w:pPr>
        <w:spacing w:line="360" w:lineRule="auto"/>
      </w:pPr>
      <w:r>
        <w:rPr>
          <w:rFonts w:ascii="宋体" w:eastAsia="宋体" w:hAnsi="宋体"/>
          <w:sz w:val="32"/>
        </w:rPr>
        <w:tab/>
        <w:t>供货完毕，每批材料到场后甲方支付货款的75%，余款待乙方向甲方提供足额的材料发票后，甲方按材料到工地经验收合格的使用数量，二个月内向乙方支付全部工程材料款完毕。</w:t>
      </w:r>
    </w:p>
    <w:p>
      <w:pPr>
        <w:spacing w:line="360" w:lineRule="auto"/>
        <w:sectPr>
          <w:headerReference w:type="default" r:id="rId14"/>
          <w:footerReference w:type="default" r:id="rId15"/>
          <w:type w:val="nextPage"/>
          <w:pgSz w:w="12240" w:h="15840"/>
          <w:pgMar w:top="1440" w:right="1800" w:bottom="1440" w:left="1800" w:header="720" w:footer="720" w:gutter="0"/>
          <w:pgNumType w:fmt="decimal" w:start="4"/>
          <w:cols w:num="1" w:space="720"/>
          <w:titlePg w:val="0"/>
          <w:docGrid w:linePitch="360" w:charSpace="0"/>
        </w:sectPr>
      </w:pPr>
      <w:r>
        <w:rPr>
          <w:rFonts w:ascii="宋体" w:eastAsia="宋体" w:hAnsi="宋体"/>
          <w:sz w:val="32"/>
        </w:rPr>
        <w:tab/>
        <w:t>六、交货、运输及验收</w:t>
      </w:r>
    </w:p>
    <w:p>
      <w:pPr>
        <w:spacing w:line="360" w:lineRule="auto"/>
      </w:pPr>
      <w:r>
        <w:rPr>
          <w:rFonts w:ascii="宋体" w:eastAsia="宋体" w:hAnsi="宋体"/>
          <w:sz w:val="32"/>
        </w:rPr>
        <w:tab/>
        <w:t>1、乙方</w:t>
      </w:r>
    </w:p>
    <w:p>
      <w:pPr>
        <w:spacing w:line="360" w:lineRule="auto"/>
      </w:pPr>
      <w:r>
        <w:rPr>
          <w:rFonts w:ascii="宋体" w:eastAsia="宋体" w:hAnsi="宋体"/>
          <w:sz w:val="32"/>
        </w:rPr>
        <w:tab/>
        <w:t>本协议履行过程中发生争议，双方另行协商解决。协商不成，可向人民法院提起诉讼。</w:t>
      </w:r>
    </w:p>
    <w:p>
      <w:pPr>
        <w:spacing w:line="360" w:lineRule="auto"/>
      </w:pPr>
      <w:r>
        <w:rPr>
          <w:rFonts w:ascii="宋体" w:eastAsia="宋体" w:hAnsi="宋体"/>
          <w:sz w:val="32"/>
        </w:rPr>
        <w:tab/>
        <w:t>十、其他</w:t>
      </w:r>
    </w:p>
    <w:p>
      <w:pPr>
        <w:spacing w:line="360" w:lineRule="auto"/>
      </w:pPr>
      <w:r>
        <w:rPr>
          <w:rFonts w:ascii="宋体" w:eastAsia="宋体" w:hAnsi="宋体"/>
          <w:sz w:val="32"/>
        </w:rPr>
        <w:tab/>
        <w:t>1、本协议双方签字、盖章即生效，此协议尽作为双方就上述事项约定之用，结算完毕后，该协议自行中止，本协议一式两份，甲乙双方各执壹份，具同等法律效力。</w:t>
      </w:r>
    </w:p>
    <w:p>
      <w:pPr>
        <w:spacing w:line="360" w:lineRule="auto"/>
      </w:pPr>
      <w:r>
        <w:rPr>
          <w:rFonts w:ascii="宋体" w:eastAsia="宋体" w:hAnsi="宋体"/>
          <w:sz w:val="32"/>
        </w:rPr>
        <w:tab/>
        <w:t>2、本协议未尽事宜，甲乙双方可另行协商签订补充协议。</w:t>
      </w:r>
    </w:p>
    <w:p>
      <w:pPr>
        <w:spacing w:line="360" w:lineRule="auto"/>
      </w:pPr>
      <w:r>
        <w:rPr>
          <w:rFonts w:ascii="宋体" w:eastAsia="宋体" w:hAnsi="宋体"/>
          <w:sz w:val="32"/>
        </w:rPr>
        <w:tab/>
        <w:t>甲方（盖章）：</w:t>
      </w:r>
    </w:p>
    <w:p>
      <w:pPr>
        <w:spacing w:line="360" w:lineRule="auto"/>
      </w:pPr>
      <w:r>
        <w:rPr>
          <w:rFonts w:ascii="宋体" w:eastAsia="宋体" w:hAnsi="宋体"/>
          <w:sz w:val="32"/>
        </w:rPr>
        <w:tab/>
        <w:t>委托代理人：</w:t>
      </w:r>
    </w:p>
    <w:p>
      <w:pPr>
        <w:spacing w:line="360" w:lineRule="auto"/>
      </w:pPr>
      <w:r>
        <w:rPr>
          <w:rFonts w:ascii="宋体" w:eastAsia="宋体" w:hAnsi="宋体"/>
          <w:sz w:val="32"/>
        </w:rPr>
        <w:tab/>
        <w:t>乙方（盖章）：</w:t>
      </w:r>
    </w:p>
    <w:p>
      <w:pPr>
        <w:spacing w:line="360" w:lineRule="auto"/>
      </w:pPr>
      <w:r>
        <w:rPr>
          <w:rFonts w:ascii="宋体" w:eastAsia="宋体" w:hAnsi="宋体"/>
          <w:sz w:val="32"/>
        </w:rPr>
        <w:tab/>
        <w:t>委托代理人：</w:t>
      </w:r>
    </w:p>
    <w:p>
      <w:pPr>
        <w:spacing w:line="360" w:lineRule="auto"/>
      </w:pPr>
      <w:r>
        <w:rPr>
          <w:rFonts w:ascii="宋体" w:eastAsia="宋体" w:hAnsi="宋体"/>
          <w:sz w:val="32"/>
        </w:rPr>
        <w:tab/>
        <w:t>年   月年   月</w:t>
      </w:r>
    </w:p>
    <w:p>
      <w:pPr>
        <w:spacing w:line="360" w:lineRule="auto"/>
      </w:pPr>
      <w:r>
        <w:rPr>
          <w:rFonts w:ascii="宋体" w:eastAsia="宋体" w:hAnsi="宋体"/>
          <w:sz w:val="32"/>
        </w:rPr>
        <w:tab/>
        <w:t>日     日</w:t>
      </w:r>
    </w:p>
    <w:p>
      <w:pPr>
        <w:spacing w:line="360" w:lineRule="auto"/>
      </w:pPr>
      <w:r>
        <w:rPr>
          <w:rFonts w:ascii="宋体" w:eastAsia="宋体" w:hAnsi="宋体"/>
          <w:b/>
          <w:color w:val="1874CD"/>
          <w:sz w:val="32"/>
        </w:rPr>
        <w:t>篇章2:供货合同文档规范版</w:t>
      </w:r>
      <w:bookmarkStart w:id="3" w:name="title2"/>
      <w:bookmarkEnd w:id="3"/>
      <w:hyperlink w:anchor="title0" w:history="1">
        <w:r>
          <w:rPr>
            <w:rStyle w:val="HeaderChar"/>
            <w:rFonts w:eastAsia="宋体"/>
            <w:sz w:val="28"/>
          </w:rPr>
          <w:t>【按住Ctrl键点此返回目录】</w:t>
        </w:r>
      </w:hyperlink>
    </w:p>
    <w:p>
      <w:pPr>
        <w:spacing w:line="360" w:lineRule="auto"/>
        <w:sectPr>
          <w:headerReference w:type="default" r:id="rId16"/>
          <w:footerReference w:type="default" r:id="rId17"/>
          <w:type w:val="nextPage"/>
          <w:pgSz w:w="12240" w:h="15840"/>
          <w:pgMar w:top="1440" w:right="1800" w:bottom="1440" w:left="1800" w:header="720" w:footer="720" w:gutter="0"/>
          <w:pgNumType w:fmt="decimal" w:start="5"/>
          <w:cols w:num="1" w:space="720"/>
          <w:titlePg w:val="0"/>
          <w:docGrid w:linePitch="360" w:charSpace="0"/>
        </w:sectPr>
      </w:pPr>
      <w:r>
        <w:rPr>
          <w:rFonts w:ascii="宋体" w:eastAsia="宋体" w:hAnsi="宋体"/>
          <w:sz w:val="32"/>
        </w:rPr>
        <w:tab/>
        <w:t>合同编号： 甲方：乙方：</w:t>
      </w:r>
    </w:p>
    <w:p>
      <w:pPr>
        <w:spacing w:line="360" w:lineRule="auto"/>
      </w:pPr>
      <w:r>
        <w:rPr>
          <w:rFonts w:ascii="宋体" w:eastAsia="宋体" w:hAnsi="宋体"/>
          <w:sz w:val="32"/>
        </w:rPr>
        <w:tab/>
        <w:t>地址：地址：</w:t>
      </w:r>
    </w:p>
    <w:p>
      <w:pPr>
        <w:spacing w:line="360" w:lineRule="auto"/>
      </w:pPr>
      <w:r>
        <w:rPr>
          <w:rFonts w:ascii="宋体" w:eastAsia="宋体" w:hAnsi="宋体"/>
          <w:sz w:val="32"/>
        </w:rPr>
        <w:tab/>
        <w:t>电话：电话：</w:t>
      </w:r>
    </w:p>
    <w:p>
      <w:pPr>
        <w:spacing w:line="360" w:lineRule="auto"/>
      </w:pPr>
      <w:r>
        <w:rPr>
          <w:rFonts w:ascii="宋体" w:eastAsia="宋体" w:hAnsi="宋体"/>
          <w:sz w:val="32"/>
        </w:rPr>
        <w:tab/>
        <w:t>传真：传真：</w:t>
      </w:r>
    </w:p>
    <w:p>
      <w:pPr>
        <w:spacing w:line="360" w:lineRule="auto"/>
      </w:pPr>
      <w:r>
        <w:rPr>
          <w:rFonts w:ascii="宋体" w:eastAsia="宋体" w:hAnsi="宋体"/>
          <w:sz w:val="32"/>
        </w:rPr>
        <w:tab/>
        <w:t>投诉电话：签定地点：</w:t>
      </w:r>
    </w:p>
    <w:p>
      <w:pPr>
        <w:spacing w:line="360" w:lineRule="auto"/>
      </w:pPr>
      <w:r>
        <w:rPr>
          <w:rFonts w:ascii="宋体" w:eastAsia="宋体" w:hAnsi="宋体"/>
          <w:sz w:val="32"/>
        </w:rPr>
        <w:tab/>
        <w:t>根据《中华人民共和国合同法》有关规定，甲、乙双方经平等协商一致，达成如下协议，在履行协议的过程中，甲、乙双方应严格遵守，若有违约应按合同约定赔偿对方由此导致的经济损失。</w:t>
      </w:r>
    </w:p>
    <w:p>
      <w:pPr>
        <w:spacing w:line="360" w:lineRule="auto"/>
      </w:pPr>
      <w:r>
        <w:rPr>
          <w:rFonts w:ascii="宋体" w:eastAsia="宋体" w:hAnsi="宋体"/>
          <w:sz w:val="32"/>
        </w:rPr>
        <w:tab/>
        <w:t>一、合同期限：</w:t>
      </w:r>
    </w:p>
    <w:p>
      <w:pPr>
        <w:spacing w:line="360" w:lineRule="auto"/>
      </w:pPr>
      <w:r>
        <w:rPr>
          <w:rFonts w:ascii="宋体" w:eastAsia="宋体" w:hAnsi="宋体"/>
          <w:sz w:val="32"/>
        </w:rPr>
        <w:tab/>
        <w:t>1、本合同签署有效期自____年_____月 ______日至_____年_____ 月____日，其中前____个月为试销期。</w:t>
      </w:r>
    </w:p>
    <w:p>
      <w:pPr>
        <w:spacing w:line="360" w:lineRule="auto"/>
      </w:pPr>
      <w:r>
        <w:rPr>
          <w:rFonts w:ascii="宋体" w:eastAsia="宋体" w:hAnsi="宋体"/>
          <w:sz w:val="32"/>
        </w:rPr>
        <w:tab/>
        <w:t>2、合同到期后，另确定新的经销条件，乙方在同等条件下享有优先权。</w:t>
      </w:r>
    </w:p>
    <w:p>
      <w:pPr>
        <w:spacing w:line="360" w:lineRule="auto"/>
      </w:pPr>
      <w:r>
        <w:rPr>
          <w:rFonts w:ascii="宋体" w:eastAsia="宋体" w:hAnsi="宋体"/>
          <w:sz w:val="32"/>
        </w:rPr>
        <w:tab/>
        <w:t>二、经销产品及区域：</w:t>
      </w:r>
    </w:p>
    <w:p>
      <w:pPr>
        <w:spacing w:line="360" w:lineRule="auto"/>
      </w:pPr>
      <w:r>
        <w:rPr>
          <w:rFonts w:ascii="宋体" w:eastAsia="宋体" w:hAnsi="宋体"/>
          <w:sz w:val="32"/>
        </w:rPr>
        <w:tab/>
        <w:t>1、甲方授权乙方经销甲方 _________酒产品。</w:t>
      </w:r>
    </w:p>
    <w:p>
      <w:pPr>
        <w:spacing w:line="360" w:lineRule="auto"/>
      </w:pPr>
      <w:r>
        <w:rPr>
          <w:rFonts w:ascii="宋体" w:eastAsia="宋体" w:hAnsi="宋体"/>
          <w:sz w:val="32"/>
        </w:rPr>
        <w:tab/>
        <w:t>2、甲方授予乙方______酒产品的销售区域仅限 。</w:t>
      </w:r>
    </w:p>
    <w:p>
      <w:pPr>
        <w:spacing w:line="360" w:lineRule="auto"/>
        <w:sectPr>
          <w:headerReference w:type="default" r:id="rId18"/>
          <w:footerReference w:type="default" r:id="rId19"/>
          <w:type w:val="nextPage"/>
          <w:pgSz w:w="12240" w:h="15840"/>
          <w:pgMar w:top="1440" w:right="1800" w:bottom="1440" w:left="1800" w:header="720" w:footer="720" w:gutter="0"/>
          <w:pgNumType w:fmt="decimal" w:start="6"/>
          <w:cols w:num="1" w:space="720"/>
          <w:titlePg w:val="0"/>
          <w:docGrid w:linePitch="360" w:charSpace="0"/>
        </w:sectPr>
      </w:pPr>
      <w:r>
        <w:rPr>
          <w:rFonts w:ascii="宋体" w:eastAsia="宋体" w:hAnsi="宋体"/>
          <w:sz w:val="32"/>
        </w:rPr>
        <w:tab/>
        <w:t>三、产品价格：</w:t>
      </w:r>
    </w:p>
    <w:p>
      <w:pPr>
        <w:spacing w:line="360" w:lineRule="auto"/>
      </w:pPr>
      <w:r>
        <w:rPr>
          <w:rFonts w:ascii="宋体" w:eastAsia="宋体" w:hAnsi="宋体"/>
          <w:sz w:val="32"/>
        </w:rPr>
        <w:tab/>
        <w:t>1、价格按全国统一价执行 （ 价格表附合同 ） 。</w:t>
      </w:r>
    </w:p>
    <w:p>
      <w:pPr>
        <w:spacing w:line="360" w:lineRule="auto"/>
      </w:pPr>
      <w:r>
        <w:rPr>
          <w:rFonts w:ascii="宋体" w:eastAsia="宋体" w:hAnsi="宋体"/>
          <w:sz w:val="32"/>
        </w:rPr>
        <w:tab/>
        <w:t>2、乙方严格执行合同约定产品销售价格体系，不能低于或高于合同约定价格销售。否则，甲方不予兑现销售奖励。</w:t>
      </w:r>
    </w:p>
    <w:p>
      <w:pPr>
        <w:spacing w:line="360" w:lineRule="auto"/>
      </w:pPr>
      <w:r>
        <w:rPr>
          <w:rFonts w:ascii="宋体" w:eastAsia="宋体" w:hAnsi="宋体"/>
          <w:sz w:val="32"/>
        </w:rPr>
        <w:tab/>
        <w:t>3、甲方保留统一调整产品价格的权力，调价提前______天通知乙方。</w:t>
      </w:r>
    </w:p>
    <w:p>
      <w:pPr>
        <w:spacing w:line="360" w:lineRule="auto"/>
      </w:pPr>
      <w:r>
        <w:rPr>
          <w:rFonts w:ascii="宋体" w:eastAsia="宋体" w:hAnsi="宋体"/>
          <w:sz w:val="32"/>
        </w:rPr>
        <w:tab/>
        <w:t>四、结算方式</w:t>
      </w:r>
    </w:p>
    <w:p>
      <w:pPr>
        <w:spacing w:line="360" w:lineRule="auto"/>
      </w:pPr>
      <w:r>
        <w:rPr>
          <w:rFonts w:ascii="宋体" w:eastAsia="宋体" w:hAnsi="宋体"/>
          <w:sz w:val="32"/>
        </w:rPr>
        <w:tab/>
        <w:t>1、经甲方财务部门确认，乙方货款到帐后，甲方组织发货。</w:t>
      </w:r>
    </w:p>
    <w:p>
      <w:pPr>
        <w:spacing w:line="360" w:lineRule="auto"/>
      </w:pPr>
      <w:r>
        <w:rPr>
          <w:rFonts w:ascii="宋体" w:eastAsia="宋体" w:hAnsi="宋体"/>
          <w:sz w:val="32"/>
        </w:rPr>
        <w:tab/>
        <w:t>2、如甲方更改帐号，以甲方财务部签章后的书面通知为准。</w:t>
      </w:r>
    </w:p>
    <w:p>
      <w:pPr>
        <w:spacing w:line="360" w:lineRule="auto"/>
      </w:pPr>
      <w:r>
        <w:rPr>
          <w:rFonts w:ascii="宋体" w:eastAsia="宋体" w:hAnsi="宋体"/>
          <w:sz w:val="32"/>
        </w:rPr>
        <w:tab/>
        <w:t>3、在未得到甲方财务部签章的书面通知，乙方不得将货款（或借款）交给或借给甲方业务人员或汇入其他帐户，否则，乙方承担责任。</w:t>
      </w:r>
    </w:p>
    <w:p>
      <w:pPr>
        <w:spacing w:line="360" w:lineRule="auto"/>
      </w:pPr>
      <w:r>
        <w:rPr>
          <w:rFonts w:ascii="宋体" w:eastAsia="宋体" w:hAnsi="宋体"/>
          <w:sz w:val="32"/>
        </w:rPr>
        <w:tab/>
        <w:t>五、合作保证</w:t>
      </w:r>
    </w:p>
    <w:p>
      <w:pPr>
        <w:spacing w:line="360" w:lineRule="auto"/>
        <w:sectPr>
          <w:headerReference w:type="default" r:id="rId20"/>
          <w:footerReference w:type="default" r:id="rId21"/>
          <w:type w:val="nextPage"/>
          <w:pgSz w:w="12240" w:h="15840"/>
          <w:pgMar w:top="1440" w:right="1800" w:bottom="1440" w:left="1800" w:header="720" w:footer="720" w:gutter="0"/>
          <w:pgNumType w:fmt="decimal" w:start="7"/>
          <w:cols w:num="1" w:space="720"/>
          <w:titlePg w:val="0"/>
          <w:docGrid w:linePitch="360" w:charSpace="0"/>
        </w:sectPr>
      </w:pPr>
      <w:r>
        <w:rPr>
          <w:rFonts w:ascii="宋体" w:eastAsia="宋体" w:hAnsi="宋体"/>
          <w:sz w:val="32"/>
        </w:rPr>
        <w:tab/>
        <w:t>1、乙方首批货款在本合同签定之日起十日内全额汇入甲方指定帐户。否则，视乙方违约，本合同自行失效。</w:t>
      </w:r>
    </w:p>
    <w:p>
      <w:pPr>
        <w:spacing w:line="360" w:lineRule="auto"/>
      </w:pPr>
      <w:r>
        <w:rPr>
          <w:rFonts w:ascii="宋体" w:eastAsia="宋体" w:hAnsi="宋体"/>
          <w:sz w:val="32"/>
        </w:rPr>
        <w:tab/>
        <w:t>2、甲乙双方签定合同时，乙方向甲方交纳______万元的合同保证金，否则视乙方自动放弃合同。合同保证金利息按照银行同期活期存款利率计算。</w:t>
      </w:r>
    </w:p>
    <w:p>
      <w:pPr>
        <w:spacing w:line="360" w:lineRule="auto"/>
      </w:pPr>
      <w:r>
        <w:rPr>
          <w:rFonts w:ascii="宋体" w:eastAsia="宋体" w:hAnsi="宋体"/>
          <w:sz w:val="32"/>
        </w:rPr>
        <w:tab/>
        <w:t>六、市场操作要求：</w:t>
      </w:r>
    </w:p>
    <w:p>
      <w:pPr>
        <w:spacing w:line="360" w:lineRule="auto"/>
      </w:pPr>
      <w:r>
        <w:rPr>
          <w:rFonts w:ascii="宋体" w:eastAsia="宋体" w:hAnsi="宋体"/>
          <w:sz w:val="32"/>
        </w:rPr>
        <w:tab/>
        <w:t>1、乙方应建立起本区域完整的销售网络，保证经销甲方的产品在经销区域内终端铺货达到：商超 家，酒店______家，酒楼______家 （ 附终端明细目录 ） ，产品进入所有终端网点铺货覆盖率第一个月应达到______% ，第二个月以后保持在_____%以上，每月建设堆头、端架的商超数量应保持在商超总数量的_____%以上，经甲方确认。</w:t>
      </w:r>
    </w:p>
    <w:p>
      <w:pPr>
        <w:spacing w:line="360" w:lineRule="auto"/>
      </w:pPr>
      <w:r>
        <w:rPr>
          <w:rFonts w:ascii="宋体" w:eastAsia="宋体" w:hAnsi="宋体"/>
          <w:sz w:val="32"/>
        </w:rPr>
        <w:tab/>
        <w:t>2、乙方在经销期内必须完成销售任务 万元人民币（按实际回款额计算），其中首批回款 万元，月度销售比例及任务如下：</w:t>
      </w:r>
    </w:p>
    <w:p>
      <w:pPr>
        <w:spacing w:line="360" w:lineRule="auto"/>
      </w:pPr>
      <w:r>
        <w:rPr>
          <w:rFonts w:ascii="宋体" w:eastAsia="宋体" w:hAnsi="宋体"/>
          <w:sz w:val="32"/>
        </w:rPr>
        <w:tab/>
        <w:t>（单位：万元）</w:t>
      </w:r>
    </w:p>
    <w:p>
      <w:pPr>
        <w:spacing w:line="360" w:lineRule="auto"/>
        <w:sectPr>
          <w:headerReference w:type="default" r:id="rId22"/>
          <w:footerReference w:type="default" r:id="rId23"/>
          <w:type w:val="nextPage"/>
          <w:pgSz w:w="12240" w:h="15840"/>
          <w:pgMar w:top="1440" w:right="1800" w:bottom="1440" w:left="1800" w:header="720" w:footer="720" w:gutter="0"/>
          <w:pgNumType w:fmt="decimal" w:start="8"/>
          <w:cols w:num="1" w:space="720"/>
          <w:titlePg w:val="0"/>
          <w:docGrid w:linePitch="360" w:charSpace="0"/>
        </w:sectPr>
      </w:pPr>
      <w:r>
        <w:rPr>
          <w:rFonts w:ascii="宋体" w:eastAsia="宋体" w:hAnsi="宋体"/>
          <w:sz w:val="32"/>
        </w:rPr>
        <w:tab/>
        <w:t>3、经销期（包括试销期和正式经销期）内乙方保证完成月度销售任务 ，按合同约定完成终端铺货，建设商超堆头、端架。若在合约期内乙方连续累计无法完成两个月度销售任务，或不能按合同约定完成终端铺货数量和商超堆头、端架建设数量，甲方有权取消经销商资格。</w:t>
      </w:r>
    </w:p>
    <w:p>
      <w:pPr>
        <w:spacing w:line="360" w:lineRule="auto"/>
      </w:pPr>
      <w:r>
        <w:rPr>
          <w:rFonts w:ascii="宋体" w:eastAsia="宋体" w:hAnsi="宋体"/>
          <w:sz w:val="32"/>
        </w:rPr>
        <w:tab/>
        <w:t>4、在试销期内， 乙方完成合同约定的月度任务、终端铺货率、商超堆头建设数量，则转为正式经销商，甲方发经销商确认通知函。</w:t>
      </w:r>
    </w:p>
    <w:p>
      <w:pPr>
        <w:spacing w:line="360" w:lineRule="auto"/>
      </w:pPr>
      <w:r>
        <w:rPr>
          <w:rFonts w:ascii="宋体" w:eastAsia="宋体" w:hAnsi="宋体"/>
          <w:sz w:val="32"/>
        </w:rPr>
        <w:tab/>
        <w:t>5、乙方保证合同指定产品均在限定区域内销售，如窜区域销售，甲方不予兑现销售奖励，并根据数量乙方支付甲方 _____元/件-- _______元/件的违约金，或甲方有权取消经销商资格。</w:t>
      </w:r>
    </w:p>
    <w:p>
      <w:pPr>
        <w:spacing w:line="360" w:lineRule="auto"/>
      </w:pPr>
      <w:r>
        <w:rPr>
          <w:rFonts w:ascii="宋体" w:eastAsia="宋体" w:hAnsi="宋体"/>
          <w:sz w:val="32"/>
        </w:rPr>
        <w:tab/>
        <w:t>6、乙方做好售后服务并积极维护品牌形象，同时负责做好产品包装物的回收处理工作。</w:t>
      </w:r>
    </w:p>
    <w:p>
      <w:pPr>
        <w:spacing w:line="360" w:lineRule="auto"/>
      </w:pPr>
      <w:r>
        <w:rPr>
          <w:rFonts w:ascii="宋体" w:eastAsia="宋体" w:hAnsi="宋体"/>
          <w:sz w:val="32"/>
        </w:rPr>
        <w:tab/>
        <w:t>7、乙方不得经销与甲方产品名称、包装、风格相近的仿冒品或同类产品。否则，甲方视乙方违约，终止与乙方的合作。</w:t>
      </w:r>
    </w:p>
    <w:p>
      <w:pPr>
        <w:spacing w:line="360" w:lineRule="auto"/>
      </w:pPr>
      <w:r>
        <w:rPr>
          <w:rFonts w:ascii="宋体" w:eastAsia="宋体" w:hAnsi="宋体"/>
          <w:sz w:val="32"/>
        </w:rPr>
        <w:tab/>
        <w:t>七、甲方责任：</w:t>
      </w:r>
    </w:p>
    <w:p>
      <w:pPr>
        <w:spacing w:line="360" w:lineRule="auto"/>
      </w:pPr>
      <w:r>
        <w:rPr>
          <w:rFonts w:ascii="宋体" w:eastAsia="宋体" w:hAnsi="宋体"/>
          <w:sz w:val="32"/>
        </w:rPr>
        <w:tab/>
        <w:t>1、甲方负责监督并杜绝窜货现象的发生，以确保乙方在销售区域内的合法权益。</w:t>
      </w:r>
    </w:p>
    <w:p>
      <w:pPr>
        <w:spacing w:line="360" w:lineRule="auto"/>
        <w:sectPr>
          <w:headerReference w:type="default" r:id="rId24"/>
          <w:footerReference w:type="default" r:id="rId25"/>
          <w:type w:val="nextPage"/>
          <w:pgSz w:w="12240" w:h="15840"/>
          <w:pgMar w:top="1440" w:right="1800" w:bottom="1440" w:left="1800" w:header="720" w:footer="720" w:gutter="0"/>
          <w:pgNumType w:fmt="decimal" w:start="9"/>
          <w:cols w:num="1" w:space="720"/>
          <w:titlePg w:val="0"/>
          <w:docGrid w:linePitch="360" w:charSpace="0"/>
        </w:sectPr>
      </w:pPr>
      <w:r>
        <w:rPr>
          <w:rFonts w:ascii="宋体" w:eastAsia="宋体" w:hAnsi="宋体"/>
          <w:sz w:val="32"/>
        </w:rPr>
        <w:tab/>
        <w:t>2、乙方在销售甲方产品过程中所发生的广告媒体宣传、宣传品、促销品、推广活动等事宜，乙方应提出计划方案，经甲方审核同意后，乙方即可安排实施。</w:t>
      </w:r>
    </w:p>
    <w:p>
      <w:pPr>
        <w:spacing w:line="360" w:lineRule="auto"/>
      </w:pPr>
      <w:r>
        <w:rPr>
          <w:rFonts w:ascii="宋体" w:eastAsia="宋体" w:hAnsi="宋体"/>
          <w:sz w:val="32"/>
        </w:rPr>
        <w:tab/>
        <w:t>3、甲方协助乙方做好产品的售前、售中、售后服务。</w:t>
      </w:r>
    </w:p>
    <w:p>
      <w:pPr>
        <w:spacing w:line="360" w:lineRule="auto"/>
      </w:pPr>
      <w:r>
        <w:rPr>
          <w:rFonts w:ascii="宋体" w:eastAsia="宋体" w:hAnsi="宋体"/>
          <w:sz w:val="32"/>
        </w:rPr>
        <w:tab/>
        <w:t>4、保证提供乙方所需的货源，负责做好市场的管理、指导工作;负责提供电视、软性文章等宣传媒体资料及终端培训。</w:t>
      </w:r>
    </w:p>
    <w:p>
      <w:pPr>
        <w:spacing w:line="360" w:lineRule="auto"/>
      </w:pPr>
      <w:r>
        <w:rPr>
          <w:rFonts w:ascii="宋体" w:eastAsia="宋体" w:hAnsi="宋体"/>
          <w:sz w:val="32"/>
        </w:rPr>
        <w:tab/>
        <w:t>5、及时兑现合同约定的政策支持。</w:t>
      </w:r>
    </w:p>
    <w:p>
      <w:pPr>
        <w:spacing w:line="360" w:lineRule="auto"/>
      </w:pPr>
      <w:r>
        <w:rPr>
          <w:rFonts w:ascii="宋体" w:eastAsia="宋体" w:hAnsi="宋体"/>
          <w:sz w:val="32"/>
        </w:rPr>
        <w:tab/>
        <w:t>6、负责将产品运至乙方市场，运费由甲方承担。</w:t>
      </w:r>
    </w:p>
    <w:p>
      <w:pPr>
        <w:spacing w:line="360" w:lineRule="auto"/>
      </w:pPr>
      <w:r>
        <w:rPr>
          <w:rFonts w:ascii="宋体" w:eastAsia="宋体" w:hAnsi="宋体"/>
          <w:sz w:val="32"/>
        </w:rPr>
        <w:tab/>
        <w:t>八、产品验货约定：</w:t>
      </w:r>
    </w:p>
    <w:p>
      <w:pPr>
        <w:spacing w:line="360" w:lineRule="auto"/>
      </w:pPr>
      <w:r>
        <w:rPr>
          <w:rFonts w:ascii="宋体" w:eastAsia="宋体" w:hAnsi="宋体"/>
          <w:sz w:val="32"/>
        </w:rPr>
        <w:tab/>
        <w:t>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spacing w:line="360" w:lineRule="auto"/>
      </w:pPr>
      <w:r>
        <w:rPr>
          <w:rFonts w:ascii="宋体" w:eastAsia="宋体" w:hAnsi="宋体"/>
          <w:sz w:val="32"/>
        </w:rPr>
        <w:tab/>
        <w:t>九、奖励政策：</w:t>
      </w:r>
    </w:p>
    <w:p>
      <w:pPr>
        <w:spacing w:line="360" w:lineRule="auto"/>
      </w:pPr>
      <w:r>
        <w:rPr>
          <w:rFonts w:ascii="宋体" w:eastAsia="宋体" w:hAnsi="宋体"/>
          <w:sz w:val="32"/>
        </w:rPr>
        <w:tab/>
        <w:t>参与公司经销商级别评定，兑现奖励。</w:t>
      </w:r>
    </w:p>
    <w:p>
      <w:pPr>
        <w:spacing w:line="360" w:lineRule="auto"/>
      </w:pPr>
      <w:r>
        <w:rPr>
          <w:rFonts w:ascii="宋体" w:eastAsia="宋体" w:hAnsi="宋体"/>
          <w:sz w:val="32"/>
        </w:rPr>
        <w:tab/>
        <w:t>十、产品调剂约定：</w:t>
      </w:r>
    </w:p>
    <w:p>
      <w:pPr>
        <w:spacing w:line="360" w:lineRule="auto"/>
        <w:sectPr>
          <w:headerReference w:type="default" r:id="rId26"/>
          <w:footerReference w:type="default" r:id="rId27"/>
          <w:type w:val="nextPage"/>
          <w:pgSz w:w="12240" w:h="15840"/>
          <w:pgMar w:top="1440" w:right="1800" w:bottom="1440" w:left="1800" w:header="720" w:footer="720" w:gutter="0"/>
          <w:pgNumType w:fmt="decimal" w:start="10"/>
          <w:cols w:num="1" w:space="720"/>
          <w:titlePg w:val="0"/>
          <w:docGrid w:linePitch="360" w:charSpace="0"/>
        </w:sectPr>
      </w:pPr>
    </w:p>
    <w:p>
      <w:pPr>
        <w:spacing w:line="360" w:lineRule="auto"/>
      </w:pPr>
      <w:r>
        <w:rPr>
          <w:rFonts w:ascii="宋体" w:eastAsia="宋体" w:hAnsi="宋体"/>
          <w:sz w:val="32"/>
        </w:rPr>
        <w:tab/>
        <w:t>本合同产品在发货三个月内如滞销可提出调剂，调剂产品的来回运费，运送损失及内外包装材料损失费均由乙方承担，乙方所有调换产品必须保证包装无开封、脏、损现象，不影响二次销售，否则不予退换。</w:t>
      </w:r>
    </w:p>
    <w:p>
      <w:pPr>
        <w:spacing w:line="360" w:lineRule="auto"/>
      </w:pPr>
      <w:r>
        <w:rPr>
          <w:rFonts w:ascii="宋体" w:eastAsia="宋体" w:hAnsi="宋体"/>
          <w:sz w:val="32"/>
        </w:rPr>
        <w:tab/>
        <w:t>十一、双方合作前特别约定：</w:t>
      </w:r>
    </w:p>
    <w:p>
      <w:pPr>
        <w:spacing w:line="360" w:lineRule="auto"/>
      </w:pPr>
      <w:r>
        <w:rPr>
          <w:rFonts w:ascii="宋体" w:eastAsia="宋体" w:hAnsi="宋体"/>
          <w:sz w:val="32"/>
        </w:rPr>
        <w:tab/>
        <w:t>1、乙方严格遵守国家工商、税务等有关政策、法令、法规进行商业活动，如有违反，属乙方个人行为，概与甲方无关，因此衍生的一切后果，由乙方负责。</w:t>
      </w:r>
    </w:p>
    <w:p>
      <w:pPr>
        <w:spacing w:line="360" w:lineRule="auto"/>
      </w:pPr>
      <w:r>
        <w:rPr>
          <w:rFonts w:ascii="宋体" w:eastAsia="宋体" w:hAnsi="宋体"/>
          <w:sz w:val="32"/>
        </w:rPr>
        <w:tab/>
        <w:t>2、乙方向甲方汇报每月库存、销货情况及下期要货计划、市场信息，乙方每次上货金额应在_____万元以上。</w:t>
      </w:r>
    </w:p>
    <w:p>
      <w:pPr>
        <w:spacing w:line="360" w:lineRule="auto"/>
      </w:pPr>
      <w:r>
        <w:rPr>
          <w:rFonts w:ascii="宋体" w:eastAsia="宋体" w:hAnsi="宋体"/>
          <w:sz w:val="32"/>
        </w:rPr>
        <w:tab/>
        <w:t>3、甲方每月对乙方的考核截止日为当月的_____ 日。</w:t>
      </w:r>
    </w:p>
    <w:p>
      <w:pPr>
        <w:spacing w:line="360" w:lineRule="auto"/>
      </w:pPr>
      <w:r>
        <w:rPr>
          <w:rFonts w:ascii="宋体" w:eastAsia="宋体" w:hAnsi="宋体"/>
          <w:sz w:val="32"/>
        </w:rPr>
        <w:tab/>
        <w:t>4、乙方必须向甲方提供完整、准确、真实的终端明细目录，由乙方签字并加盖公章。如出现虚报、错报、漏报现象，经甲方核实后，乙方支付甲方_____元/家的违约金。</w:t>
      </w:r>
    </w:p>
    <w:p>
      <w:pPr>
        <w:spacing w:line="360" w:lineRule="auto"/>
      </w:pPr>
      <w:r>
        <w:rPr>
          <w:rFonts w:ascii="宋体" w:eastAsia="宋体" w:hAnsi="宋体"/>
          <w:sz w:val="32"/>
        </w:rPr>
        <w:tab/>
        <w:t>5 、属甲方投入进店费的终端网点，进店所有权应归甲方。</w:t>
      </w:r>
    </w:p>
    <w:p>
      <w:pPr>
        <w:spacing w:line="360" w:lineRule="auto"/>
      </w:pPr>
      <w:r>
        <w:rPr>
          <w:rFonts w:ascii="宋体" w:eastAsia="宋体" w:hAnsi="宋体"/>
          <w:sz w:val="32"/>
        </w:rPr>
        <w:tab/>
        <w:t>十二、解约手续：</w:t>
      </w:r>
    </w:p>
    <w:p>
      <w:pPr>
        <w:spacing w:line="360" w:lineRule="auto"/>
        <w:sectPr>
          <w:headerReference w:type="default" r:id="rId28"/>
          <w:footerReference w:type="default" r:id="rId29"/>
          <w:type w:val="nextPage"/>
          <w:pgSz w:w="12240" w:h="15840"/>
          <w:pgMar w:top="1440" w:right="1800" w:bottom="1440" w:left="1800" w:header="720" w:footer="720" w:gutter="0"/>
          <w:pgNumType w:fmt="decimal" w:start="11"/>
          <w:cols w:num="1" w:space="720"/>
          <w:titlePg w:val="0"/>
          <w:docGrid w:linePitch="360" w:charSpace="0"/>
        </w:sectPr>
      </w:pPr>
      <w:r>
        <w:rPr>
          <w:rFonts w:ascii="宋体" w:eastAsia="宋体" w:hAnsi="宋体"/>
          <w:sz w:val="32"/>
        </w:rPr>
        <w:tab/>
        <w:t>1、在合同生效期，如乙方未能达到双方合同约定条款其中一条，甲方有权单方终止合同，以甲方经销商确认通知函为准。</w:t>
      </w:r>
    </w:p>
    <w:p>
      <w:pPr>
        <w:spacing w:line="360" w:lineRule="auto"/>
      </w:pPr>
      <w:r>
        <w:rPr>
          <w:rFonts w:ascii="宋体" w:eastAsia="宋体" w:hAnsi="宋体"/>
          <w:sz w:val="32"/>
        </w:rPr>
        <w:tab/>
        <w:t>2、在解约时乙方应将经销区域内的销售网点无条件交由甲方接管。</w:t>
      </w:r>
    </w:p>
    <w:p>
      <w:pPr>
        <w:spacing w:line="360" w:lineRule="auto"/>
      </w:pPr>
      <w:r>
        <w:rPr>
          <w:rFonts w:ascii="宋体" w:eastAsia="宋体" w:hAnsi="宋体"/>
          <w:sz w:val="32"/>
        </w:rPr>
        <w:tab/>
        <w:t>3、若双方解约，乙方市场完好无损仍有销售价值的产品，甲方按乙方进货价 ____% 的价格回收，与甲方有关并由甲方提供的资料，乙方应无条件交回甲方。</w:t>
      </w:r>
    </w:p>
    <w:p>
      <w:pPr>
        <w:spacing w:line="360" w:lineRule="auto"/>
      </w:pPr>
      <w:r>
        <w:rPr>
          <w:rFonts w:ascii="宋体" w:eastAsia="宋体" w:hAnsi="宋体"/>
          <w:sz w:val="32"/>
        </w:rPr>
        <w:tab/>
        <w:t>4、解约手续办理完毕，甲方退还乙方合同保证金。</w:t>
      </w:r>
    </w:p>
    <w:p>
      <w:pPr>
        <w:spacing w:line="360" w:lineRule="auto"/>
      </w:pPr>
      <w:r>
        <w:rPr>
          <w:rFonts w:ascii="宋体" w:eastAsia="宋体" w:hAnsi="宋体"/>
          <w:sz w:val="32"/>
        </w:rPr>
        <w:tab/>
        <w:t>十三、本合同未尽事宜由双方协议补充，出现争议双方协商解决，协商不成，由甲方所在地法院裁决。</w:t>
      </w:r>
    </w:p>
    <w:p>
      <w:pPr>
        <w:spacing w:line="360" w:lineRule="auto"/>
      </w:pPr>
      <w:r>
        <w:rPr>
          <w:rFonts w:ascii="宋体" w:eastAsia="宋体" w:hAnsi="宋体"/>
          <w:sz w:val="32"/>
        </w:rPr>
        <w:tab/>
        <w:t>十四、其它：</w:t>
      </w:r>
    </w:p>
    <w:p>
      <w:pPr>
        <w:spacing w:line="360" w:lineRule="auto"/>
      </w:pPr>
      <w:r>
        <w:rPr>
          <w:rFonts w:ascii="宋体" w:eastAsia="宋体" w:hAnsi="宋体"/>
          <w:sz w:val="32"/>
        </w:rPr>
        <w:tab/>
        <w:t>甲方附：</w:t>
      </w:r>
    </w:p>
    <w:p>
      <w:pPr>
        <w:spacing w:line="360" w:lineRule="auto"/>
      </w:pPr>
      <w:r>
        <w:rPr>
          <w:rFonts w:ascii="宋体" w:eastAsia="宋体" w:hAnsi="宋体"/>
          <w:sz w:val="32"/>
        </w:rPr>
        <w:tab/>
        <w:t>1、《经销商级别评定标准》</w:t>
      </w:r>
    </w:p>
    <w:p>
      <w:pPr>
        <w:spacing w:line="360" w:lineRule="auto"/>
      </w:pPr>
      <w:r>
        <w:rPr>
          <w:rFonts w:ascii="宋体" w:eastAsia="宋体" w:hAnsi="宋体"/>
          <w:sz w:val="32"/>
        </w:rPr>
        <w:tab/>
        <w:t>2、《经销商调查表》</w:t>
      </w:r>
    </w:p>
    <w:p>
      <w:pPr>
        <w:spacing w:line="360" w:lineRule="auto"/>
      </w:pPr>
      <w:r>
        <w:rPr>
          <w:rFonts w:ascii="宋体" w:eastAsia="宋体" w:hAnsi="宋体"/>
          <w:sz w:val="32"/>
        </w:rPr>
        <w:tab/>
        <w:t>乙方附：</w:t>
      </w:r>
    </w:p>
    <w:p>
      <w:pPr>
        <w:spacing w:line="360" w:lineRule="auto"/>
      </w:pPr>
      <w:r>
        <w:rPr>
          <w:rFonts w:ascii="宋体" w:eastAsia="宋体" w:hAnsi="宋体"/>
          <w:sz w:val="32"/>
        </w:rPr>
        <w:tab/>
        <w:t>1、酒类营业执照、税务登记证、卫生许可证复印件。（乙方签章）</w:t>
      </w:r>
    </w:p>
    <w:p>
      <w:pPr>
        <w:spacing w:line="360" w:lineRule="auto"/>
      </w:pPr>
      <w:r>
        <w:rPr>
          <w:rFonts w:ascii="宋体" w:eastAsia="宋体" w:hAnsi="宋体"/>
          <w:sz w:val="32"/>
        </w:rPr>
        <w:tab/>
        <w:t>2、法人授权委托书</w:t>
      </w:r>
    </w:p>
    <w:p>
      <w:pPr>
        <w:spacing w:line="360" w:lineRule="auto"/>
        <w:sectPr>
          <w:headerReference w:type="default" r:id="rId30"/>
          <w:footerReference w:type="default" r:id="rId31"/>
          <w:type w:val="nextPage"/>
          <w:pgSz w:w="12240" w:h="15840"/>
          <w:pgMar w:top="1440" w:right="1800" w:bottom="1440" w:left="1800" w:header="720" w:footer="720" w:gutter="0"/>
          <w:pgNumType w:fmt="decimal" w:start="12"/>
          <w:cols w:num="1" w:space="720"/>
          <w:titlePg w:val="0"/>
          <w:docGrid w:linePitch="360" w:charSpace="0"/>
        </w:sectPr>
      </w:pPr>
      <w:r>
        <w:rPr>
          <w:rFonts w:ascii="宋体" w:eastAsia="宋体" w:hAnsi="宋体"/>
          <w:sz w:val="32"/>
        </w:rPr>
        <w:tab/>
        <w:t>3、终端明细目录</w:t>
      </w:r>
    </w:p>
    <w:p>
      <w:pPr>
        <w:spacing w:line="360" w:lineRule="auto"/>
      </w:pPr>
      <w:r>
        <w:rPr>
          <w:rFonts w:ascii="宋体" w:eastAsia="宋体" w:hAnsi="宋体"/>
          <w:sz w:val="32"/>
        </w:rPr>
        <w:tab/>
        <w:t>甲 方： 乙 方：</w:t>
      </w:r>
    </w:p>
    <w:p>
      <w:pPr>
        <w:spacing w:line="360" w:lineRule="auto"/>
      </w:pPr>
      <w:r>
        <w:rPr>
          <w:rFonts w:ascii="宋体" w:eastAsia="宋体" w:hAnsi="宋体"/>
          <w:sz w:val="32"/>
        </w:rPr>
        <w:tab/>
        <w:t>代 表人： 代 表人：</w:t>
      </w:r>
    </w:p>
    <w:p>
      <w:pPr>
        <w:spacing w:line="360" w:lineRule="auto"/>
      </w:pPr>
      <w:r>
        <w:rPr>
          <w:rFonts w:ascii="宋体" w:eastAsia="宋体" w:hAnsi="宋体"/>
          <w:sz w:val="32"/>
        </w:rPr>
        <w:tab/>
        <w:t>签约时间： 签约时间：</w:t>
      </w:r>
    </w:p>
    <w:p>
      <w:pPr>
        <w:spacing w:line="360" w:lineRule="auto"/>
      </w:pPr>
      <w:r>
        <w:rPr>
          <w:rFonts w:ascii="宋体" w:eastAsia="宋体" w:hAnsi="宋体"/>
          <w:b/>
          <w:color w:val="1874CD"/>
          <w:sz w:val="32"/>
        </w:rPr>
        <w:t>篇章3:供货合同范本(标准版)</w:t>
      </w:r>
      <w:bookmarkStart w:id="4" w:name="title3"/>
      <w:bookmarkEnd w:id="4"/>
      <w:hyperlink w:anchor="title0" w:history="1">
        <w:r>
          <w:rPr>
            <w:rStyle w:val="HeaderChar"/>
            <w:rFonts w:eastAsia="宋体"/>
            <w:sz w:val="28"/>
          </w:rPr>
          <w:t>【按住Ctrl键点此返回目录】</w:t>
        </w:r>
      </w:hyperlink>
    </w:p>
    <w:p>
      <w:pPr>
        <w:spacing w:line="360" w:lineRule="auto"/>
      </w:pPr>
      <w:r>
        <w:rPr>
          <w:rFonts w:ascii="宋体" w:eastAsia="宋体" w:hAnsi="宋体"/>
          <w:sz w:val="32"/>
        </w:rPr>
        <w:tab/>
        <w:t>甲方（购买方）：xx</w:t>
      </w:r>
    </w:p>
    <w:p>
      <w:pPr>
        <w:spacing w:line="360" w:lineRule="auto"/>
      </w:pPr>
      <w:r>
        <w:rPr>
          <w:rFonts w:ascii="宋体" w:eastAsia="宋体" w:hAnsi="宋体"/>
          <w:sz w:val="32"/>
        </w:rPr>
        <w:tab/>
        <w:t>乙方（供货方）：______________________________</w:t>
      </w:r>
    </w:p>
    <w:p>
      <w:pPr>
        <w:spacing w:line="360" w:lineRule="auto"/>
      </w:pPr>
      <w:r>
        <w:rPr>
          <w:rFonts w:ascii="宋体" w:eastAsia="宋体" w:hAnsi="宋体"/>
          <w:sz w:val="32"/>
        </w:rPr>
        <w:tab/>
        <w:t>为进一步加强餐饮业原料采购的规范和安全管理，为防止食品安全事故的发生，同时为了行业价格竞争需求，切实保障用餐客户利益，谋求甲乙双方双赢互惠价值利益最大化，根据《食品卫生法》和《餐饮业卫生管理规定》的有关法律法规精神，结合甲乙双方多年合作的实际情况，经过甲乙双方共同协商，甲方特与乙方签订冻货类原料供货协议，具体如下：</w:t>
      </w:r>
    </w:p>
    <w:p>
      <w:pPr>
        <w:spacing w:line="360" w:lineRule="auto"/>
        <w:sectPr>
          <w:headerReference w:type="default" r:id="rId32"/>
          <w:footerReference w:type="default" r:id="rId33"/>
          <w:type w:val="nextPage"/>
          <w:pgSz w:w="12240" w:h="15840"/>
          <w:pgMar w:top="1440" w:right="1800" w:bottom="1440" w:left="1800" w:header="720" w:footer="720" w:gutter="0"/>
          <w:pgNumType w:fmt="decimal" w:start="13"/>
          <w:cols w:num="1" w:space="720"/>
          <w:titlePg w:val="0"/>
          <w:docGrid w:linePitch="360" w:charSpace="0"/>
        </w:sectPr>
      </w:pPr>
      <w:r>
        <w:rPr>
          <w:rFonts w:ascii="宋体" w:eastAsia="宋体" w:hAnsi="宋体"/>
          <w:sz w:val="32"/>
        </w:rPr>
        <w:tab/>
        <w:t>1、乙方必须严格按照国家有关规定向甲方提供卫生许可证、市场流通证、工商许可证、动物检验合格证等文件凭据，并校核原件，留复印件存档。（如乙方不能提供完全文件必须说明原因）</w:t>
      </w:r>
    </w:p>
    <w:p>
      <w:pPr>
        <w:spacing w:line="360" w:lineRule="auto"/>
      </w:pPr>
      <w:r>
        <w:rPr>
          <w:rFonts w:ascii="宋体" w:eastAsia="宋体" w:hAnsi="宋体"/>
          <w:sz w:val="32"/>
        </w:rPr>
        <w:tab/>
        <w:t>根据《中华人民共和国合同法》及其他有关法律法规的规定，甲乙双方在平等、自愿、公平、诚实信用的基础上，就肉类供货的有关事宜达成如下协议。</w:t>
      </w:r>
    </w:p>
    <w:p>
      <w:pPr>
        <w:spacing w:line="360" w:lineRule="auto"/>
      </w:pPr>
      <w:r>
        <w:rPr>
          <w:rFonts w:ascii="宋体" w:eastAsia="宋体" w:hAnsi="宋体"/>
          <w:sz w:val="32"/>
        </w:rPr>
        <w:tab/>
        <w:t>一、货物名称、数量、规格、价格、包装及供货批量：</w:t>
      </w:r>
    </w:p>
    <w:p>
      <w:pPr>
        <w:spacing w:line="360" w:lineRule="auto"/>
      </w:pPr>
      <w:r>
        <w:rPr>
          <w:rFonts w:ascii="宋体" w:eastAsia="宋体" w:hAnsi="宋体"/>
          <w:sz w:val="32"/>
        </w:rPr>
        <w:tab/>
        <w:t>见每批货物发货单。货物发货单为本合同的组成部分。</w:t>
      </w:r>
    </w:p>
    <w:p>
      <w:pPr>
        <w:spacing w:line="360" w:lineRule="auto"/>
      </w:pPr>
      <w:r>
        <w:rPr>
          <w:rFonts w:ascii="宋体" w:eastAsia="宋体" w:hAnsi="宋体"/>
          <w:sz w:val="32"/>
        </w:rPr>
        <w:tab/>
        <w:t>二、质量标准：符合国家相应的标准，且____________________ ________________________________________________________。</w:t>
      </w:r>
    </w:p>
    <w:p>
      <w:pPr>
        <w:spacing w:line="360" w:lineRule="auto"/>
      </w:pPr>
      <w:r>
        <w:rPr>
          <w:rFonts w:ascii="宋体" w:eastAsia="宋体" w:hAnsi="宋体"/>
          <w:sz w:val="32"/>
        </w:rPr>
        <w:tab/>
        <w:t>三、履行期限：为____  年____月____日至____  年____月____日。</w:t>
      </w:r>
    </w:p>
    <w:p>
      <w:pPr>
        <w:spacing w:line="360" w:lineRule="auto"/>
      </w:pPr>
      <w:r>
        <w:rPr>
          <w:rFonts w:ascii="宋体" w:eastAsia="宋体" w:hAnsi="宋体"/>
          <w:sz w:val="32"/>
        </w:rPr>
        <w:tab/>
        <w:t>四、交货及运输：____________________________________。</w:t>
      </w:r>
    </w:p>
    <w:p>
      <w:pPr>
        <w:spacing w:line="360" w:lineRule="auto"/>
      </w:pPr>
      <w:r>
        <w:rPr>
          <w:rFonts w:ascii="宋体" w:eastAsia="宋体" w:hAnsi="宋体"/>
          <w:sz w:val="32"/>
        </w:rPr>
        <w:tab/>
        <w:t>五、结算方式：________________________________________ 。</w:t>
      </w:r>
    </w:p>
    <w:p>
      <w:pPr>
        <w:spacing w:line="360" w:lineRule="auto"/>
      </w:pPr>
      <w:r>
        <w:rPr>
          <w:rFonts w:ascii="宋体" w:eastAsia="宋体" w:hAnsi="宋体"/>
          <w:sz w:val="32"/>
        </w:rPr>
        <w:tab/>
        <w:t>六、货物验收：</w:t>
      </w:r>
    </w:p>
    <w:p>
      <w:pPr>
        <w:spacing w:line="360" w:lineRule="auto"/>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4" w:history="1">
        <w:r>
          <w:rPr>
            <w:rFonts w:ascii="SimSun" w:eastAsia="SimSun" w:hAnsi="SimSun" w:cs="SimSun"/>
            <w:b/>
            <w:bCs/>
            <w:color w:val="0000EE"/>
            <w:sz w:val="30"/>
            <w:szCs w:val="30"/>
            <w:u w:val="single" w:color="0000EE"/>
          </w:rPr>
          <w:t>https://d.book118.com/125331224043011122</w:t>
        </w:r>
      </w:hyperlink>
    </w:p>
    <w:p>
      <w:pPr>
        <w:spacing w:line="360" w:lineRule="auto"/>
      </w:pPr>
    </w:p>
    <w:sectPr>
      <w:headerReference w:type="default" r:id="rId35"/>
      <w:footerReference w:type="default" r:id="rId36"/>
      <w:type w:val="nextPage"/>
      <w:pgSz w:w="12240" w:h="15840"/>
      <w:pgMar w:top="1440" w:right="1800" w:bottom="1440" w:left="1800" w:header="720" w:footer="720" w:gutter="0"/>
      <w:pgNumType w:fmt="decimal" w:start="14"/>
      <w:cols w:num="1" w:space="720"/>
      <w:titlePg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6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49" type="#_x0000_t202" style="width:2in;height:2in;margin-top:-16.5pt;margin-left:171.5pt;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top</wp:align>
              </wp:positionV>
              <wp:extent cx="5486400" cy="0"/>
              <wp:effectExtent l="0" t="0" r="0" b="0"/>
              <wp:wrapNone/>
              <wp:docPr id="8"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50"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58240" from="0,0" to="6in,0" fillcolor="this" stroked="t" strokecolor="#1f497d" strokeweight="1.25pt">
              <v:stroke dashstyle="longDashDot"/>
              <w10:wrap anchorx="margin"/>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1009679127"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2</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1" type="#_x0000_t202" style="width:2in;height:2in;margin-top:-16.5pt;margin-left:171.5pt;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2</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bottomMargin">
                <wp:align>top</wp:align>
              </wp:positionV>
              <wp:extent cx="5486400" cy="0"/>
              <wp:effectExtent l="0" t="0" r="0" b="0"/>
              <wp:wrapNone/>
              <wp:docPr id="1967624857"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52"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62336" from="0,0" to="6in,0" fillcolor="this" stroked="t" strokecolor="#1f497d" strokeweight="1.25pt">
              <v:stroke dashstyle="longDashDot"/>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267567820"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3</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3" type="#_x0000_t202" style="width:2in;height:2in;margin-top:-16.5pt;margin-left:171.5pt;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3</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bottomMargin">
                <wp:align>top</wp:align>
              </wp:positionV>
              <wp:extent cx="5486400" cy="0"/>
              <wp:effectExtent l="0" t="0" r="0" b="0"/>
              <wp:wrapNone/>
              <wp:docPr id="1192667115"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54"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66432" from="0,0" to="6in,0" fillcolor="this" stroked="t" strokecolor="#1f497d" strokeweight="1.25pt">
              <v:stroke dashstyle="longDashDot"/>
              <w10:wrap anchorx="margin"/>
            </v:lin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189441396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4</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5" type="#_x0000_t202" style="width:2in;height:2in;margin-top:-16.5pt;margin-left:171.5pt;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4</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bottomMargin">
                <wp:align>top</wp:align>
              </wp:positionV>
              <wp:extent cx="5486400" cy="0"/>
              <wp:effectExtent l="0" t="0" r="0" b="0"/>
              <wp:wrapNone/>
              <wp:docPr id="1615041176"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56"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70528" from="0,0" to="6in,0" fillcolor="this" stroked="t" strokecolor="#1f497d" strokeweight="1.25pt">
              <v:stroke dashstyle="longDashDot"/>
              <w10:wrap anchorx="margin"/>
            </v:lin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82129008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7" type="#_x0000_t202" style="width:2in;height:2in;margin-top:-16.5pt;margin-left:171.5pt;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bottomMargin">
                <wp:align>top</wp:align>
              </wp:positionV>
              <wp:extent cx="5486400" cy="0"/>
              <wp:effectExtent l="0" t="0" r="0" b="0"/>
              <wp:wrapNone/>
              <wp:docPr id="977953425"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58"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74624" from="0,0" to="6in,0" fillcolor="this" stroked="t" strokecolor="#1f497d" strokeweight="1.25pt">
              <v:stroke dashstyle="longDashDot"/>
              <w10:wrap anchorx="margin"/>
            </v:lin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1854946435"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6</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9" type="#_x0000_t202" style="width:2in;height:2in;margin-top:-16.5pt;margin-left:171.5pt;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6</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bottomMargin">
                <wp:align>top</wp:align>
              </wp:positionV>
              <wp:extent cx="5486400" cy="0"/>
              <wp:effectExtent l="0" t="0" r="0" b="0"/>
              <wp:wrapNone/>
              <wp:docPr id="575152690"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60"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78720" from="0,0" to="6in,0" fillcolor="this" stroked="t" strokecolor="#1f497d" strokeweight="1.25pt">
              <v:stroke dashstyle="longDashDot"/>
              <w10:wrap anchorx="margin"/>
            </v:lin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5888"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1187325067"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7</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61" type="#_x0000_t202" style="width:2in;height:2in;margin-top:-16.5pt;margin-left:171.5pt;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7</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bottomMargin">
                <wp:align>top</wp:align>
              </wp:positionV>
              <wp:extent cx="5486400" cy="0"/>
              <wp:effectExtent l="0" t="0" r="0" b="0"/>
              <wp:wrapNone/>
              <wp:docPr id="396911170"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62"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82816" from="0,0" to="6in,0" fillcolor="this" stroked="t" strokecolor="#1f497d" strokeweight="1.25pt">
              <v:stroke dashstyle="longDashDot"/>
              <w10:wrap anchorx="margin"/>
            </v:lin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9984"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94421611"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8</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63" type="#_x0000_t202" style="width:2in;height:2in;margin-top:-16.5pt;margin-left:171.5pt;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8</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bottomMargin">
                <wp:align>top</wp:align>
              </wp:positionV>
              <wp:extent cx="5486400" cy="0"/>
              <wp:effectExtent l="0" t="0" r="0" b="0"/>
              <wp:wrapNone/>
              <wp:docPr id="1209615038"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64"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86912" from="0,0" to="6in,0" fillcolor="this" stroked="t" strokecolor="#1f497d" strokeweight="1.25pt">
              <v:stroke dashstyle="longDashDot"/>
              <w10:wrap anchorx="margin"/>
            </v:lin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4080"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1643953840"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9</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65" type="#_x0000_t202" style="width:2in;height:2in;margin-top:-16.5pt;margin-left:171.5pt;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9</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bottomMargin">
                <wp:align>top</wp:align>
              </wp:positionV>
              <wp:extent cx="5486400" cy="0"/>
              <wp:effectExtent l="0" t="0" r="0" b="0"/>
              <wp:wrapNone/>
              <wp:docPr id="1041908672"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66"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91008" from="0,0" to="6in,0" fillcolor="this" stroked="t" strokecolor="#1f497d" strokeweight="1.25pt">
              <v:stroke dashstyle="longDashDot"/>
              <w10:wrap anchorx="margin"/>
            </v:lin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8176"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492930639"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10</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67" type="#_x0000_t202" style="width:2in;height:2in;margin-top:-16.5pt;margin-left:171.5pt;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10</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bottomMargin">
                <wp:align>top</wp:align>
              </wp:positionV>
              <wp:extent cx="5486400" cy="0"/>
              <wp:effectExtent l="0" t="0" r="0" b="0"/>
              <wp:wrapNone/>
              <wp:docPr id="1884054891"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68"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95104" from="0,0" to="6in,0" fillcolor="this" stroked="t" strokecolor="#1f497d" strokeweight="1.25pt">
              <v:stroke dashstyle="longDashDot"/>
              <w10:wrap anchorx="margin"/>
            </v:lin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02272"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13842426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12</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69" type="#_x0000_t202" style="width:2in;height:2in;margin-top:-16.5pt;margin-left:171.5pt;mso-position-horizontal-relative:margin;mso-wrap-distance-bottom:0;mso-wrap-distance-left:9pt;mso-wrap-distance-right:9pt;mso-wrap-distance-top:0;mso-wrap-style:none;position:absolute;v-text-anchor:top;z-index:251701248"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12</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bottomMargin">
                <wp:align>top</wp:align>
              </wp:positionV>
              <wp:extent cx="5486400" cy="0"/>
              <wp:effectExtent l="0" t="0" r="0" b="0"/>
              <wp:wrapNone/>
              <wp:docPr id="463616504"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70"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699200" from="0,0" to="6in,0" fillcolor="this" stroked="t" strokecolor="#1f497d" strokeweight="1.25pt">
              <v:stroke dashstyle="longDashDot"/>
              <w10:wrap anchorx="margin"/>
            </v:lin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06368"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74296253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12</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71" type="#_x0000_t202" style="width:2in;height:2in;margin-top:-16.5pt;margin-left:171.5pt;mso-position-horizontal-relative:margin;mso-wrap-distance-bottom:0;mso-wrap-distance-left:9pt;mso-wrap-distance-right:9pt;mso-wrap-distance-top:0;mso-wrap-style:none;position:absolute;v-text-anchor:top;z-index:251705344"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12</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bottomMargin">
                <wp:align>top</wp:align>
              </wp:positionV>
              <wp:extent cx="5486400" cy="0"/>
              <wp:effectExtent l="0" t="0" r="0" b="0"/>
              <wp:wrapNone/>
              <wp:docPr id="430738008"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72"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703296" from="0,0" to="6in,0" fillcolor="this" stroked="t" strokecolor="#1f497d" strokeweight="1.25pt">
              <v:stroke dashstyle="longDashDot"/>
              <w10:wrap anchorx="margin"/>
            </v:lin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0464"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201223048"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13</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73" type="#_x0000_t202" style="width:2in;height:2in;margin-top:-16.5pt;margin-left:171.5pt;mso-position-horizontal-relative:margin;mso-wrap-distance-bottom:0;mso-wrap-distance-left:9pt;mso-wrap-distance-right:9pt;mso-wrap-distance-top:0;mso-wrap-style:none;position:absolute;v-text-anchor:top;z-index:251709440"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13</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bottomMargin">
                <wp:align>top</wp:align>
              </wp:positionV>
              <wp:extent cx="5486400" cy="0"/>
              <wp:effectExtent l="0" t="0" r="0" b="0"/>
              <wp:wrapNone/>
              <wp:docPr id="179562231"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74"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707392" from="0,0" to="6in,0" fillcolor="this" stroked="t" strokecolor="#1f497d" strokeweight="1.25pt">
              <v:stroke dashstyle="longDashDot"/>
              <w10:wrap anchorx="margin"/>
            </v:lin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4560" behindDoc="0" locked="0" layoutInCell="1" allowOverlap="1">
              <wp:simplePos x="0" y="0"/>
              <wp:positionH relativeFrom="margin">
                <wp:posOffset>2178050</wp:posOffset>
              </wp:positionH>
              <wp:positionV relativeFrom="paragraph">
                <wp:posOffset>-209550</wp:posOffset>
              </wp:positionV>
              <wp:extent cx="1828800" cy="1828800"/>
              <wp:effectExtent l="0" t="0" r="0" b="0"/>
              <wp:wrapNone/>
              <wp:docPr id="1185043859"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14</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75" type="#_x0000_t202" style="width:2in;height:2in;margin-top:-16.5pt;margin-left:171.5pt;mso-position-horizontal-relative:margin;mso-wrap-distance-bottom:0;mso-wrap-distance-left:9pt;mso-wrap-distance-right:9pt;mso-wrap-distance-top:0;mso-wrap-style:none;position:absolute;v-text-anchor:top;z-index:251713536" filled="f" fillcolor="this" stroked="f" strokeweight="0.5pt">
              <v:textbox style="mso-fit-shape-to-text:t" inset="0,0,0,0">
                <w:txbxContent>
                  <w:p>
                    <w:pPr>
                      <w:pStyle w:val="Footer"/>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第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PAGE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14</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 共 </w:t>
                    </w:r>
                    <w:r>
                      <w:rPr>
                        <w:rFonts w:ascii="黑体" w:eastAsia="黑体" w:hAnsi="黑体" w:cs="黑体" w:hint="eastAsia"/>
                        <w:sz w:val="24"/>
                        <w:szCs w:val="24"/>
                        <w:lang w:eastAsia="zh-CN"/>
                      </w:rPr>
                      <w:fldChar w:fldCharType="begin"/>
                    </w:r>
                    <w:r>
                      <w:rPr>
                        <w:rFonts w:ascii="黑体" w:eastAsia="黑体" w:hAnsi="黑体" w:cs="黑体" w:hint="eastAsia"/>
                        <w:sz w:val="24"/>
                        <w:szCs w:val="24"/>
                        <w:lang w:eastAsia="zh-CN"/>
                      </w:rPr>
                      <w:instrText xml:space="preserve"> NUMPAGES  \* MERGEFORMAT </w:instrText>
                    </w:r>
                    <w:r>
                      <w:rPr>
                        <w:rFonts w:ascii="黑体" w:eastAsia="黑体" w:hAnsi="黑体" w:cs="黑体" w:hint="eastAsia"/>
                        <w:sz w:val="24"/>
                        <w:szCs w:val="24"/>
                        <w:lang w:eastAsia="zh-CN"/>
                      </w:rPr>
                      <w:fldChar w:fldCharType="separate"/>
                    </w:r>
                    <w:r>
                      <w:rPr>
                        <w:rFonts w:ascii="黑体" w:eastAsia="黑体" w:hAnsi="黑体" w:cs="黑体" w:hint="eastAsia"/>
                        <w:sz w:val="24"/>
                        <w:szCs w:val="24"/>
                        <w:lang w:eastAsia="zh-CN"/>
                      </w:rPr>
                      <w:t>15</w:t>
                    </w:r>
                    <w:r>
                      <w:rPr>
                        <w:rFonts w:ascii="黑体" w:eastAsia="黑体" w:hAnsi="黑体" w:cs="黑体" w:hint="eastAsia"/>
                        <w:sz w:val="24"/>
                        <w:szCs w:val="24"/>
                        <w:lang w:eastAsia="zh-CN"/>
                      </w:rPr>
                      <w:fldChar w:fldCharType="end"/>
                    </w:r>
                    <w:r>
                      <w:rPr>
                        <w:rFonts w:ascii="黑体" w:eastAsia="黑体" w:hAnsi="黑体" w:cs="黑体" w:hint="eastAsia"/>
                        <w:sz w:val="24"/>
                        <w:szCs w:val="24"/>
                        <w:lang w:eastAsia="zh-CN"/>
                      </w:rPr>
                      <w:t xml:space="preserve"> 页</w:t>
                    </w:r>
                  </w:p>
                </w:txbxContent>
              </v:textbox>
              <w10:wrap anchorx="margin"/>
            </v:shape>
          </w:pict>
        </mc:Fallback>
      </mc:AlternateContent>
    </w: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bottomMargin">
                <wp:align>top</wp:align>
              </wp:positionV>
              <wp:extent cx="5486400" cy="0"/>
              <wp:effectExtent l="0" t="0" r="0" b="0"/>
              <wp:wrapNone/>
              <wp:docPr id="516677578" name="直接连接符 8"/>
              <wp:cNvGraphicFramePr/>
              <a:graphic xmlns:a="http://schemas.openxmlformats.org/drawingml/2006/main">
                <a:graphicData uri="http://schemas.microsoft.com/office/word/2010/wordprocessingShape">
                  <wps:wsp xmlns:wps="http://schemas.microsoft.com/office/word/2010/wordprocessingShape">
                    <wps:cNvCnPr/>
                    <wps:spPr>
                      <a:xfrm>
                        <a:off x="0" y="0"/>
                        <a:ext cx="5486400" cy="0"/>
                      </a:xfrm>
                      <a:prstGeom prst="line">
                        <a:avLst/>
                      </a:prstGeom>
                      <a:ln w="15875">
                        <a:solidFill>
                          <a:schemeClr val="tx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100000</wp14:pctWidth>
              </wp14:sizeRelH>
              <wp14:sizeRelV relativeFrom="page">
                <wp14:pctHeight>0</wp14:pctHeight>
              </wp14:sizeRelV>
            </wp:anchor>
          </w:drawing>
        </mc:Choice>
        <mc:Fallback>
          <w:pict>
            <v:line id="直接连接符 8" o:spid="_x0000_s2076" style="mso-height-percent:0;mso-height-relative:page;mso-position-horizontal:center;mso-position-horizontal-relative:margin;mso-position-vertical:top;mso-position-vertical-relative:bottom-margin-area;mso-width-percent:1000;mso-width-relative:margin;mso-wrap-distance-bottom:0;mso-wrap-distance-left:9pt;mso-wrap-distance-right:9pt;mso-wrap-distance-top:0;position:absolute;v-text-anchor:top;z-index:251711488" from="0,0" to="6in,0" fillcolor="this" stroked="t" strokecolor="#1f497d" strokeweight="1.25pt">
              <v:stroke dashstyle="longDashDot"/>
              <w10:wrap anchorx="margin"/>
            </v:lin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keepNext w:val="0"/>
      <w:keepLines w:val="0"/>
      <w:pageBreakBefore w:val="0"/>
      <w:widowControl/>
      <w:numPr>
        <w:ilvl w:val="0"/>
        <w:numId w:val="0"/>
      </w:numPr>
      <w:kinsoku/>
      <w:wordWrap/>
      <w:overflowPunct/>
      <w:topLinePunct w:val="0"/>
      <w:autoSpaceDE/>
      <w:autoSpaceDN/>
      <w:bidi w:val="0"/>
      <w:adjustRightInd/>
      <w:snapToGrid/>
      <w:ind w:leftChars="0"/>
      <w:jc w:val="both"/>
      <w:textAlignment w:val="auto"/>
      <w:rPr>
        <w:rFonts w:hint="eastAsia"/>
        <w:b/>
        <w:bCs/>
        <w:color w:val="4F81BD" w:themeColor="accent1"/>
        <w:sz w:val="24"/>
        <w:szCs w:val="32"/>
        <w:lang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prstMaterial="clea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12376"/>
    <w:rsid w:val="0029639D"/>
    <w:rsid w:val="00326F90"/>
    <w:rsid w:val="003E2DA0"/>
    <w:rsid w:val="007D25A5"/>
    <w:rsid w:val="00810D51"/>
    <w:rsid w:val="00AA1D8D"/>
    <w:rsid w:val="00B47730"/>
    <w:rsid w:val="00CB0664"/>
    <w:rsid w:val="00FC693F"/>
    <w:rsid w:val="01316B39"/>
    <w:rsid w:val="021D3524"/>
    <w:rsid w:val="022A4893"/>
    <w:rsid w:val="024F3FE2"/>
    <w:rsid w:val="02BC506A"/>
    <w:rsid w:val="02E068C0"/>
    <w:rsid w:val="03075DFB"/>
    <w:rsid w:val="03263B9C"/>
    <w:rsid w:val="038E2393"/>
    <w:rsid w:val="03CD1B27"/>
    <w:rsid w:val="045657D6"/>
    <w:rsid w:val="04A830A7"/>
    <w:rsid w:val="04A95159"/>
    <w:rsid w:val="04BC76FE"/>
    <w:rsid w:val="04BE33B9"/>
    <w:rsid w:val="04C23B3E"/>
    <w:rsid w:val="04DC50C1"/>
    <w:rsid w:val="059941D7"/>
    <w:rsid w:val="05D21C1C"/>
    <w:rsid w:val="05F2644F"/>
    <w:rsid w:val="061A26CB"/>
    <w:rsid w:val="06F143D0"/>
    <w:rsid w:val="07CA2CC9"/>
    <w:rsid w:val="086D6006"/>
    <w:rsid w:val="087B5FC2"/>
    <w:rsid w:val="088E2BBD"/>
    <w:rsid w:val="08CF7521"/>
    <w:rsid w:val="09087205"/>
    <w:rsid w:val="098A7467"/>
    <w:rsid w:val="09993DE4"/>
    <w:rsid w:val="09C437BE"/>
    <w:rsid w:val="09F61BDA"/>
    <w:rsid w:val="0A00688B"/>
    <w:rsid w:val="0A1C6D51"/>
    <w:rsid w:val="0A233296"/>
    <w:rsid w:val="0A836C15"/>
    <w:rsid w:val="0B3F34BC"/>
    <w:rsid w:val="0B40146F"/>
    <w:rsid w:val="0B7D3820"/>
    <w:rsid w:val="0BC74ABF"/>
    <w:rsid w:val="0C7155C6"/>
    <w:rsid w:val="0C8157C3"/>
    <w:rsid w:val="0C9257D6"/>
    <w:rsid w:val="0CDB193B"/>
    <w:rsid w:val="0CF25CE2"/>
    <w:rsid w:val="0D6D59EA"/>
    <w:rsid w:val="0D8C0341"/>
    <w:rsid w:val="0DA95D38"/>
    <w:rsid w:val="0E105935"/>
    <w:rsid w:val="0E1F0928"/>
    <w:rsid w:val="0ECB17AA"/>
    <w:rsid w:val="0EE433DF"/>
    <w:rsid w:val="0F453027"/>
    <w:rsid w:val="0F88180A"/>
    <w:rsid w:val="0F9B5448"/>
    <w:rsid w:val="0FDA67A6"/>
    <w:rsid w:val="1052703B"/>
    <w:rsid w:val="10652015"/>
    <w:rsid w:val="10661F79"/>
    <w:rsid w:val="10686DDA"/>
    <w:rsid w:val="10AD4DE0"/>
    <w:rsid w:val="110B4AA2"/>
    <w:rsid w:val="119510A0"/>
    <w:rsid w:val="11E91183"/>
    <w:rsid w:val="11EC5BC7"/>
    <w:rsid w:val="1201037C"/>
    <w:rsid w:val="12041362"/>
    <w:rsid w:val="12F57B6E"/>
    <w:rsid w:val="13D74C6B"/>
    <w:rsid w:val="13E81609"/>
    <w:rsid w:val="141C36A8"/>
    <w:rsid w:val="14753CB2"/>
    <w:rsid w:val="14C73E5D"/>
    <w:rsid w:val="14E519F9"/>
    <w:rsid w:val="154C3B99"/>
    <w:rsid w:val="15850736"/>
    <w:rsid w:val="16055B8C"/>
    <w:rsid w:val="164169E1"/>
    <w:rsid w:val="164C435D"/>
    <w:rsid w:val="16922E14"/>
    <w:rsid w:val="1707525B"/>
    <w:rsid w:val="17647C4F"/>
    <w:rsid w:val="17A078E9"/>
    <w:rsid w:val="17DA6A11"/>
    <w:rsid w:val="180E4023"/>
    <w:rsid w:val="18285536"/>
    <w:rsid w:val="184D695B"/>
    <w:rsid w:val="18E836E2"/>
    <w:rsid w:val="190553B4"/>
    <w:rsid w:val="198C2F54"/>
    <w:rsid w:val="1A2A0A2D"/>
    <w:rsid w:val="1A747BD2"/>
    <w:rsid w:val="1AC34E41"/>
    <w:rsid w:val="1AC53D5D"/>
    <w:rsid w:val="1ADC3BA0"/>
    <w:rsid w:val="1AF91844"/>
    <w:rsid w:val="1B75232B"/>
    <w:rsid w:val="1BAE43BF"/>
    <w:rsid w:val="1BCE5301"/>
    <w:rsid w:val="1C2D240B"/>
    <w:rsid w:val="1CF618CA"/>
    <w:rsid w:val="1D0B00A1"/>
    <w:rsid w:val="1D8562F3"/>
    <w:rsid w:val="1E4E600A"/>
    <w:rsid w:val="1EAA268C"/>
    <w:rsid w:val="1EF629CA"/>
    <w:rsid w:val="1F180343"/>
    <w:rsid w:val="1F343EAE"/>
    <w:rsid w:val="1F8D4FBF"/>
    <w:rsid w:val="1FA9700E"/>
    <w:rsid w:val="1FE576D9"/>
    <w:rsid w:val="1FEE0A32"/>
    <w:rsid w:val="200D5823"/>
    <w:rsid w:val="20333266"/>
    <w:rsid w:val="20824CD8"/>
    <w:rsid w:val="20AB376F"/>
    <w:rsid w:val="20CA1509"/>
    <w:rsid w:val="20FC66F9"/>
    <w:rsid w:val="213903DC"/>
    <w:rsid w:val="21A002DC"/>
    <w:rsid w:val="21E438F8"/>
    <w:rsid w:val="21FA2372"/>
    <w:rsid w:val="21FD2040"/>
    <w:rsid w:val="222D2A4C"/>
    <w:rsid w:val="22914324"/>
    <w:rsid w:val="22B80FB4"/>
    <w:rsid w:val="22CF232F"/>
    <w:rsid w:val="22E84E4C"/>
    <w:rsid w:val="230824FD"/>
    <w:rsid w:val="23567D80"/>
    <w:rsid w:val="2413634E"/>
    <w:rsid w:val="241A0456"/>
    <w:rsid w:val="2431789D"/>
    <w:rsid w:val="243A65B6"/>
    <w:rsid w:val="244240D3"/>
    <w:rsid w:val="245B13C9"/>
    <w:rsid w:val="247E0530"/>
    <w:rsid w:val="24A6421E"/>
    <w:rsid w:val="24C87CF1"/>
    <w:rsid w:val="250120EE"/>
    <w:rsid w:val="2519210F"/>
    <w:rsid w:val="2531725D"/>
    <w:rsid w:val="25512DAB"/>
    <w:rsid w:val="25612478"/>
    <w:rsid w:val="25750622"/>
    <w:rsid w:val="2581039E"/>
    <w:rsid w:val="25844979"/>
    <w:rsid w:val="25FA7DFC"/>
    <w:rsid w:val="265D5FD4"/>
    <w:rsid w:val="27222FAC"/>
    <w:rsid w:val="273D543A"/>
    <w:rsid w:val="278D6672"/>
    <w:rsid w:val="279A0D84"/>
    <w:rsid w:val="27A54E20"/>
    <w:rsid w:val="27CA343A"/>
    <w:rsid w:val="280764DD"/>
    <w:rsid w:val="282040A0"/>
    <w:rsid w:val="28331B10"/>
    <w:rsid w:val="283437BD"/>
    <w:rsid w:val="28695EB4"/>
    <w:rsid w:val="288964C3"/>
    <w:rsid w:val="291E36AB"/>
    <w:rsid w:val="29A841A3"/>
    <w:rsid w:val="2A4A7DDA"/>
    <w:rsid w:val="2A7A1B0E"/>
    <w:rsid w:val="2AD834FF"/>
    <w:rsid w:val="2B6D6F2D"/>
    <w:rsid w:val="2BE37A0E"/>
    <w:rsid w:val="2C606680"/>
    <w:rsid w:val="2C6160D0"/>
    <w:rsid w:val="2CAE5151"/>
    <w:rsid w:val="2CD4594A"/>
    <w:rsid w:val="2D044ED5"/>
    <w:rsid w:val="2D0D054C"/>
    <w:rsid w:val="2D347B8B"/>
    <w:rsid w:val="2DCC665F"/>
    <w:rsid w:val="2DD243E4"/>
    <w:rsid w:val="2DF670E6"/>
    <w:rsid w:val="2E194B18"/>
    <w:rsid w:val="2E291DD3"/>
    <w:rsid w:val="2E2A7281"/>
    <w:rsid w:val="2E306466"/>
    <w:rsid w:val="2E3A28ED"/>
    <w:rsid w:val="2E7970B6"/>
    <w:rsid w:val="2E7C797C"/>
    <w:rsid w:val="2E8C4A36"/>
    <w:rsid w:val="2EC01C9E"/>
    <w:rsid w:val="2EC80F75"/>
    <w:rsid w:val="2ED808D9"/>
    <w:rsid w:val="2EDA207E"/>
    <w:rsid w:val="2EE84609"/>
    <w:rsid w:val="2EF172E9"/>
    <w:rsid w:val="2F1120EA"/>
    <w:rsid w:val="2F417D48"/>
    <w:rsid w:val="2F45462D"/>
    <w:rsid w:val="2F5B12C3"/>
    <w:rsid w:val="2F9469A0"/>
    <w:rsid w:val="2F9C3EC3"/>
    <w:rsid w:val="2FA2743F"/>
    <w:rsid w:val="2FAA459F"/>
    <w:rsid w:val="2FB577B3"/>
    <w:rsid w:val="2FE048FF"/>
    <w:rsid w:val="303F22C8"/>
    <w:rsid w:val="30471091"/>
    <w:rsid w:val="30D625EE"/>
    <w:rsid w:val="31147AB5"/>
    <w:rsid w:val="31DD477D"/>
    <w:rsid w:val="31E149E9"/>
    <w:rsid w:val="31FC2A0C"/>
    <w:rsid w:val="32330C4B"/>
    <w:rsid w:val="32655A4D"/>
    <w:rsid w:val="32A963A1"/>
    <w:rsid w:val="32C3778C"/>
    <w:rsid w:val="333D557E"/>
    <w:rsid w:val="336D19FD"/>
    <w:rsid w:val="337D16A2"/>
    <w:rsid w:val="33A372D9"/>
    <w:rsid w:val="345F02D8"/>
    <w:rsid w:val="348120DE"/>
    <w:rsid w:val="349D6DCD"/>
    <w:rsid w:val="351461B2"/>
    <w:rsid w:val="357A62DF"/>
    <w:rsid w:val="359A5D72"/>
    <w:rsid w:val="35A94E03"/>
    <w:rsid w:val="35B059DD"/>
    <w:rsid w:val="35D62236"/>
    <w:rsid w:val="3671470F"/>
    <w:rsid w:val="368931F4"/>
    <w:rsid w:val="36E621C8"/>
    <w:rsid w:val="37222A96"/>
    <w:rsid w:val="37A13035"/>
    <w:rsid w:val="37EF5634"/>
    <w:rsid w:val="38295367"/>
    <w:rsid w:val="38610FAA"/>
    <w:rsid w:val="3866539B"/>
    <w:rsid w:val="386E09C1"/>
    <w:rsid w:val="38A31217"/>
    <w:rsid w:val="38F75D5E"/>
    <w:rsid w:val="391F5770"/>
    <w:rsid w:val="3961052E"/>
    <w:rsid w:val="3985301D"/>
    <w:rsid w:val="39C17566"/>
    <w:rsid w:val="3A52183C"/>
    <w:rsid w:val="3A6E0C4C"/>
    <w:rsid w:val="3B185E74"/>
    <w:rsid w:val="3B421E66"/>
    <w:rsid w:val="3B464918"/>
    <w:rsid w:val="3C807D2C"/>
    <w:rsid w:val="3D136E41"/>
    <w:rsid w:val="3D5E485A"/>
    <w:rsid w:val="3D842718"/>
    <w:rsid w:val="3DB7642E"/>
    <w:rsid w:val="3DE718F9"/>
    <w:rsid w:val="3DF24053"/>
    <w:rsid w:val="3E390478"/>
    <w:rsid w:val="3E6D598F"/>
    <w:rsid w:val="3E70256D"/>
    <w:rsid w:val="3EAD18D9"/>
    <w:rsid w:val="3F1702AA"/>
    <w:rsid w:val="3F6443BE"/>
    <w:rsid w:val="3FC56BCF"/>
    <w:rsid w:val="400A788E"/>
    <w:rsid w:val="401C41EA"/>
    <w:rsid w:val="40257FA0"/>
    <w:rsid w:val="407E408E"/>
    <w:rsid w:val="40C6697B"/>
    <w:rsid w:val="411E69E6"/>
    <w:rsid w:val="412676FE"/>
    <w:rsid w:val="416B7B09"/>
    <w:rsid w:val="41C5666D"/>
    <w:rsid w:val="41ED7D59"/>
    <w:rsid w:val="424266BF"/>
    <w:rsid w:val="42AF45AD"/>
    <w:rsid w:val="42B1622F"/>
    <w:rsid w:val="42F046CA"/>
    <w:rsid w:val="430B190A"/>
    <w:rsid w:val="437530A3"/>
    <w:rsid w:val="43932D45"/>
    <w:rsid w:val="43C67DD0"/>
    <w:rsid w:val="43FA5A92"/>
    <w:rsid w:val="446A59BD"/>
    <w:rsid w:val="449930B0"/>
    <w:rsid w:val="44A2765D"/>
    <w:rsid w:val="450421A2"/>
    <w:rsid w:val="452F37D9"/>
    <w:rsid w:val="457F1DE2"/>
    <w:rsid w:val="459A23EC"/>
    <w:rsid w:val="45D825F4"/>
    <w:rsid w:val="46584B28"/>
    <w:rsid w:val="468C66E3"/>
    <w:rsid w:val="46B24AB4"/>
    <w:rsid w:val="471F0F41"/>
    <w:rsid w:val="473A3B2B"/>
    <w:rsid w:val="47AD2C1E"/>
    <w:rsid w:val="47FD17CA"/>
    <w:rsid w:val="4825155A"/>
    <w:rsid w:val="483576F0"/>
    <w:rsid w:val="48515C32"/>
    <w:rsid w:val="48541B77"/>
    <w:rsid w:val="486B39D6"/>
    <w:rsid w:val="48FD1C0F"/>
    <w:rsid w:val="4956090C"/>
    <w:rsid w:val="4A1B2473"/>
    <w:rsid w:val="4A69777E"/>
    <w:rsid w:val="4A93035E"/>
    <w:rsid w:val="4AA846BC"/>
    <w:rsid w:val="4B1F20A7"/>
    <w:rsid w:val="4B1F6263"/>
    <w:rsid w:val="4B2E45CC"/>
    <w:rsid w:val="4C7718D6"/>
    <w:rsid w:val="4C967016"/>
    <w:rsid w:val="4CAA2F78"/>
    <w:rsid w:val="4CAD7398"/>
    <w:rsid w:val="4CE941DF"/>
    <w:rsid w:val="4CEF0099"/>
    <w:rsid w:val="4D7E49A3"/>
    <w:rsid w:val="4E237B72"/>
    <w:rsid w:val="4E3E15EB"/>
    <w:rsid w:val="4F045567"/>
    <w:rsid w:val="4F6D78DB"/>
    <w:rsid w:val="4FFD0625"/>
    <w:rsid w:val="4FFD4273"/>
    <w:rsid w:val="506C5D6A"/>
    <w:rsid w:val="508318B3"/>
    <w:rsid w:val="50AA1722"/>
    <w:rsid w:val="50B41D69"/>
    <w:rsid w:val="50D23E9C"/>
    <w:rsid w:val="50EF2F59"/>
    <w:rsid w:val="510D4BE8"/>
    <w:rsid w:val="51E66C75"/>
    <w:rsid w:val="51ED2A6F"/>
    <w:rsid w:val="51EF0502"/>
    <w:rsid w:val="52036D82"/>
    <w:rsid w:val="5226404B"/>
    <w:rsid w:val="52BD50B0"/>
    <w:rsid w:val="532E2BF9"/>
    <w:rsid w:val="535D004D"/>
    <w:rsid w:val="53730A57"/>
    <w:rsid w:val="53A124D2"/>
    <w:rsid w:val="53DA343A"/>
    <w:rsid w:val="53F12E1E"/>
    <w:rsid w:val="54445AF7"/>
    <w:rsid w:val="54522CE3"/>
    <w:rsid w:val="54C7777D"/>
    <w:rsid w:val="54F568B6"/>
    <w:rsid w:val="54FE4473"/>
    <w:rsid w:val="55561EC0"/>
    <w:rsid w:val="556976B6"/>
    <w:rsid w:val="55837446"/>
    <w:rsid w:val="55EB79F1"/>
    <w:rsid w:val="56716627"/>
    <w:rsid w:val="568D1722"/>
    <w:rsid w:val="56A17012"/>
    <w:rsid w:val="56D63A56"/>
    <w:rsid w:val="56FA7CF5"/>
    <w:rsid w:val="573F16C3"/>
    <w:rsid w:val="58344E0D"/>
    <w:rsid w:val="58407DC1"/>
    <w:rsid w:val="58C2318A"/>
    <w:rsid w:val="58D80030"/>
    <w:rsid w:val="59595F59"/>
    <w:rsid w:val="597D1258"/>
    <w:rsid w:val="59B15E57"/>
    <w:rsid w:val="5A0635C6"/>
    <w:rsid w:val="5A867DB4"/>
    <w:rsid w:val="5AC97808"/>
    <w:rsid w:val="5B842389"/>
    <w:rsid w:val="5BBB50FB"/>
    <w:rsid w:val="5BC84EEF"/>
    <w:rsid w:val="5BDE53DA"/>
    <w:rsid w:val="5C403BA6"/>
    <w:rsid w:val="5C405595"/>
    <w:rsid w:val="5C4145F5"/>
    <w:rsid w:val="5C475600"/>
    <w:rsid w:val="5C715CB4"/>
    <w:rsid w:val="5CD3129C"/>
    <w:rsid w:val="5E334CF8"/>
    <w:rsid w:val="5E642DFB"/>
    <w:rsid w:val="5E911F5C"/>
    <w:rsid w:val="5EB125F7"/>
    <w:rsid w:val="5EC025AD"/>
    <w:rsid w:val="5F2E6057"/>
    <w:rsid w:val="5F7C5C89"/>
    <w:rsid w:val="5FAF759B"/>
    <w:rsid w:val="604B5ECE"/>
    <w:rsid w:val="60840E0F"/>
    <w:rsid w:val="615E2D95"/>
    <w:rsid w:val="61744493"/>
    <w:rsid w:val="61B66DB8"/>
    <w:rsid w:val="61CF28CA"/>
    <w:rsid w:val="6216335E"/>
    <w:rsid w:val="6249431E"/>
    <w:rsid w:val="62663814"/>
    <w:rsid w:val="627A7B78"/>
    <w:rsid w:val="62AE0CEA"/>
    <w:rsid w:val="62F7221E"/>
    <w:rsid w:val="62F95060"/>
    <w:rsid w:val="64193D1A"/>
    <w:rsid w:val="64593A74"/>
    <w:rsid w:val="65600287"/>
    <w:rsid w:val="658F7EA4"/>
    <w:rsid w:val="6593525D"/>
    <w:rsid w:val="659C7A20"/>
    <w:rsid w:val="663F44EB"/>
    <w:rsid w:val="666273AA"/>
    <w:rsid w:val="666E5222"/>
    <w:rsid w:val="667A056B"/>
    <w:rsid w:val="66B6609F"/>
    <w:rsid w:val="66E7318F"/>
    <w:rsid w:val="67064385"/>
    <w:rsid w:val="67114A29"/>
    <w:rsid w:val="675A65EC"/>
    <w:rsid w:val="67D4313B"/>
    <w:rsid w:val="67D47400"/>
    <w:rsid w:val="67E271CC"/>
    <w:rsid w:val="68876712"/>
    <w:rsid w:val="68E52F74"/>
    <w:rsid w:val="696725FF"/>
    <w:rsid w:val="69832721"/>
    <w:rsid w:val="69EF6D81"/>
    <w:rsid w:val="6A2D66D2"/>
    <w:rsid w:val="6A5264D3"/>
    <w:rsid w:val="6AA15DA8"/>
    <w:rsid w:val="6B2948A0"/>
    <w:rsid w:val="6B5E0569"/>
    <w:rsid w:val="6B9C1547"/>
    <w:rsid w:val="6BB63A76"/>
    <w:rsid w:val="6BD65A80"/>
    <w:rsid w:val="6C032C00"/>
    <w:rsid w:val="6C06077C"/>
    <w:rsid w:val="6C373890"/>
    <w:rsid w:val="6CA72637"/>
    <w:rsid w:val="6CE357B1"/>
    <w:rsid w:val="6CE65D65"/>
    <w:rsid w:val="6D140C2A"/>
    <w:rsid w:val="6D5A02AA"/>
    <w:rsid w:val="6DF33931"/>
    <w:rsid w:val="6DF436DB"/>
    <w:rsid w:val="6E156862"/>
    <w:rsid w:val="6E601FE8"/>
    <w:rsid w:val="6ECD583F"/>
    <w:rsid w:val="6EDB0853"/>
    <w:rsid w:val="6EF81005"/>
    <w:rsid w:val="6EFB64A8"/>
    <w:rsid w:val="6F1A3F15"/>
    <w:rsid w:val="6F4421B9"/>
    <w:rsid w:val="6F5643B6"/>
    <w:rsid w:val="6F963D22"/>
    <w:rsid w:val="6FAF0BB6"/>
    <w:rsid w:val="6FCD72FB"/>
    <w:rsid w:val="6FCE4B9C"/>
    <w:rsid w:val="6FE37860"/>
    <w:rsid w:val="700B6193"/>
    <w:rsid w:val="701719CA"/>
    <w:rsid w:val="708C0740"/>
    <w:rsid w:val="70C7173A"/>
    <w:rsid w:val="712D1653"/>
    <w:rsid w:val="717E1D21"/>
    <w:rsid w:val="719F55F3"/>
    <w:rsid w:val="71A86CD2"/>
    <w:rsid w:val="71DB07FA"/>
    <w:rsid w:val="726B3D77"/>
    <w:rsid w:val="730A6C12"/>
    <w:rsid w:val="733B6226"/>
    <w:rsid w:val="73543E77"/>
    <w:rsid w:val="73684602"/>
    <w:rsid w:val="73E85D99"/>
    <w:rsid w:val="73EC50AA"/>
    <w:rsid w:val="73F433B1"/>
    <w:rsid w:val="73F92713"/>
    <w:rsid w:val="748A1826"/>
    <w:rsid w:val="74D938C8"/>
    <w:rsid w:val="74DD7FBF"/>
    <w:rsid w:val="75543F2D"/>
    <w:rsid w:val="75A70A94"/>
    <w:rsid w:val="75B37577"/>
    <w:rsid w:val="75B62BC5"/>
    <w:rsid w:val="75F1456E"/>
    <w:rsid w:val="764129A5"/>
    <w:rsid w:val="76432CA6"/>
    <w:rsid w:val="767A4081"/>
    <w:rsid w:val="774E5C47"/>
    <w:rsid w:val="775E6AE2"/>
    <w:rsid w:val="777C6BA5"/>
    <w:rsid w:val="779A3B1E"/>
    <w:rsid w:val="7849152A"/>
    <w:rsid w:val="784A63C9"/>
    <w:rsid w:val="788654A2"/>
    <w:rsid w:val="789B07EB"/>
    <w:rsid w:val="78A253B6"/>
    <w:rsid w:val="78DD657B"/>
    <w:rsid w:val="78E738AE"/>
    <w:rsid w:val="79083E06"/>
    <w:rsid w:val="793D44EF"/>
    <w:rsid w:val="79546013"/>
    <w:rsid w:val="79614DED"/>
    <w:rsid w:val="797C0E48"/>
    <w:rsid w:val="798074AE"/>
    <w:rsid w:val="79AF6B4F"/>
    <w:rsid w:val="79DC3271"/>
    <w:rsid w:val="79FC183D"/>
    <w:rsid w:val="7A092900"/>
    <w:rsid w:val="7A0C0D9E"/>
    <w:rsid w:val="7A1A7E98"/>
    <w:rsid w:val="7A3835F9"/>
    <w:rsid w:val="7A420192"/>
    <w:rsid w:val="7A4D39C1"/>
    <w:rsid w:val="7A9D395E"/>
    <w:rsid w:val="7A9D475B"/>
    <w:rsid w:val="7B5354DC"/>
    <w:rsid w:val="7B6D1667"/>
    <w:rsid w:val="7B6F7BF9"/>
    <w:rsid w:val="7B862BDC"/>
    <w:rsid w:val="7B934B32"/>
    <w:rsid w:val="7BA76E6C"/>
    <w:rsid w:val="7BDB0752"/>
    <w:rsid w:val="7BDF66F1"/>
    <w:rsid w:val="7C427184"/>
    <w:rsid w:val="7D080FF3"/>
    <w:rsid w:val="7E4B4839"/>
    <w:rsid w:val="7E5F6C5E"/>
    <w:rsid w:val="7E670351"/>
    <w:rsid w:val="7EC9357E"/>
    <w:rsid w:val="7FF06BDB"/>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semiHidden="0" w:qFormat="1"/>
    <w:lsdException w:name="toa heading"/>
    <w:lsdException w:name="List" w:semiHidden="0" w:qFormat="1"/>
    <w:lsdException w:name="List Bullet" w:semiHidden="0" w:qFormat="1"/>
    <w:lsdException w:name="List Number" w:semiHidden="0" w:qFormat="1"/>
    <w:lsdException w:name="List 2" w:semiHidden="0" w:qFormat="1"/>
    <w:lsdException w:name="List 3" w:semiHidden="0" w:qFormat="1"/>
    <w:lsdException w:name="List 4"/>
    <w:lsdException w:name="List 5"/>
    <w:lsdException w:name="List Bullet 2" w:semiHidden="0" w:qFormat="1"/>
    <w:lsdException w:name="List Bullet 3" w:semiHidden="0" w:qFormat="1"/>
    <w:lsdException w:name="List Bullet 4"/>
    <w:lsdException w:name="List Bullet 5"/>
    <w:lsdException w:name="List Number 2" w:semiHidden="0" w:qFormat="1"/>
    <w:lsdException w:name="List Number 3" w:semiHidden="0" w:qFormat="1"/>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qFormat="1"/>
    <w:lsdException w:name="Body Text Indent"/>
    <w:lsdException w:name="List Continue" w:semiHidden="0" w:qFormat="1"/>
    <w:lsdException w:name="List Continue 2" w:semiHidden="0" w:qFormat="1"/>
    <w:lsdException w:name="List Continue 3" w:semiHidden="0" w:qFormat="1"/>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semiHidden="0" w:qFormat="1"/>
    <w:lsdException w:name="Body Text 3" w:semiHidden="0" w:qFormat="1"/>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qFormat="1"/>
    <w:lsdException w:name="Table Theme"/>
    <w:lsdException w:name="No Spacing" w:semiHidden="0" w:uiPriority="1" w:unhideWhenUsed="0" w:qFormat="1"/>
    <w:lsdException w:name="Light Shading" w:semiHidden="0" w:uiPriority="60" w:unhideWhenUsed="0" w:qFormat="1"/>
    <w:lsdException w:name="Light List" w:semiHidden="0" w:uiPriority="61" w:unhideWhenUsed="0" w:qFormat="1"/>
    <w:lsdException w:name="Light Grid" w:semiHidden="0" w:uiPriority="62" w:unhideWhenUsed="0" w:qFormat="1"/>
    <w:lsdException w:name="Medium Shading 1" w:semiHidden="0" w:uiPriority="63" w:unhideWhenUsed="0" w:qFormat="1"/>
    <w:lsdException w:name="Medium Shading 2" w:semiHidden="0" w:uiPriority="64" w:unhideWhenUsed="0" w:qFormat="1"/>
    <w:lsdException w:name="Medium List 1" w:semiHidden="0" w:uiPriority="65" w:unhideWhenUsed="0" w:qFormat="1"/>
    <w:lsdException w:name="Medium List 2" w:semiHidden="0" w:uiPriority="66" w:unhideWhenUsed="0" w:qFormat="1"/>
    <w:lsdException w:name="Medium Grid 1" w:semiHidden="0" w:uiPriority="67" w:unhideWhenUsed="0" w:qFormat="1"/>
    <w:lsdException w:name="Medium Grid 2" w:semiHidden="0" w:uiPriority="68" w:unhideWhenUsed="0" w:qFormat="1"/>
    <w:lsdException w:name="Medium Grid 3" w:semiHidden="0" w:uiPriority="69" w:unhideWhenUsed="0" w:qFormat="1"/>
    <w:lsdException w:name="Dark List" w:semiHidden="0" w:uiPriority="70" w:unhideWhenUsed="0" w:qFormat="1"/>
    <w:lsdException w:name="Colorful Shading" w:semiHidden="0" w:uiPriority="71" w:unhideWhenUsed="0" w:qFormat="1"/>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qFormat="1"/>
    <w:lsdException w:name="Light Grid Accent 1" w:semiHidden="0" w:uiPriority="62" w:unhideWhenUsed="0" w:qFormat="1"/>
    <w:lsdException w:name="Medium Shading 1 Accent 1" w:semiHidden="0" w:uiPriority="63" w:unhideWhenUsed="0" w:qFormat="1"/>
    <w:lsdException w:name="Medium Shading 2 Accent 1" w:semiHidden="0" w:uiPriority="64" w:unhideWhenUsed="0" w:qFormat="1"/>
    <w:lsdException w:name="Medium List 1 Accent 1" w:semiHidden="0" w:uiPriority="65"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qFormat="1"/>
    <w:lsdException w:name="Medium Grid 1 Accent 1" w:semiHidden="0" w:uiPriority="67" w:unhideWhenUsed="0" w:qFormat="1"/>
    <w:lsdException w:name="Medium Grid 2 Accent 1" w:semiHidden="0" w:uiPriority="68" w:unhideWhenUsed="0" w:qFormat="1"/>
    <w:lsdException w:name="Medium Grid 3 Accent 1" w:semiHidden="0" w:uiPriority="69" w:unhideWhenUsed="0" w:qFormat="1"/>
    <w:lsdException w:name="Dark List Accent 1" w:semiHidden="0" w:uiPriority="70" w:unhideWhenUsed="0" w:qFormat="1"/>
    <w:lsdException w:name="Colorful Shading Accent 1" w:semiHidden="0" w:uiPriority="71" w:unhideWhenUsed="0" w:qFormat="1"/>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qFormat="1"/>
    <w:lsdException w:name="Light Grid Accent 2" w:semiHidden="0" w:uiPriority="62" w:unhideWhenUsed="0" w:qFormat="1"/>
    <w:lsdException w:name="Medium Shading 1 Accent 2" w:semiHidden="0" w:uiPriority="63" w:unhideWhenUsed="0" w:qFormat="1"/>
    <w:lsdException w:name="Medium Shading 2 Accent 2" w:semiHidden="0" w:uiPriority="64" w:unhideWhenUsed="0" w:qFormat="1"/>
    <w:lsdException w:name="Medium List 1 Accent 2" w:semiHidden="0" w:uiPriority="65" w:unhideWhenUsed="0" w:qFormat="1"/>
    <w:lsdException w:name="Medium List 2 Accent 2" w:semiHidden="0" w:uiPriority="66" w:unhideWhenUsed="0" w:qFormat="1"/>
    <w:lsdException w:name="Medium Grid 1 Accent 2" w:semiHidden="0" w:uiPriority="67" w:unhideWhenUsed="0" w:qFormat="1"/>
    <w:lsdException w:name="Medium Grid 2 Accent 2" w:semiHidden="0" w:uiPriority="68" w:unhideWhenUsed="0" w:qFormat="1"/>
    <w:lsdException w:name="Medium Grid 3 Accent 2" w:semiHidden="0" w:uiPriority="69" w:unhideWhenUsed="0" w:qFormat="1"/>
    <w:lsdException w:name="Dark List Accent 2" w:semiHidden="0" w:uiPriority="70" w:unhideWhenUsed="0" w:qFormat="1"/>
    <w:lsdException w:name="Colorful Shading Accent 2" w:semiHidden="0" w:uiPriority="71" w:unhideWhenUsed="0" w:qFormat="1"/>
    <w:lsdException w:name="Colorful List Accent 2" w:semiHidden="0" w:uiPriority="72" w:unhideWhenUsed="0" w:qFormat="1"/>
    <w:lsdException w:name="Colorful Grid Accent 2" w:semiHidden="0" w:uiPriority="73" w:unhideWhenUsed="0" w:qFormat="1"/>
    <w:lsdException w:name="Light Shading Accent 3" w:semiHidden="0" w:uiPriority="60" w:unhideWhenUsed="0" w:qFormat="1"/>
    <w:lsdException w:name="Light List Accent 3" w:semiHidden="0" w:uiPriority="61" w:unhideWhenUsed="0" w:qFormat="1"/>
    <w:lsdException w:name="Light Grid Accent 3" w:semiHidden="0" w:uiPriority="62" w:unhideWhenUsed="0" w:qFormat="1"/>
    <w:lsdException w:name="Medium Shading 1 Accent 3" w:semiHidden="0" w:uiPriority="63" w:unhideWhenUsed="0" w:qFormat="1"/>
    <w:lsdException w:name="Medium Shading 2 Accent 3" w:semiHidden="0" w:uiPriority="64" w:unhideWhenUsed="0" w:qFormat="1"/>
    <w:lsdException w:name="Medium List 1 Accent 3" w:semiHidden="0" w:uiPriority="65" w:unhideWhenUsed="0" w:qFormat="1"/>
    <w:lsdException w:name="Medium List 2 Accent 3" w:semiHidden="0" w:uiPriority="66" w:unhideWhenUsed="0" w:qFormat="1"/>
    <w:lsdException w:name="Medium Grid 1 Accent 3" w:semiHidden="0" w:uiPriority="67" w:unhideWhenUsed="0" w:qFormat="1"/>
    <w:lsdException w:name="Medium Grid 2 Accent 3" w:semiHidden="0" w:uiPriority="68" w:unhideWhenUsed="0" w:qFormat="1"/>
    <w:lsdException w:name="Medium Grid 3 Accent 3" w:semiHidden="0" w:uiPriority="69" w:unhideWhenUsed="0" w:qFormat="1"/>
    <w:lsdException w:name="Dark List Accent 3" w:semiHidden="0" w:uiPriority="70" w:unhideWhenUsed="0" w:qFormat="1"/>
    <w:lsdException w:name="Colorful Shading Accent 3" w:semiHidden="0" w:uiPriority="71" w:unhideWhenUsed="0" w:qFormat="1"/>
    <w:lsdException w:name="Colorful List Accent 3" w:semiHidden="0" w:uiPriority="72" w:unhideWhenUsed="0" w:qFormat="1"/>
    <w:lsdException w:name="Colorful Grid Accent 3" w:semiHidden="0" w:uiPriority="73" w:unhideWhenUsed="0" w:qFormat="1"/>
    <w:lsdException w:name="Light Shading Accent 4" w:semiHidden="0" w:uiPriority="60" w:unhideWhenUsed="0" w:qFormat="1"/>
    <w:lsdException w:name="Light List Accent 4" w:semiHidden="0" w:uiPriority="61" w:unhideWhenUsed="0" w:qFormat="1"/>
    <w:lsdException w:name="Light Grid Accent 4" w:semiHidden="0" w:uiPriority="62" w:unhideWhenUsed="0" w:qFormat="1"/>
    <w:lsdException w:name="Medium Shading 1 Accent 4" w:semiHidden="0" w:uiPriority="63" w:unhideWhenUsed="0" w:qFormat="1"/>
    <w:lsdException w:name="Medium Shading 2 Accent 4" w:semiHidden="0" w:uiPriority="64" w:unhideWhenUsed="0" w:qFormat="1"/>
    <w:lsdException w:name="Medium List 1 Accent 4" w:semiHidden="0" w:uiPriority="65" w:unhideWhenUsed="0" w:qFormat="1"/>
    <w:lsdException w:name="Medium List 2 Accent 4" w:semiHidden="0" w:uiPriority="66" w:unhideWhenUsed="0" w:qFormat="1"/>
    <w:lsdException w:name="Medium Grid 1 Accent 4" w:semiHidden="0" w:uiPriority="67" w:unhideWhenUsed="0" w:qFormat="1"/>
    <w:lsdException w:name="Medium Grid 2 Accent 4" w:semiHidden="0" w:uiPriority="68" w:unhideWhenUsed="0" w:qFormat="1"/>
    <w:lsdException w:name="Medium Grid 3 Accent 4" w:semiHidden="0" w:uiPriority="69" w:unhideWhenUsed="0" w:qFormat="1"/>
    <w:lsdException w:name="Dark List Accent 4" w:semiHidden="0" w:uiPriority="70" w:unhideWhenUsed="0" w:qFormat="1"/>
    <w:lsdException w:name="Colorful Shading Accent 4" w:semiHidden="0" w:uiPriority="71" w:unhideWhenUsed="0" w:qFormat="1"/>
    <w:lsdException w:name="Colorful List Accent 4" w:semiHidden="0" w:uiPriority="72" w:unhideWhenUsed="0" w:qFormat="1"/>
    <w:lsdException w:name="Colorful Grid Accent 4" w:semiHidden="0" w:uiPriority="73" w:unhideWhenUsed="0" w:qFormat="1"/>
    <w:lsdException w:name="Light Shading Accent 5" w:semiHidden="0" w:uiPriority="60" w:unhideWhenUsed="0" w:qFormat="1"/>
    <w:lsdException w:name="Light List Accent 5" w:semiHidden="0" w:uiPriority="61" w:unhideWhenUsed="0" w:qFormat="1"/>
    <w:lsdException w:name="Light Grid Accent 5" w:semiHidden="0" w:uiPriority="62" w:unhideWhenUsed="0" w:qFormat="1"/>
    <w:lsdException w:name="Medium Shading 1 Accent 5" w:semiHidden="0" w:uiPriority="63" w:unhideWhenUsed="0" w:qFormat="1"/>
    <w:lsdException w:name="Medium Shading 2 Accent 5" w:semiHidden="0" w:uiPriority="64" w:unhideWhenUsed="0" w:qFormat="1"/>
    <w:lsdException w:name="Medium List 1 Accent 5" w:semiHidden="0" w:uiPriority="65" w:unhideWhenUsed="0" w:qFormat="1"/>
    <w:lsdException w:name="Medium List 2 Accent 5" w:semiHidden="0" w:uiPriority="66" w:unhideWhenUsed="0" w:qFormat="1"/>
    <w:lsdException w:name="Medium Grid 1 Accent 5" w:semiHidden="0" w:uiPriority="67" w:unhideWhenUsed="0" w:qFormat="1"/>
    <w:lsdException w:name="Medium Grid 2 Accent 5" w:semiHidden="0" w:uiPriority="68" w:unhideWhenUsed="0" w:qFormat="1"/>
    <w:lsdException w:name="Medium Grid 3 Accent 5" w:semiHidden="0" w:uiPriority="69" w:unhideWhenUsed="0" w:qFormat="1"/>
    <w:lsdException w:name="Dark List Accent 5" w:semiHidden="0" w:uiPriority="70" w:unhideWhenUsed="0" w:qFormat="1"/>
    <w:lsdException w:name="Colorful Shading Accent 5" w:semiHidden="0" w:uiPriority="71" w:unhideWhenUsed="0" w:qFormat="1"/>
    <w:lsdException w:name="Colorful List Accent 5" w:semiHidden="0" w:uiPriority="72" w:unhideWhenUsed="0" w:qFormat="1"/>
    <w:lsdException w:name="Colorful Grid Accent 5" w:semiHidden="0" w:uiPriority="73" w:unhideWhenUsed="0" w:qFormat="1"/>
    <w:lsdException w:name="Light Shading Accent 6" w:semiHidden="0" w:uiPriority="60" w:unhideWhenUsed="0" w:qFormat="1"/>
    <w:lsdException w:name="Light List Accent 6" w:semiHidden="0" w:uiPriority="61" w:unhideWhenUsed="0" w:qFormat="1"/>
    <w:lsdException w:name="Light Grid Accent 6" w:semiHidden="0" w:uiPriority="62" w:unhideWhenUsed="0" w:qFormat="1"/>
    <w:lsdException w:name="Medium Shading 1 Accent 6" w:semiHidden="0" w:uiPriority="63" w:unhideWhenUsed="0" w:qFormat="1"/>
    <w:lsdException w:name="Medium Shading 2 Accent 6" w:semiHidden="0" w:uiPriority="64" w:unhideWhenUsed="0" w:qFormat="1"/>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qFormat="1"/>
    <w:lsdException w:name="Colorful Shading Accent 6" w:semiHidden="0" w:uiPriority="71" w:unhideWhenUsed="0" w:qFormat="1"/>
    <w:lsdException w:name="Colorful List Accent 6" w:semiHidden="0" w:uiPriority="72" w:unhideWhenUsed="0" w:qFormat="1"/>
    <w:lsdException w:name="Colorful Grid Accent 6" w:semiHidden="0" w:uiPriority="73" w:unhideWhenUsed="0" w:qFormat="1"/>
  </w:latentStyles>
  <w:style w:type="paragraph" w:default="1" w:styleId="Normal">
    <w:name w:val="Normal"/>
    <w:qFormat/>
    <w:pPr>
      <w:spacing w:after="200" w:line="276" w:lineRule="auto"/>
    </w:pPr>
    <w:rPr>
      <w:rFonts w:asciiTheme="minorHAnsi" w:eastAsiaTheme="minorEastAsia" w:hAnsiTheme="minorHAnsi" w:cstheme="minorBidi"/>
      <w:sz w:val="22"/>
      <w:szCs w:val="22"/>
      <w:lang w:val="en-US" w:eastAsia="en-US" w:bidi="ar-SA"/>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76092"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14:textFill>
        <w14:solidFill>
          <w14:schemeClr w14:val="accent1"/>
        </w14:solidFill>
      </w14:textFill>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14:textFill>
        <w14:solidFill>
          <w14:schemeClr w14:val="accent1"/>
        </w14:solidFill>
      </w14:textFill>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14:textFill>
        <w14:solidFill>
          <w14:schemeClr w14:val="accent1"/>
        </w14:solidFill>
      </w14:textFill>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5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5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14:textFill>
        <w14:solidFill>
          <w14:schemeClr w14:val="tx1">
            <w14:lumMod w14:val="75000"/>
            <w14:lumOff w14:val="25000"/>
          </w14:schemeClr>
        </w14:solidFill>
      </w14:textFill>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14:textFill>
        <w14:solidFill>
          <w14:schemeClr w14:val="accent1"/>
        </w14:solidFill>
      </w14:textFill>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Macro">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ilvl w:val="0"/>
        <w:numId w:val="1"/>
      </w:numPr>
      <w:contextualSpacing/>
    </w:pPr>
  </w:style>
  <w:style w:type="paragraph" w:styleId="ListNumber">
    <w:name w:val="List Number"/>
    <w:basedOn w:val="Normal"/>
    <w:uiPriority w:val="99"/>
    <w:unhideWhenUsed/>
    <w:qFormat/>
    <w:pPr>
      <w:numPr>
        <w:ilvl w:val="0"/>
        <w:numId w:val="2"/>
      </w:numPr>
      <w:contextualSpacing/>
    </w:pPr>
  </w:style>
  <w:style w:type="paragraph" w:styleId="Caption">
    <w:name w:val="caption"/>
    <w:basedOn w:val="Normal"/>
    <w:next w:val="Normal"/>
    <w:link w:val="Char"/>
    <w:uiPriority w:val="35"/>
    <w:semiHidden/>
    <w:unhideWhenUsed/>
    <w:qFormat/>
    <w:pPr>
      <w:spacing w:line="240" w:lineRule="auto"/>
    </w:pPr>
    <w:rPr>
      <w:b/>
      <w:bCs/>
      <w:color w:val="4F81BD" w:themeColor="accent1"/>
      <w:sz w:val="18"/>
      <w:szCs w:val="18"/>
      <w14:textFill>
        <w14:solidFill>
          <w14:schemeClr w14:val="accent1"/>
        </w14:solidFill>
      </w14:textFill>
    </w:rPr>
  </w:style>
  <w:style w:type="paragraph" w:styleId="ListBullet">
    <w:name w:val="List Bullet"/>
    <w:basedOn w:val="Normal"/>
    <w:uiPriority w:val="99"/>
    <w:unhideWhenUsed/>
    <w:qFormat/>
    <w:pPr>
      <w:numPr>
        <w:ilvl w:val="0"/>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ilvl w:val="0"/>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qFormat/>
    <w:pPr>
      <w:numPr>
        <w:ilvl w:val="0"/>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ilvl w:val="0"/>
        <w:numId w:val="6"/>
      </w:numPr>
      <w:contextualSpacing/>
    </w:p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14:textFill>
        <w14:solidFill>
          <w14:schemeClr w14:val="accent1"/>
        </w14:solidFill>
      </w14:textFill>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75E" w:themeColor="text2" w:themeShade="BF"/>
      <w:spacing w:val="5"/>
      <w:kern w:val="28"/>
      <w:sz w:val="52"/>
      <w:szCs w:val="52"/>
    </w:r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qFormat/>
    <w:pPr>
      <w:spacing w:after="0" w:line="240" w:lineRule="auto"/>
    </w:pPr>
    <w:rPr>
      <w:color w:val="000000" w:themeColor="text1" w:themeShade="BF"/>
    </w:rPr>
    <w:tblPr>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LightShadingAccent1">
    <w:name w:val="Light Shading Accent 1"/>
    <w:basedOn w:val="TableNormal"/>
    <w:uiPriority w:val="60"/>
    <w:qFormat/>
    <w:pPr>
      <w:spacing w:after="0" w:line="240" w:lineRule="auto"/>
    </w:pPr>
    <w:rPr>
      <w:color w:val="376092" w:themeColor="accent1" w:themeShade="BF"/>
    </w:rPr>
    <w:tblPr>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pPr>
      <w:spacing w:after="0" w:line="240" w:lineRule="auto"/>
    </w:pPr>
    <w:rPr>
      <w:color w:val="953735" w:themeColor="accent2" w:themeShade="BF"/>
    </w:rPr>
    <w:tblPr>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LightShadingAccent3">
    <w:name w:val="Light Shading Accent 3"/>
    <w:basedOn w:val="TableNormal"/>
    <w:uiPriority w:val="60"/>
    <w:qFormat/>
    <w:pPr>
      <w:spacing w:after="0" w:line="240" w:lineRule="auto"/>
    </w:pPr>
    <w:rPr>
      <w:color w:val="77933C" w:themeColor="accent3" w:themeShade="BF"/>
    </w:rPr>
    <w:tblPr>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pPr>
      <w:spacing w:after="0" w:line="240" w:lineRule="auto"/>
    </w:pPr>
    <w:rPr>
      <w:color w:val="604A7B" w:themeColor="accent4" w:themeShade="BF"/>
    </w:rPr>
    <w:tblPr>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pPr>
      <w:spacing w:after="0" w:line="240" w:lineRule="auto"/>
    </w:pPr>
    <w:rPr>
      <w:color w:val="31859C" w:themeColor="accent5" w:themeShade="BF"/>
    </w:rPr>
    <w:tblPr>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LightShadingAccent6">
    <w:name w:val="Light Shading Accent 6"/>
    <w:basedOn w:val="TableNormal"/>
    <w:uiPriority w:val="60"/>
    <w:qFormat/>
    <w:pPr>
      <w:spacing w:after="0" w:line="240" w:lineRule="auto"/>
    </w:pPr>
    <w:rPr>
      <w:color w:val="E46C0A" w:themeColor="accent6" w:themeShade="BF"/>
    </w:rPr>
    <w:tblPr>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LightList">
    <w:name w:val="Light List"/>
    <w:basedOn w:val="TableNormal"/>
    <w:uiPriority w:val="61"/>
    <w:qFormat/>
    <w:pPr>
      <w:spacing w:after="0" w:line="240" w:lineRule="auto"/>
    </w:p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pPr>
      <w:spacing w:after="0" w:line="240" w:lineRule="auto"/>
    </w:p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pPr>
      <w:spacing w:after="0" w:line="240" w:lineRule="auto"/>
    </w:p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pPr>
      <w:spacing w:after="0" w:line="240" w:lineRule="auto"/>
    </w:p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pPr>
      <w:spacing w:after="0" w:line="240" w:lineRule="auto"/>
    </w:p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pPr>
      <w:spacing w:after="0" w:line="240" w:lineRule="auto"/>
    </w:p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pPr>
      <w:spacing w:after="0" w:line="240" w:lineRule="auto"/>
    </w:p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pPr>
      <w:spacing w:after="0" w:line="240" w:lineRule="auto"/>
    </w:p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BFBFBF"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pPr>
      <w:spacing w:after="0" w:line="240" w:lineRule="auto"/>
    </w:p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pPr>
      <w:spacing w:after="0" w:line="240" w:lineRule="auto"/>
    </w:p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3"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3"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pPr>
      <w:spacing w:after="0" w:line="240" w:lineRule="auto"/>
    </w:p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pPr>
      <w:spacing w:after="0" w:line="240" w:lineRule="auto"/>
    </w:p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pPr>
      <w:spacing w:after="0" w:line="240" w:lineRule="auto"/>
    </w:p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0"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0"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pPr>
      <w:spacing w:after="0" w:line="240" w:lineRule="auto"/>
    </w:p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5D1"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5D1"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pPr>
      <w:spacing w:after="0" w:line="240" w:lineRule="auto"/>
    </w:pPr>
    <w:tblPr>
      <w:tbl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single" w:sz="8" w:space="0" w:color="3F3F3F"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pPr>
      <w:spacing w:after="0" w:line="240" w:lineRule="auto"/>
    </w:p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pPr>
      <w:spacing w:after="0" w:line="240" w:lineRule="auto"/>
    </w:pPr>
    <w:tblPr>
      <w:tbl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single" w:sz="8" w:space="0" w:color="B4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pPr>
      <w:spacing w:after="0" w:line="240" w:lineRule="auto"/>
    </w:p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pPr>
      <w:spacing w:after="0" w:line="240" w:lineRule="auto"/>
    </w:p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pPr>
      <w:spacing w:after="0" w:line="240" w:lineRule="auto"/>
    </w:p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pPr>
      <w:spacing w:after="0" w:line="240" w:lineRule="auto"/>
    </w:pPr>
    <w:rPr>
      <w:color w:val="000000" w:themeColor="text1"/>
      <w14:textFill>
        <w14:solidFill>
          <w14:schemeClr w14:val="tx1"/>
        </w14:solidFill>
      </w14:textFill>
    </w:rPr>
    <w:tblPr>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14:textFill>
          <w14:solidFill>
            <w14:schemeClr w14:val="tx2"/>
          </w14:solidFill>
        </w14:textFill>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MediumList1Accent1">
    <w:name w:val="Medium List 1 Accent 1"/>
    <w:basedOn w:val="TableNormal"/>
    <w:uiPriority w:val="65"/>
    <w:qFormat/>
    <w:pPr>
      <w:spacing w:after="0" w:line="240" w:lineRule="auto"/>
    </w:pPr>
    <w:rPr>
      <w:color w:val="000000" w:themeColor="text1"/>
      <w14:textFill>
        <w14:solidFill>
          <w14:schemeClr w14:val="tx1"/>
        </w14:solidFill>
      </w14:textFill>
    </w:rPr>
    <w:tblPr>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14:textFill>
          <w14:solidFill>
            <w14:schemeClr w14:val="tx2"/>
          </w14:solidFill>
        </w14:textFill>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pPr>
      <w:spacing w:after="0" w:line="240" w:lineRule="auto"/>
    </w:pPr>
    <w:rPr>
      <w:color w:val="000000" w:themeColor="text1"/>
      <w14:textFill>
        <w14:solidFill>
          <w14:schemeClr w14:val="tx1"/>
        </w14:solidFill>
      </w14:textFill>
    </w:rPr>
    <w:tblPr>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14:textFill>
          <w14:solidFill>
            <w14:schemeClr w14:val="tx2"/>
          </w14:solidFill>
        </w14:textFill>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MediumList1Accent3">
    <w:name w:val="Medium List 1 Accent 3"/>
    <w:basedOn w:val="TableNormal"/>
    <w:uiPriority w:val="65"/>
    <w:qFormat/>
    <w:pPr>
      <w:spacing w:after="0" w:line="240" w:lineRule="auto"/>
    </w:pPr>
    <w:rPr>
      <w:color w:val="000000" w:themeColor="text1"/>
      <w14:textFill>
        <w14:solidFill>
          <w14:schemeClr w14:val="tx1"/>
        </w14:solidFill>
      </w14:textFill>
    </w:rPr>
    <w:tblPr>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14:textFill>
          <w14:solidFill>
            <w14:schemeClr w14:val="tx2"/>
          </w14:solidFill>
        </w14:textFill>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pPr>
      <w:spacing w:after="0" w:line="240" w:lineRule="auto"/>
    </w:pPr>
    <w:rPr>
      <w:color w:val="000000" w:themeColor="text1"/>
      <w14:textFill>
        <w14:solidFill>
          <w14:schemeClr w14:val="tx1"/>
        </w14:solidFill>
      </w14:textFill>
    </w:rPr>
    <w:tblPr>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14:textFill>
          <w14:solidFill>
            <w14:schemeClr w14:val="tx2"/>
          </w14:solidFill>
        </w14:textFill>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pPr>
      <w:spacing w:after="0" w:line="240" w:lineRule="auto"/>
    </w:pPr>
    <w:rPr>
      <w:color w:val="000000" w:themeColor="text1"/>
      <w14:textFill>
        <w14:solidFill>
          <w14:schemeClr w14:val="tx1"/>
        </w14:solidFill>
      </w14:textFill>
    </w:rPr>
    <w:tblPr>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14:textFill>
          <w14:solidFill>
            <w14:schemeClr w14:val="tx2"/>
          </w14:solidFill>
        </w14:textFill>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MediumList1Accent6">
    <w:name w:val="Medium List 1 Accent 6"/>
    <w:basedOn w:val="TableNormal"/>
    <w:uiPriority w:val="65"/>
    <w:qFormat/>
    <w:pPr>
      <w:spacing w:after="0" w:line="240" w:lineRule="auto"/>
    </w:pPr>
    <w:rPr>
      <w:color w:val="000000" w:themeColor="text1"/>
      <w14:textFill>
        <w14:solidFill>
          <w14:schemeClr w14:val="tx1"/>
        </w14:solidFill>
      </w14:textFill>
    </w:rPr>
    <w:tblPr>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14:textFill>
          <w14:solidFill>
            <w14:schemeClr w14:val="tx2"/>
          </w14:solidFill>
        </w14:textFill>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MediumList2">
    <w:name w:val="Medium List 2"/>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pPr>
      <w:spacing w:after="0" w:line="240" w:lineRule="auto"/>
    </w:pPr>
    <w:tblPr>
      <w:tbl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single" w:sz="8" w:space="0" w:color="3F3F3F" w:themeColor="text1" w:themeTint="BF"/>
        <w:insideV w:val="single" w:sz="8" w:space="0" w:color="3F3F3F" w:themeColor="text1" w:themeTint="BF"/>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sz="18" w:space="0" w:color="3F3F3F" w:themeColor="text1" w:themeTint="BF"/>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MediumGrid1Accent1">
    <w:name w:val="Medium Grid 1 Accent 1"/>
    <w:basedOn w:val="TableNormal"/>
    <w:uiPriority w:val="67"/>
    <w:qFormat/>
    <w:pPr>
      <w:spacing w:after="0" w:line="240" w:lineRule="auto"/>
    </w:p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MediumGrid1Accent2">
    <w:name w:val="Medium Grid 1 Accent 2"/>
    <w:basedOn w:val="TableNormal"/>
    <w:uiPriority w:val="67"/>
    <w:qFormat/>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pPr>
      <w:spacing w:after="0" w:line="240" w:lineRule="auto"/>
    </w:pPr>
    <w:tblPr>
      <w:tbl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single" w:sz="8" w:space="0" w:color="B4CC82" w:themeColor="accent3" w:themeTint="BF"/>
        <w:insideV w:val="single" w:sz="8" w:space="0" w:color="B4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4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pPr>
      <w:spacing w:after="0" w:line="240" w:lineRule="auto"/>
    </w:p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pPr>
      <w:spacing w:after="0" w:line="240" w:lineRule="auto"/>
    </w:p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pPr>
      <w:spacing w:after="0" w:line="240" w:lineRule="auto"/>
    </w:p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color="auto"/>
          <w:insideV w:val="single" w:sz="6" w:space="0" w:color="auto"/>
        </w:tcBorders>
        <w:shd w:val="clear" w:color="auto" w:fill="7F7F7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color="auto"/>
          <w:insideV w:val="single" w:sz="6" w:space="0" w:color="auto"/>
        </w:tcBorders>
        <w:shd w:val="clear" w:color="auto" w:fill="A7C0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F7F7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7F7F7F" w:themeFill="text1" w:themeFillTint="7F"/>
      </w:tcPr>
    </w:tblStylePr>
  </w:style>
  <w:style w:type="table" w:styleId="MediumGrid3Accent1">
    <w:name w:val="Medium Grid 3 Accent 1"/>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C0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C0DE" w:themeFill="accent1" w:themeFillTint="7F"/>
      </w:tcPr>
    </w:tblStylePr>
  </w:style>
  <w:style w:type="table" w:styleId="MediumGrid3Accent2">
    <w:name w:val="Medium Grid 3 Accent 2"/>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60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DarkListAccent2">
    <w:name w:val="Dark List Accent 2"/>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7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DarkListAccent3">
    <w:name w:val="Dark List Accent 3"/>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ColorfulShading">
    <w:name w:val="Colorful Shading"/>
    <w:basedOn w:val="TableNormal"/>
    <w:uiPriority w:val="71"/>
    <w:qFormat/>
    <w:pPr>
      <w:spacing w:after="0" w:line="240" w:lineRule="auto"/>
    </w:pPr>
    <w:rPr>
      <w:color w:val="000000" w:themeColor="text1"/>
      <w14:textFill>
        <w14:solidFill>
          <w14:schemeClr w14:val="tx1"/>
        </w14:solidFill>
      </w14:textFill>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1">
    <w:name w:val="Colorful Shading Accent 1"/>
    <w:basedOn w:val="TableNormal"/>
    <w:uiPriority w:val="71"/>
    <w:qFormat/>
    <w:pPr>
      <w:spacing w:after="0" w:line="240" w:lineRule="auto"/>
    </w:pPr>
    <w:rPr>
      <w:color w:val="000000" w:themeColor="text1"/>
      <w14:textFill>
        <w14:solidFill>
          <w14:schemeClr w14:val="tx1"/>
        </w14:solidFill>
      </w14:textFill>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2">
    <w:name w:val="Colorful Shading Accent 2"/>
    <w:basedOn w:val="TableNormal"/>
    <w:uiPriority w:val="71"/>
    <w:qFormat/>
    <w:pPr>
      <w:spacing w:after="0" w:line="240" w:lineRule="auto"/>
    </w:pPr>
    <w:rPr>
      <w:color w:val="000000" w:themeColor="text1"/>
      <w14:textFill>
        <w14:solidFill>
          <w14:schemeClr w14:val="tx1"/>
        </w14:solidFill>
      </w14:textFill>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3">
    <w:name w:val="Colorful Shading Accent 3"/>
    <w:basedOn w:val="TableNormal"/>
    <w:uiPriority w:val="71"/>
    <w:qFormat/>
    <w:pPr>
      <w:spacing w:after="0" w:line="240" w:lineRule="auto"/>
    </w:pPr>
    <w:rPr>
      <w:color w:val="000000" w:themeColor="text1"/>
      <w14:textFill>
        <w14:solidFill>
          <w14:schemeClr w14:val="tx1"/>
        </w14:solidFill>
      </w14:textFill>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pPr>
      <w:spacing w:after="0" w:line="240" w:lineRule="auto"/>
    </w:pPr>
    <w:rPr>
      <w:color w:val="000000" w:themeColor="text1"/>
      <w14:textFill>
        <w14:solidFill>
          <w14:schemeClr w14:val="tx1"/>
        </w14:solidFill>
      </w14:textFill>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5">
    <w:name w:val="Colorful Shading Accent 5"/>
    <w:basedOn w:val="TableNormal"/>
    <w:uiPriority w:val="71"/>
    <w:qFormat/>
    <w:pPr>
      <w:spacing w:after="0" w:line="240" w:lineRule="auto"/>
    </w:pPr>
    <w:rPr>
      <w:color w:val="000000" w:themeColor="text1"/>
      <w14:textFill>
        <w14:solidFill>
          <w14:schemeClr w14:val="tx1"/>
        </w14:solidFill>
      </w14:textFill>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6">
    <w:name w:val="Colorful Shading Accent 6"/>
    <w:basedOn w:val="TableNormal"/>
    <w:uiPriority w:val="71"/>
    <w:qFormat/>
    <w:pPr>
      <w:spacing w:after="0" w:line="240" w:lineRule="auto"/>
    </w:pPr>
    <w:rPr>
      <w:color w:val="000000" w:themeColor="text1"/>
      <w14:textFill>
        <w14:solidFill>
          <w14:schemeClr w14:val="tx1"/>
        </w14:solidFill>
      </w14:textFill>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List">
    <w:name w:val="Colorful List"/>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9E3A38" w:themeFill="accent2" w:themeFillShade="CC"/>
      </w:tcPr>
    </w:tblStylePr>
    <w:tblStylePr w:type="lastRow">
      <w:rPr>
        <w:b/>
        <w:bCs/>
        <w:color w:val="9F3B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9E3A38" w:themeFill="accent2" w:themeFillShade="CC"/>
      </w:tcPr>
    </w:tblStylePr>
    <w:tblStylePr w:type="lastRow">
      <w:rPr>
        <w:b/>
        <w:bCs/>
        <w:color w:val="9F3B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9E3A38" w:themeFill="accent2" w:themeFillShade="CC"/>
      </w:tcPr>
    </w:tblStylePr>
    <w:tblStylePr w:type="lastRow">
      <w:rPr>
        <w:b/>
        <w:bCs/>
        <w:color w:val="9F3B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664E82" w:themeFill="accent4" w:themeFillShade="CC"/>
      </w:tcPr>
    </w:tblStylePr>
    <w:tblStylePr w:type="lastRow">
      <w:rPr>
        <w:b/>
        <w:bCs/>
        <w:color w:val="664F8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7E9C40" w:themeFill="accent3" w:themeFillShade="CC"/>
      </w:tcPr>
    </w:tblStylePr>
    <w:tblStylePr w:type="lastRow">
      <w:rPr>
        <w:b/>
        <w:bCs/>
        <w:color w:val="7E9D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F3730A" w:themeFill="accent6" w:themeFillShade="CC"/>
      </w:tcPr>
    </w:tblStylePr>
    <w:tblStylePr w:type="lastRow">
      <w:rPr>
        <w:b/>
        <w:bCs/>
        <w:color w:val="F3740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348DA5" w:themeFill="accent5" w:themeFillShade="CC"/>
      </w:tcPr>
    </w:tblStylePr>
    <w:tblStylePr w:type="lastRow">
      <w:rPr>
        <w:b/>
        <w:bCs/>
        <w:color w:val="358EA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ColorfulGridAccent1">
    <w:name w:val="Colorful Grid Accent 1"/>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ColorfulGridAccent2">
    <w:name w:val="Colorful Grid Accent 2"/>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pPr>
      <w:spacing w:after="0" w:line="240" w:lineRule="auto"/>
    </w:pPr>
    <w:rPr>
      <w:rFonts w:asciiTheme="minorHAnsi" w:eastAsiaTheme="minorEastAsia" w:hAnsiTheme="minorHAnsi" w:cstheme="minorBidi"/>
      <w:sz w:val="22"/>
      <w:szCs w:val="22"/>
      <w:lang w:val="en-US" w:eastAsia="en-US" w:bidi="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76092"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14:textFill>
        <w14:solidFill>
          <w14:schemeClr w14:val="accent1"/>
        </w14:solidFill>
      </w14:textFill>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14:textFill>
        <w14:solidFill>
          <w14:schemeClr w14:val="accent1"/>
        </w14:solidFill>
      </w14:textFill>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75E"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14:textFill>
        <w14:solidFill>
          <w14:schemeClr w14:val="accent1"/>
        </w14:solidFill>
      </w14:textFill>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14:textFill>
        <w14:solidFill>
          <w14:schemeClr w14:val="tx1"/>
        </w14:solidFill>
      </w14:textFill>
    </w:rPr>
  </w:style>
  <w:style w:type="character" w:customStyle="1" w:styleId="QuoteChar">
    <w:name w:val="Quote Char"/>
    <w:basedOn w:val="DefaultParagraphFont"/>
    <w:link w:val="Quote"/>
    <w:uiPriority w:val="29"/>
    <w:qFormat/>
    <w:rPr>
      <w:i/>
      <w:iCs/>
      <w:color w:val="000000" w:themeColor="text1"/>
      <w14:textFill>
        <w14:solidFill>
          <w14:schemeClr w14:val="tx1"/>
        </w14:solidFill>
      </w14:textFill>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14:textFill>
        <w14:solidFill>
          <w14:schemeClr w14:val="accent1"/>
        </w14:solidFill>
      </w14:textFill>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5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5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14:textFill>
        <w14:solidFill>
          <w14:schemeClr w14:val="tx1">
            <w14:lumMod w14:val="75000"/>
            <w14:lumOff w14:val="25000"/>
          </w14:schemeClr>
        </w14:solidFill>
      </w14:textFill>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14:textFill>
        <w14:solidFill>
          <w14:schemeClr w14:val="accent1"/>
        </w14:solidFill>
      </w14:textFill>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14:textFill>
        <w14:solidFill>
          <w14:schemeClr w14:val="tx1">
            <w14:lumMod w14:val="75000"/>
            <w14:lumOff w14:val="25000"/>
          </w14:schemeClr>
        </w14:solidFill>
      </w14:textFill>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14:textFill>
        <w14:solidFill>
          <w14:schemeClr w14:val="accent1"/>
        </w14:solidFill>
      </w14:textFill>
    </w:rPr>
  </w:style>
  <w:style w:type="character" w:customStyle="1" w:styleId="IntenseQuoteChar">
    <w:name w:val="Intense Quote Char"/>
    <w:basedOn w:val="DefaultParagraphFont"/>
    <w:link w:val="IntenseQuote"/>
    <w:uiPriority w:val="30"/>
    <w:qFormat/>
    <w:rPr>
      <w:b/>
      <w:bCs/>
      <w:i/>
      <w:iCs/>
      <w:color w:val="4F81BD" w:themeColor="accent1"/>
      <w14:textFill>
        <w14:solidFill>
          <w14:schemeClr w14:val="accent1"/>
        </w14:solidFill>
      </w14:textFill>
    </w:rPr>
  </w:style>
  <w:style w:type="character" w:customStyle="1" w:styleId="SubtleEmphasis">
    <w:name w:val="Subtle Emphasis"/>
    <w:basedOn w:val="DefaultParagraphFont"/>
    <w:uiPriority w:val="19"/>
    <w:qFormat/>
    <w:rPr>
      <w:i/>
      <w:iCs/>
      <w:color w:val="808080" w:themeColor="text1" w:themeTint="80"/>
      <w14:textFill>
        <w14:solidFill>
          <w14:schemeClr w14:val="tx1">
            <w14:lumMod w14:val="50000"/>
            <w14:lumOff w14:val="50000"/>
          </w14:schemeClr>
        </w14:solidFill>
      </w14:textFill>
    </w:rPr>
  </w:style>
  <w:style w:type="character" w:customStyle="1" w:styleId="IntenseEmphasis">
    <w:name w:val="Intense Emphasis"/>
    <w:basedOn w:val="DefaultParagraphFont"/>
    <w:uiPriority w:val="21"/>
    <w:qFormat/>
    <w:rPr>
      <w:b/>
      <w:bCs/>
      <w:i/>
      <w:iCs/>
      <w:color w:val="4F81BD" w:themeColor="accent1"/>
      <w14:textFill>
        <w14:solidFill>
          <w14:schemeClr w14:val="accent1"/>
        </w14:solidFill>
      </w14:textFill>
    </w:rPr>
  </w:style>
  <w:style w:type="character" w:customStyle="1" w:styleId="SubtleReference">
    <w:name w:val="Subtle Reference"/>
    <w:basedOn w:val="DefaultParagraphFont"/>
    <w:uiPriority w:val="31"/>
    <w:qFormat/>
    <w:rPr>
      <w:smallCaps/>
      <w:color w:val="C0504D" w:themeColor="accent2"/>
      <w:u w:val="single"/>
      <w14:textFill>
        <w14:solidFill>
          <w14:schemeClr w14:val="accent2"/>
        </w14:solidFill>
      </w14:textFill>
    </w:rPr>
  </w:style>
  <w:style w:type="character" w:customStyle="1" w:styleId="IntenseReference">
    <w:name w:val="Intense Reference"/>
    <w:basedOn w:val="DefaultParagraphFont"/>
    <w:uiPriority w:val="32"/>
    <w:qFormat/>
    <w:rPr>
      <w:b/>
      <w:bCs/>
      <w:smallCaps/>
      <w:color w:val="C0504D" w:themeColor="accent2"/>
      <w:spacing w:val="5"/>
      <w:u w:val="single"/>
      <w14:textFill>
        <w14:solidFill>
          <w14:schemeClr w14:val="accent2"/>
        </w14:solidFill>
      </w14:textFill>
    </w:rPr>
  </w:style>
  <w:style w:type="character" w:customStyle="1" w:styleId="BookTitle">
    <w:name w:val="Book Title"/>
    <w:basedOn w:val="DefaultParagraphFont"/>
    <w:uiPriority w:val="33"/>
    <w:qFormat/>
    <w:rPr>
      <w:b/>
      <w:bCs/>
      <w:smallCaps/>
      <w:spacing w:val="5"/>
    </w:rPr>
  </w:style>
  <w:style w:type="paragraph" w:customStyle="1" w:styleId="TOCHeading">
    <w:name w:val="TOC Heading"/>
    <w:basedOn w:val="Heading1"/>
    <w:next w:val="Normal"/>
    <w:uiPriority w:val="39"/>
    <w:semiHidden/>
    <w:unhideWhenUsed/>
    <w:qFormat/>
    <w:pPr>
      <w:outlineLvl w:val="9"/>
    </w:pPr>
  </w:style>
  <w:style w:type="character" w:customStyle="1" w:styleId="Char">
    <w:name w:val="题注 Char"/>
    <w:link w:val="Caption"/>
    <w:uiPriority w:val="35"/>
    <w:qFormat/>
    <w:rPr>
      <w:b/>
      <w:bCs/>
      <w:color w:val="4F81BD" w:themeColor="accent1"/>
      <w:sz w:val="18"/>
      <w:szCs w:val="18"/>
      <w14:textFill>
        <w14:solidFill>
          <w14:schemeClr w14:val="accent1"/>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eader" Target="header10.xml" /><Relationship Id="rId27" Type="http://schemas.openxmlformats.org/officeDocument/2006/relationships/footer" Target="footer10.xml" /><Relationship Id="rId28" Type="http://schemas.openxmlformats.org/officeDocument/2006/relationships/header" Target="header11.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2.xml" /><Relationship Id="rId32" Type="http://schemas.openxmlformats.org/officeDocument/2006/relationships/header" Target="header13.xml" /><Relationship Id="rId33" Type="http://schemas.openxmlformats.org/officeDocument/2006/relationships/footer" Target="footer13.xml" /><Relationship Id="rId34" Type="http://schemas.openxmlformats.org/officeDocument/2006/relationships/hyperlink" Target="https://d.book118.com/125331224043011122" TargetMode="External" /><Relationship Id="rId35" Type="http://schemas.openxmlformats.org/officeDocument/2006/relationships/header" Target="header14.xml" /><Relationship Id="rId36" Type="http://schemas.openxmlformats.org/officeDocument/2006/relationships/footer" Target="footer14.xml" /><Relationship Id="rId37" Type="http://schemas.openxmlformats.org/officeDocument/2006/relationships/theme" Target="theme/theme1.xml" /><Relationship Id="rId38" Type="http://schemas.openxmlformats.org/officeDocument/2006/relationships/numbering" Target="numbering.xml" /><Relationship Id="rId39"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咕咕</dc:creator>
  <dc:description>generated by python-docx</dc:description>
  <cp:lastModifiedBy>WPS_1591255612</cp:lastModifiedBy>
  <cp:revision>1</cp:revision>
  <dcterms:created xsi:type="dcterms:W3CDTF">2019-12-12T12:44:00Z</dcterms:created>
  <dcterms:modified xsi:type="dcterms:W3CDTF">2020-09-24T08:52:04Z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