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8" w:line="183" w:lineRule="auto"/>
        <w:ind w:left="16215"/>
        <w:rPr>
          <w:rFonts w:ascii="Microsoft YaHei" w:eastAsia="Microsoft YaHei" w:hAnsi="Microsoft YaHei" w:cs="Microsoft YaHei"/>
          <w:sz w:val="34"/>
          <w:szCs w:val="34"/>
        </w:rPr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496823</wp:posOffset>
            </wp:positionH>
            <wp:positionV relativeFrom="page">
              <wp:posOffset>734567</wp:posOffset>
            </wp:positionV>
            <wp:extent cx="2145791" cy="522732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45791" cy="522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spacing w:val="-1"/>
          <w:sz w:val="34"/>
          <w:szCs w:val="34"/>
        </w:rPr>
        <w:t>证券研究报告</w:t>
      </w:r>
    </w:p>
    <w:p>
      <w:pPr>
        <w:spacing w:before="110" w:line="184" w:lineRule="auto"/>
        <w:ind w:left="16229"/>
        <w:rPr>
          <w:rFonts w:ascii="Microsoft YaHei" w:eastAsia="Microsoft YaHei" w:hAnsi="Microsoft YaHei" w:cs="Microsoft YaHei"/>
          <w:sz w:val="34"/>
          <w:szCs w:val="34"/>
        </w:rPr>
      </w:pPr>
      <w:r>
        <w:rPr>
          <w:rFonts w:ascii="Microsoft YaHei" w:eastAsia="Microsoft YaHei" w:hAnsi="Microsoft YaHei" w:cs="Microsoft YaHei"/>
          <w:spacing w:val="-2"/>
          <w:sz w:val="34"/>
          <w:szCs w:val="34"/>
        </w:rPr>
        <w:t>2024年01月06日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3852" w:lineRule="exact"/>
      </w:pPr>
      <w:r>
        <w:rPr>
          <w:position w:val="-77"/>
        </w:rPr>
        <w:pict>
          <v:group id="_x0000_i1025" style="width:960pt;height:192.65pt;mso-position-horizontal-relative:char;mso-position-vertical-relative:line" coordorigin="0,0" coordsize="19200,3852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9200;height:3852;position:absolute" filled="f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9240;height:3892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7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304" w:line="170" w:lineRule="auto"/>
                      <w:ind w:left="5670"/>
                      <w:outlineLvl w:val="0"/>
                      <w:rPr>
                        <w:rFonts w:ascii="Microsoft YaHei" w:eastAsia="Microsoft YaHei" w:hAnsi="Microsoft YaHei" w:cs="Microsoft YaHei"/>
                        <w:sz w:val="71"/>
                        <w:szCs w:val="71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FFFFFF"/>
                        <w:spacing w:val="9"/>
                        <w:sz w:val="71"/>
                        <w:szCs w:val="71"/>
                      </w:rPr>
                      <w:t>美国资管机构发展沉浮录</w:t>
                    </w:r>
                  </w:p>
                  <w:p>
                    <w:pPr>
                      <w:spacing w:before="3" w:line="185" w:lineRule="auto"/>
                      <w:ind w:left="9600"/>
                      <w:rPr>
                        <w:rFonts w:ascii="Microsoft YaHei" w:eastAsia="Microsoft YaHei" w:hAnsi="Microsoft YaHei" w:cs="Microsoft YaHei"/>
                        <w:sz w:val="71"/>
                        <w:szCs w:val="71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10"/>
                        <w:sz w:val="71"/>
                        <w:szCs w:val="71"/>
                      </w:rPr>
                      <w:t>——投顾转型必要性深度剖析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4"/>
      </w:pPr>
    </w:p>
    <w:p>
      <w:pPr>
        <w:sectPr>
          <w:footerReference w:type="default" r:id="rId6"/>
          <w:pgSz w:w="19200" w:h="10800"/>
          <w:pgMar w:top="840" w:right="0" w:bottom="696" w:left="0" w:header="0" w:footer="452" w:gutter="0"/>
          <w:cols w:num="1" w:space="708" w:equalWidth="0">
            <w:col w:w="19200" w:space="0"/>
          </w:cols>
        </w:sectPr>
      </w:pPr>
    </w:p>
    <w:p>
      <w:pPr>
        <w:spacing w:before="61" w:line="221" w:lineRule="auto"/>
        <w:ind w:left="7196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spacing w:val="-1"/>
          <w:sz w:val="24"/>
          <w:szCs w:val="24"/>
        </w:rPr>
        <w:t>李杨(证券分析师)</w:t>
      </w:r>
    </w:p>
    <w:p>
      <w:pPr>
        <w:spacing w:before="113" w:line="174" w:lineRule="auto"/>
        <w:ind w:left="7208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spacing w:val="-1"/>
          <w:sz w:val="24"/>
          <w:szCs w:val="24"/>
        </w:rPr>
        <w:t>S0350522070001</w:t>
      </w:r>
    </w:p>
    <w:p>
      <w:pPr>
        <w:spacing w:before="73" w:line="181" w:lineRule="auto"/>
        <w:ind w:left="7213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spacing w:val="-2"/>
          <w:sz w:val="24"/>
          <w:szCs w:val="24"/>
        </w:rPr>
        <w:t>liy19@ghzq.com.cn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60" w:line="221" w:lineRule="auto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spacing w:val="-1"/>
          <w:sz w:val="24"/>
          <w:szCs w:val="24"/>
        </w:rPr>
        <w:t>何欣洋(联系人)</w:t>
      </w:r>
    </w:p>
    <w:p>
      <w:pPr>
        <w:spacing w:before="113" w:line="174" w:lineRule="auto"/>
        <w:ind w:left="12"/>
        <w:rPr>
          <w:rFonts w:ascii="Microsoft YaHei" w:eastAsia="Microsoft YaHei" w:hAnsi="Microsoft YaHei" w:cs="Microsoft YaHei"/>
          <w:sz w:val="24"/>
          <w:szCs w:val="24"/>
        </w:rPr>
        <w:sectPr>
          <w:footerReference w:type="default" r:id="rId7"/>
          <w:type w:val="continuous"/>
          <w:pgSz w:w="19200" w:h="10800"/>
          <w:pgMar w:top="840" w:right="0" w:bottom="696" w:left="0" w:header="0" w:footer="452" w:gutter="0"/>
          <w:pgNumType w:start="2"/>
          <w:cols w:num="2" w:space="708" w:equalWidth="0">
            <w:col w:w="9832" w:space="100"/>
            <w:col w:w="9269" w:space="0"/>
          </w:cols>
        </w:sectPr>
      </w:pPr>
      <w:r>
        <w:rPr>
          <w:rFonts w:ascii="Microsoft YaHei" w:eastAsia="Microsoft YaHei" w:hAnsi="Microsoft YaHei" w:cs="Microsoft YaHei"/>
          <w:spacing w:val="-1"/>
          <w:sz w:val="24"/>
          <w:szCs w:val="24"/>
        </w:rPr>
        <w:t>S0350122030012</w:t>
      </w:r>
    </w:p>
    <w:p>
      <w:pPr>
        <w:spacing w:before="73" w:line="181" w:lineRule="auto"/>
        <w:ind w:left="18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spacing w:val="-2"/>
          <w:sz w:val="24"/>
          <w:szCs w:val="24"/>
        </w:rPr>
        <w:t>hexy@ghzq.com.cn</w:t>
      </w:r>
    </w:p>
    <w:p>
      <w:pPr>
        <w:spacing w:line="181" w:lineRule="auto"/>
        <w:rPr>
          <w:rFonts w:ascii="Microsoft YaHei" w:eastAsia="Microsoft YaHei" w:hAnsi="Microsoft YaHei" w:cs="Microsoft YaHei"/>
          <w:sz w:val="24"/>
          <w:szCs w:val="24"/>
        </w:rPr>
        <w:sectPr>
          <w:footerReference w:type="default" r:id="rId8"/>
          <w:type w:val="nextPage"/>
          <w:pgSz w:w="19200" w:h="10800"/>
          <w:pgMar w:top="840" w:right="0" w:bottom="696" w:left="0" w:header="0" w:footer="452" w:gutter="0"/>
          <w:pgNumType w:start="3"/>
          <w:cols w:num="2" w:space="708" w:equalWidth="0">
            <w:col w:w="9832" w:space="100"/>
            <w:col w:w="9269" w:space="0"/>
          </w:cols>
          <w:titlePg w:val="0"/>
        </w:sectPr>
      </w:pPr>
    </w:p>
    <w:p>
      <w:pPr>
        <w:pStyle w:val="BodyText"/>
        <w:spacing w:before="307" w:line="186" w:lineRule="auto"/>
        <w:ind w:left="416"/>
        <w:rPr>
          <w:sz w:val="47"/>
          <w:szCs w:val="47"/>
        </w:rPr>
      </w:pPr>
      <w:r>
        <w:rPr>
          <w:b/>
          <w:bCs/>
          <w:spacing w:val="8"/>
          <w:sz w:val="47"/>
          <w:szCs w:val="47"/>
        </w:rPr>
        <w:t>核心提要</w:t>
      </w:r>
    </w:p>
    <w:p>
      <w:pPr>
        <w:spacing w:line="244" w:lineRule="auto"/>
        <w:rPr>
          <w:rFonts w:ascii="Arial"/>
          <w:sz w:val="21"/>
        </w:rPr>
      </w:pPr>
    </w:p>
    <w:p>
      <w:pPr>
        <w:pStyle w:val="BodyText"/>
        <w:spacing w:before="121" w:line="172" w:lineRule="auto"/>
        <w:ind w:left="583"/>
        <w:rPr>
          <w:sz w:val="28"/>
          <w:szCs w:val="28"/>
        </w:rPr>
      </w:pPr>
      <w:r>
        <w:rPr>
          <w:rFonts w:ascii="Wingdings" w:eastAsia="Wingdings" w:hAnsi="Wingdings" w:cs="Wingdings"/>
          <w:color w:val="E94520"/>
          <w:spacing w:val="-3"/>
          <w:sz w:val="28"/>
          <w:szCs w:val="28"/>
        </w:rPr>
        <w:t xml:space="preserve">u </w:t>
      </w:r>
      <w:r>
        <w:rPr>
          <w:b/>
          <w:bCs/>
          <w:spacing w:val="-3"/>
          <w:sz w:val="28"/>
          <w:szCs w:val="28"/>
        </w:rPr>
        <w:t>格局概览：美国资管机构转型路径总结</w:t>
      </w:r>
    </w:p>
    <w:p>
      <w:pPr>
        <w:pStyle w:val="BodyText"/>
        <w:spacing w:line="171" w:lineRule="auto"/>
        <w:ind w:left="1131" w:right="721"/>
        <w:jc w:val="both"/>
      </w:pPr>
      <w:r>
        <w:rPr>
          <w:spacing w:val="-1"/>
        </w:rPr>
        <w:t>基于当前市场环境</w:t>
      </w:r>
      <w:r>
        <w:rPr>
          <w:spacing w:val="-35"/>
        </w:rPr>
        <w:t xml:space="preserve"> </w:t>
      </w:r>
      <w:r>
        <w:rPr>
          <w:spacing w:val="-1"/>
        </w:rPr>
        <w:t>，通过梳理美国在过去20-30年的市场格局变化</w:t>
      </w:r>
      <w:r>
        <w:rPr>
          <w:spacing w:val="-2"/>
        </w:rPr>
        <w:t>和典型机构的发展变化路径</w:t>
      </w:r>
      <w:r>
        <w:rPr>
          <w:spacing w:val="-35"/>
        </w:rPr>
        <w:t xml:space="preserve"> </w:t>
      </w:r>
      <w:r>
        <w:rPr>
          <w:spacing w:val="-2"/>
        </w:rPr>
        <w:t>，可为未来资管机构的转型路径提供参考。从20世纪70年代起</w:t>
      </w:r>
      <w:r>
        <w:rPr>
          <w:spacing w:val="-35"/>
        </w:rPr>
        <w:t xml:space="preserve"> </w:t>
      </w:r>
      <w:r>
        <w:rPr>
          <w:spacing w:val="-2"/>
        </w:rPr>
        <w:t xml:space="preserve">，美国投 </w:t>
      </w:r>
      <w:r>
        <w:t>顾行业先后历经了从机构到大众、从卖方销售到买方投顾以及从专业化</w:t>
      </w:r>
      <w:r>
        <w:rPr>
          <w:spacing w:val="-1"/>
        </w:rPr>
        <w:t>向智能化三次变革</w:t>
      </w:r>
      <w:r>
        <w:rPr>
          <w:spacing w:val="-35"/>
        </w:rPr>
        <w:t xml:space="preserve"> </w:t>
      </w:r>
      <w:r>
        <w:rPr>
          <w:spacing w:val="-1"/>
        </w:rPr>
        <w:t>，从不同角度撬动了美国投顾行业发展。同时在美国公募基金行业费率下行</w:t>
      </w:r>
      <w:r>
        <w:t xml:space="preserve">  </w:t>
      </w:r>
      <w:r>
        <w:rPr>
          <w:spacing w:val="-1"/>
        </w:rPr>
        <w:t>的激烈竞争过程中， 资金不断向头部机构集中</w:t>
      </w:r>
      <w:r>
        <w:rPr>
          <w:spacing w:val="-35"/>
        </w:rPr>
        <w:t xml:space="preserve"> </w:t>
      </w:r>
      <w:r>
        <w:rPr>
          <w:spacing w:val="-1"/>
        </w:rPr>
        <w:t>，推升市场集中度</w:t>
      </w:r>
      <w:r>
        <w:rPr>
          <w:spacing w:val="-35"/>
        </w:rPr>
        <w:t xml:space="preserve"> </w:t>
      </w:r>
      <w:r>
        <w:rPr>
          <w:spacing w:val="-1"/>
        </w:rPr>
        <w:t>，加剧马</w:t>
      </w:r>
      <w:r>
        <w:rPr>
          <w:spacing w:val="-2"/>
        </w:rPr>
        <w:t>太效应。我们发现规模持续提升或增速下滑的机构各自有一定共性</w:t>
      </w:r>
      <w:r>
        <w:rPr>
          <w:spacing w:val="-35"/>
        </w:rPr>
        <w:t xml:space="preserve"> </w:t>
      </w:r>
      <w:r>
        <w:rPr>
          <w:spacing w:val="-2"/>
        </w:rPr>
        <w:t>，并以此划分出扩张稳定</w:t>
      </w:r>
      <w:r>
        <w:t xml:space="preserve"> </w:t>
      </w:r>
      <w:r>
        <w:t>机构和扩张放缓机构两类。扩张稳定机构实现规模稳定增</w:t>
      </w:r>
      <w:r>
        <w:rPr>
          <w:spacing w:val="-1"/>
        </w:rPr>
        <w:t>长的主要原因是抓住了特定Beta机遇、开启多元转型以及打造客户驱动的解决方案。反之</w:t>
      </w:r>
      <w:r>
        <w:rPr>
          <w:spacing w:val="-34"/>
        </w:rPr>
        <w:t xml:space="preserve"> </w:t>
      </w:r>
      <w:r>
        <w:rPr>
          <w:spacing w:val="-1"/>
        </w:rPr>
        <w:t xml:space="preserve">，扩张放缓的资管 </w:t>
      </w:r>
      <w:r>
        <w:rPr>
          <w:spacing w:val="-1"/>
        </w:rPr>
        <w:t>机构普遍由于聚焦主动管理、产品销售主导等原因</w:t>
      </w:r>
      <w:r>
        <w:rPr>
          <w:spacing w:val="-34"/>
        </w:rPr>
        <w:t xml:space="preserve"> </w:t>
      </w:r>
      <w:r>
        <w:rPr>
          <w:spacing w:val="-1"/>
        </w:rPr>
        <w:t>，使其后续发展相对滞后于成长较快的机构。</w:t>
      </w:r>
    </w:p>
    <w:p>
      <w:pPr>
        <w:pStyle w:val="BodyText"/>
        <w:spacing w:before="144" w:line="306" w:lineRule="exact"/>
        <w:ind w:left="583"/>
        <w:rPr>
          <w:sz w:val="28"/>
          <w:szCs w:val="28"/>
        </w:rPr>
      </w:pPr>
      <w:r>
        <w:rPr>
          <w:rFonts w:ascii="Wingdings" w:eastAsia="Wingdings" w:hAnsi="Wingdings" w:cs="Wingdings"/>
          <w:color w:val="E94520"/>
          <w:spacing w:val="-3"/>
          <w:position w:val="-1"/>
          <w:sz w:val="28"/>
          <w:szCs w:val="28"/>
        </w:rPr>
        <w:t xml:space="preserve">u </w:t>
      </w:r>
      <w:r>
        <w:rPr>
          <w:b/>
          <w:bCs/>
          <w:spacing w:val="-3"/>
          <w:position w:val="-1"/>
          <w:sz w:val="28"/>
          <w:szCs w:val="28"/>
        </w:rPr>
        <w:t>他山之石：扩张稳定机构案例深层剖析</w:t>
      </w:r>
    </w:p>
    <w:p>
      <w:pPr>
        <w:pStyle w:val="BodyText"/>
        <w:spacing w:before="2" w:line="174" w:lineRule="auto"/>
        <w:ind w:left="1130" w:right="538"/>
      </w:pPr>
      <w:r>
        <w:rPr>
          <w:spacing w:val="-2"/>
        </w:rPr>
        <w:t>转型成功代表机构的起点和路径不同</w:t>
      </w:r>
      <w:r>
        <w:rPr>
          <w:spacing w:val="-23"/>
        </w:rPr>
        <w:t xml:space="preserve"> </w:t>
      </w:r>
      <w:r>
        <w:rPr>
          <w:spacing w:val="-2"/>
        </w:rPr>
        <w:t>，但各有可取之处。</w:t>
      </w:r>
      <w:r>
        <w:rPr>
          <w:spacing w:val="-46"/>
        </w:rPr>
        <w:t xml:space="preserve"> </w:t>
      </w:r>
      <w:r>
        <w:rPr>
          <w:spacing w:val="-2"/>
        </w:rPr>
        <w:t>1）道富全球资管（State Street Global Advisors）作为道富公司的资管子公司</w:t>
      </w:r>
      <w:r>
        <w:rPr>
          <w:spacing w:val="-35"/>
        </w:rPr>
        <w:t xml:space="preserve"> </w:t>
      </w:r>
      <w:r>
        <w:rPr>
          <w:spacing w:val="-2"/>
        </w:rPr>
        <w:t>，是全球领先的资管机构</w:t>
      </w:r>
      <w:r>
        <w:rPr>
          <w:spacing w:val="-34"/>
        </w:rPr>
        <w:t xml:space="preserve"> </w:t>
      </w:r>
      <w:r>
        <w:rPr>
          <w:spacing w:val="-2"/>
        </w:rPr>
        <w:t>，尤</w:t>
      </w:r>
      <w:r>
        <w:t xml:space="preserve">  </w:t>
      </w:r>
      <w:r>
        <w:rPr>
          <w:spacing w:val="-2"/>
        </w:rPr>
        <w:t>其在指数投资领域占据了领导地位。凭借在指数领域的先发优势和面向机构客户的定制投顾服务</w:t>
      </w:r>
      <w:r>
        <w:rPr>
          <w:spacing w:val="-28"/>
        </w:rPr>
        <w:t xml:space="preserve"> </w:t>
      </w:r>
      <w:r>
        <w:rPr>
          <w:spacing w:val="-2"/>
        </w:rPr>
        <w:t>，2002-2022年</w:t>
      </w:r>
      <w:r>
        <w:rPr>
          <w:spacing w:val="-35"/>
        </w:rPr>
        <w:t xml:space="preserve"> </w:t>
      </w:r>
      <w:r>
        <w:rPr>
          <w:spacing w:val="-2"/>
        </w:rPr>
        <w:t>，道富全球资管的管理规模稳定增长</w:t>
      </w:r>
      <w:r>
        <w:rPr>
          <w:spacing w:val="-35"/>
        </w:rPr>
        <w:t xml:space="preserve"> </w:t>
      </w:r>
      <w:r>
        <w:rPr>
          <w:spacing w:val="-2"/>
        </w:rPr>
        <w:t xml:space="preserve">，排名稳居全球    </w:t>
      </w:r>
      <w:r>
        <w:rPr>
          <w:spacing w:val="-2"/>
        </w:rPr>
        <w:t>前5。2）普信集团（T</w:t>
      </w:r>
      <w:r>
        <w:rPr>
          <w:spacing w:val="24"/>
          <w:w w:val="101"/>
        </w:rPr>
        <w:t xml:space="preserve"> </w:t>
      </w:r>
      <w:r>
        <w:rPr>
          <w:spacing w:val="-2"/>
        </w:rPr>
        <w:t>Rowe</w:t>
      </w:r>
      <w:r>
        <w:rPr>
          <w:spacing w:val="23"/>
        </w:rPr>
        <w:t xml:space="preserve"> </w:t>
      </w:r>
      <w:r>
        <w:rPr>
          <w:spacing w:val="-2"/>
        </w:rPr>
        <w:t>Price）以成长股投资闻名</w:t>
      </w:r>
      <w:r>
        <w:rPr>
          <w:spacing w:val="-35"/>
        </w:rPr>
        <w:t xml:space="preserve"> </w:t>
      </w:r>
      <w:r>
        <w:rPr>
          <w:spacing w:val="-2"/>
        </w:rPr>
        <w:t>，而后逐步完善业务布局。普信集团抓住了</w:t>
      </w:r>
      <w:r>
        <w:rPr>
          <w:spacing w:val="-3"/>
        </w:rPr>
        <w:t>美国养老金市场快速发展的机遇</w:t>
      </w:r>
      <w:r>
        <w:rPr>
          <w:spacing w:val="-35"/>
        </w:rPr>
        <w:t xml:space="preserve"> </w:t>
      </w:r>
      <w:r>
        <w:rPr>
          <w:spacing w:val="-3"/>
        </w:rPr>
        <w:t>，布局机构和个人养老金投资业务，</w:t>
      </w:r>
      <w:r>
        <w:t xml:space="preserve"> </w:t>
      </w:r>
      <w:r>
        <w:rPr>
          <w:spacing w:val="-1"/>
        </w:rPr>
        <w:t>在上世纪90年代便已成为领先的养老金投资机构。而后随着美国买方投顾</w:t>
      </w:r>
      <w:r>
        <w:rPr>
          <w:spacing w:val="-2"/>
        </w:rPr>
        <w:t>开启转型期</w:t>
      </w:r>
      <w:r>
        <w:rPr>
          <w:spacing w:val="-34"/>
        </w:rPr>
        <w:t xml:space="preserve"> </w:t>
      </w:r>
      <w:r>
        <w:rPr>
          <w:spacing w:val="-2"/>
        </w:rPr>
        <w:t>，普信集团适时发力和转型投顾业务</w:t>
      </w:r>
      <w:r>
        <w:rPr>
          <w:spacing w:val="-35"/>
        </w:rPr>
        <w:t xml:space="preserve"> </w:t>
      </w:r>
      <w:r>
        <w:rPr>
          <w:spacing w:val="-2"/>
        </w:rPr>
        <w:t>，同时重视多资产投资方案布局</w:t>
      </w:r>
      <w:r>
        <w:rPr>
          <w:spacing w:val="-35"/>
        </w:rPr>
        <w:t xml:space="preserve"> </w:t>
      </w:r>
      <w:r>
        <w:rPr>
          <w:spacing w:val="-2"/>
        </w:rPr>
        <w:t>，驱动管理</w:t>
      </w:r>
      <w:r>
        <w:t xml:space="preserve">    </w:t>
      </w:r>
      <w:r>
        <w:rPr>
          <w:spacing w:val="-2"/>
        </w:rPr>
        <w:t>规模和排名不断攀升</w:t>
      </w:r>
      <w:r>
        <w:rPr>
          <w:spacing w:val="-34"/>
        </w:rPr>
        <w:t xml:space="preserve"> </w:t>
      </w:r>
      <w:r>
        <w:rPr>
          <w:spacing w:val="-2"/>
        </w:rPr>
        <w:t>，2002-2022年</w:t>
      </w:r>
      <w:r>
        <w:rPr>
          <w:spacing w:val="-35"/>
        </w:rPr>
        <w:t xml:space="preserve"> </w:t>
      </w:r>
      <w:r>
        <w:rPr>
          <w:spacing w:val="-2"/>
        </w:rPr>
        <w:t>，普信集团规模排名从30名开外进入前10。3）</w:t>
      </w:r>
      <w:r>
        <w:rPr>
          <w:spacing w:val="-48"/>
        </w:rPr>
        <w:t xml:space="preserve"> </w:t>
      </w:r>
      <w:r>
        <w:rPr>
          <w:spacing w:val="-2"/>
        </w:rPr>
        <w:t>NISA</w:t>
      </w:r>
      <w:r>
        <w:rPr>
          <w:spacing w:val="24"/>
          <w:w w:val="101"/>
        </w:rPr>
        <w:t xml:space="preserve"> </w:t>
      </w:r>
      <w:r>
        <w:rPr>
          <w:spacing w:val="-2"/>
        </w:rPr>
        <w:t>Investment秉持负债驱动投资（LDI）的固收稳健投资策略</w:t>
      </w:r>
      <w:r>
        <w:rPr>
          <w:spacing w:val="-35"/>
        </w:rPr>
        <w:t xml:space="preserve"> </w:t>
      </w:r>
      <w:r>
        <w:rPr>
          <w:spacing w:val="-2"/>
        </w:rPr>
        <w:t>，专</w:t>
      </w:r>
      <w:r>
        <w:rPr>
          <w:spacing w:val="-3"/>
        </w:rPr>
        <w:t xml:space="preserve">注为养老金  </w:t>
      </w:r>
      <w:r>
        <w:rPr>
          <w:spacing w:val="-1"/>
        </w:rPr>
        <w:t>等机构投资者提供个性化的投资顾问服务，</w:t>
      </w:r>
      <w:r>
        <w:rPr>
          <w:spacing w:val="-33"/>
        </w:rPr>
        <w:t xml:space="preserve"> </w:t>
      </w:r>
      <w:r>
        <w:rPr>
          <w:spacing w:val="-1"/>
        </w:rPr>
        <w:t>自2001年转型投顾业务以来发展稳健</w:t>
      </w:r>
      <w:r>
        <w:rPr>
          <w:spacing w:val="-35"/>
        </w:rPr>
        <w:t xml:space="preserve"> </w:t>
      </w:r>
      <w:r>
        <w:rPr>
          <w:spacing w:val="-1"/>
        </w:rPr>
        <w:t>，2022年管理规模在全球和美国排名较2002年分别上升159位和49位。</w:t>
      </w:r>
    </w:p>
    <w:p>
      <w:pPr>
        <w:pStyle w:val="BodyText"/>
        <w:spacing w:before="144" w:line="172" w:lineRule="auto"/>
        <w:ind w:left="583"/>
        <w:rPr>
          <w:sz w:val="28"/>
          <w:szCs w:val="28"/>
        </w:rPr>
      </w:pPr>
      <w:r>
        <w:rPr>
          <w:rFonts w:ascii="Wingdings" w:eastAsia="Wingdings" w:hAnsi="Wingdings" w:cs="Wingdings"/>
          <w:color w:val="E94520"/>
          <w:spacing w:val="-3"/>
          <w:sz w:val="28"/>
          <w:szCs w:val="28"/>
        </w:rPr>
        <w:t xml:space="preserve">u </w:t>
      </w:r>
      <w:r>
        <w:rPr>
          <w:b/>
          <w:bCs/>
          <w:spacing w:val="-3"/>
          <w:sz w:val="28"/>
          <w:szCs w:val="28"/>
        </w:rPr>
        <w:t>以史为镜：扩张放缓机构案例总结借鉴</w:t>
      </w:r>
    </w:p>
    <w:p>
      <w:pPr>
        <w:pStyle w:val="BodyText"/>
        <w:spacing w:line="171" w:lineRule="auto"/>
        <w:ind w:left="1130" w:right="655"/>
      </w:pPr>
      <w:r>
        <w:rPr>
          <w:spacing w:val="-2"/>
        </w:rPr>
        <w:t>我们发现在美国买方投顾转型过程中</w:t>
      </w:r>
      <w:r>
        <w:rPr>
          <w:spacing w:val="-35"/>
        </w:rPr>
        <w:t xml:space="preserve"> </w:t>
      </w:r>
      <w:r>
        <w:rPr>
          <w:spacing w:val="-2"/>
        </w:rPr>
        <w:t>，有部分大型资管机构规模扩张速度相对较低</w:t>
      </w:r>
      <w:r>
        <w:rPr>
          <w:spacing w:val="-35"/>
        </w:rPr>
        <w:t xml:space="preserve"> </w:t>
      </w:r>
      <w:r>
        <w:rPr>
          <w:spacing w:val="-2"/>
        </w:rPr>
        <w:t>，他们具有一定共性</w:t>
      </w:r>
      <w:r>
        <w:rPr>
          <w:spacing w:val="-35"/>
        </w:rPr>
        <w:t xml:space="preserve"> </w:t>
      </w:r>
      <w:r>
        <w:rPr>
          <w:spacing w:val="-2"/>
        </w:rPr>
        <w:t>，但同时在近年也在不断革新自身模式实现再成长</w:t>
      </w:r>
      <w:r>
        <w:rPr>
          <w:spacing w:val="-34"/>
        </w:rPr>
        <w:t xml:space="preserve"> </w:t>
      </w:r>
      <w:r>
        <w:rPr>
          <w:spacing w:val="-3"/>
        </w:rPr>
        <w:t>，我们在此</w:t>
      </w:r>
      <w:r>
        <w:t xml:space="preserve">   </w:t>
      </w:r>
      <w:r>
        <w:rPr>
          <w:spacing w:val="-1"/>
        </w:rPr>
        <w:t>列举了两个典型案例代表。</w:t>
      </w:r>
      <w:r>
        <w:rPr>
          <w:spacing w:val="-38"/>
        </w:rPr>
        <w:t xml:space="preserve"> </w:t>
      </w:r>
      <w:r>
        <w:rPr>
          <w:spacing w:val="-1"/>
        </w:rPr>
        <w:t>1）机构A起步之初涉足了投行、经纪、财富管理等各项业务</w:t>
      </w:r>
      <w:r>
        <w:rPr>
          <w:spacing w:val="-34"/>
        </w:rPr>
        <w:t xml:space="preserve"> </w:t>
      </w:r>
      <w:r>
        <w:rPr>
          <w:spacing w:val="-1"/>
        </w:rPr>
        <w:t>，通过两次关键并购完成了向纯粹资管机构的转变。机构A深耕主动管理的资</w:t>
      </w:r>
      <w:r>
        <w:t xml:space="preserve">   </w:t>
      </w:r>
      <w:r>
        <w:rPr>
          <w:spacing w:val="-2"/>
        </w:rPr>
        <w:t>管业务</w:t>
      </w:r>
      <w:r>
        <w:rPr>
          <w:spacing w:val="-32"/>
        </w:rPr>
        <w:t xml:space="preserve"> </w:t>
      </w:r>
      <w:r>
        <w:rPr>
          <w:spacing w:val="-2"/>
        </w:rPr>
        <w:t>，但金融危机给其后续规模增长造成了影响</w:t>
      </w:r>
      <w:r>
        <w:rPr>
          <w:spacing w:val="-35"/>
        </w:rPr>
        <w:t xml:space="preserve"> </w:t>
      </w:r>
      <w:r>
        <w:rPr>
          <w:spacing w:val="-2"/>
        </w:rPr>
        <w:t>，且由于没有跟随美国指数化浪潮和买方投顾转型趋势</w:t>
      </w:r>
      <w:r>
        <w:rPr>
          <w:spacing w:val="-34"/>
        </w:rPr>
        <w:t xml:space="preserve"> </w:t>
      </w:r>
      <w:r>
        <w:rPr>
          <w:spacing w:val="-2"/>
        </w:rPr>
        <w:t>，规模扩张速度有所放缓</w:t>
      </w:r>
      <w:r>
        <w:rPr>
          <w:spacing w:val="-35"/>
        </w:rPr>
        <w:t xml:space="preserve"> </w:t>
      </w:r>
      <w:r>
        <w:rPr>
          <w:spacing w:val="-2"/>
        </w:rPr>
        <w:t>，最终被收购。2）机构B在2000年</w:t>
      </w:r>
      <w:r>
        <w:t xml:space="preserve"> </w:t>
      </w:r>
      <w:r>
        <w:rPr>
          <w:spacing w:val="-1"/>
        </w:rPr>
        <w:t>以前一直是美国管理规模排名领先的资管机构</w:t>
      </w:r>
      <w:r>
        <w:rPr>
          <w:spacing w:val="-34"/>
        </w:rPr>
        <w:t xml:space="preserve"> </w:t>
      </w:r>
      <w:r>
        <w:rPr>
          <w:spacing w:val="-1"/>
        </w:rPr>
        <w:t>，但在美国两次股市估值大幅压缩时</w:t>
      </w:r>
      <w:r>
        <w:rPr>
          <w:spacing w:val="-2"/>
        </w:rPr>
        <w:t>期均遭遇较大程度的赎回</w:t>
      </w:r>
      <w:r>
        <w:rPr>
          <w:spacing w:val="-35"/>
        </w:rPr>
        <w:t xml:space="preserve"> </w:t>
      </w:r>
      <w:r>
        <w:rPr>
          <w:spacing w:val="-2"/>
        </w:rPr>
        <w:t>，并被数次收购</w:t>
      </w:r>
      <w:r>
        <w:rPr>
          <w:spacing w:val="-35"/>
        </w:rPr>
        <w:t xml:space="preserve"> </w:t>
      </w:r>
      <w:r>
        <w:rPr>
          <w:spacing w:val="-2"/>
        </w:rPr>
        <w:t>，但2010年后随着其逐步重视和布局买方</w:t>
      </w:r>
      <w:r>
        <w:t xml:space="preserve">  </w:t>
      </w:r>
      <w:r>
        <w:rPr>
          <w:spacing w:val="-3"/>
        </w:rPr>
        <w:t>投顾业务</w:t>
      </w:r>
      <w:r>
        <w:rPr>
          <w:spacing w:val="-33"/>
        </w:rPr>
        <w:t xml:space="preserve"> </w:t>
      </w:r>
      <w:r>
        <w:rPr>
          <w:spacing w:val="-3"/>
        </w:rPr>
        <w:t>，规模重回增长轨道。</w:t>
      </w:r>
    </w:p>
    <w:p>
      <w:pPr>
        <w:pStyle w:val="BodyText"/>
        <w:spacing w:before="144" w:line="172" w:lineRule="auto"/>
        <w:ind w:left="583"/>
        <w:rPr>
          <w:sz w:val="28"/>
          <w:szCs w:val="28"/>
        </w:rPr>
      </w:pPr>
      <w:r>
        <w:rPr>
          <w:rFonts w:ascii="Wingdings" w:eastAsia="Wingdings" w:hAnsi="Wingdings" w:cs="Wingdings"/>
          <w:color w:val="E94520"/>
          <w:spacing w:val="-2"/>
          <w:sz w:val="28"/>
          <w:szCs w:val="28"/>
        </w:rPr>
        <w:t xml:space="preserve">u </w:t>
      </w:r>
      <w:r>
        <w:rPr>
          <w:b/>
          <w:bCs/>
          <w:spacing w:val="-2"/>
          <w:sz w:val="28"/>
          <w:szCs w:val="28"/>
        </w:rPr>
        <w:t>经验启示：降费转型背景下我国资管机构如何守正出奇</w:t>
      </w:r>
    </w:p>
    <w:p>
      <w:pPr>
        <w:pStyle w:val="BodyText"/>
        <w:spacing w:before="1" w:line="173" w:lineRule="auto"/>
        <w:ind w:left="1131" w:right="792" w:firstLine="8"/>
        <w:jc w:val="both"/>
      </w:pPr>
      <w:r>
        <w:rPr>
          <w:spacing w:val="-2"/>
        </w:rPr>
        <w:t>以美国资管机构的发展经验为参考</w:t>
      </w:r>
      <w:r>
        <w:rPr>
          <w:spacing w:val="-35"/>
        </w:rPr>
        <w:t xml:space="preserve"> </w:t>
      </w:r>
      <w:r>
        <w:rPr>
          <w:spacing w:val="-2"/>
        </w:rPr>
        <w:t>，对于资管机构</w:t>
      </w:r>
      <w:r>
        <w:rPr>
          <w:spacing w:val="-3"/>
        </w:rPr>
        <w:t>而言</w:t>
      </w:r>
      <w:r>
        <w:rPr>
          <w:spacing w:val="-35"/>
        </w:rPr>
        <w:t xml:space="preserve"> </w:t>
      </w:r>
      <w:r>
        <w:rPr>
          <w:spacing w:val="-3"/>
        </w:rPr>
        <w:t>，未来资管业务和财富管理业务缺一不可</w:t>
      </w:r>
      <w:r>
        <w:rPr>
          <w:spacing w:val="-35"/>
        </w:rPr>
        <w:t xml:space="preserve"> </w:t>
      </w:r>
      <w:r>
        <w:rPr>
          <w:spacing w:val="-3"/>
        </w:rPr>
        <w:t>，双轮驱动可能是必然选择。一方面</w:t>
      </w:r>
      <w:r>
        <w:rPr>
          <w:spacing w:val="-35"/>
        </w:rPr>
        <w:t xml:space="preserve"> </w:t>
      </w:r>
      <w:r>
        <w:rPr>
          <w:spacing w:val="-3"/>
        </w:rPr>
        <w:t>，通过重视投顾业务的布局</w:t>
      </w:r>
      <w:r>
        <w:rPr>
          <w:spacing w:val="-34"/>
        </w:rPr>
        <w:t xml:space="preserve"> </w:t>
      </w:r>
      <w:r>
        <w:rPr>
          <w:spacing w:val="-3"/>
        </w:rPr>
        <w:t>，选</w:t>
      </w:r>
      <w:r>
        <w:t xml:space="preserve"> </w:t>
      </w:r>
      <w:r>
        <w:rPr>
          <w:spacing w:val="-2"/>
        </w:rPr>
        <w:t>择合适的客群并精准匹配产品和服务体系</w:t>
      </w:r>
      <w:r>
        <w:rPr>
          <w:spacing w:val="-35"/>
        </w:rPr>
        <w:t xml:space="preserve"> </w:t>
      </w:r>
      <w:r>
        <w:rPr>
          <w:spacing w:val="-2"/>
        </w:rPr>
        <w:t>，提升资管业务的粘性。另一方面</w:t>
      </w:r>
      <w:r>
        <w:rPr>
          <w:spacing w:val="-34"/>
        </w:rPr>
        <w:t xml:space="preserve"> </w:t>
      </w:r>
      <w:r>
        <w:rPr>
          <w:spacing w:val="-2"/>
        </w:rPr>
        <w:t>，从客户需求出发</w:t>
      </w:r>
      <w:r>
        <w:rPr>
          <w:spacing w:val="-35"/>
        </w:rPr>
        <w:t xml:space="preserve"> </w:t>
      </w:r>
      <w:r>
        <w:rPr>
          <w:spacing w:val="-2"/>
        </w:rPr>
        <w:t>，完善产品布局、包括布局和发展指数业务</w:t>
      </w:r>
      <w:r>
        <w:rPr>
          <w:spacing w:val="-35"/>
        </w:rPr>
        <w:t xml:space="preserve"> </w:t>
      </w:r>
      <w:r>
        <w:rPr>
          <w:spacing w:val="-2"/>
        </w:rPr>
        <w:t>，为投顾业务</w:t>
      </w:r>
      <w:r>
        <w:rPr>
          <w:spacing w:val="-3"/>
        </w:rPr>
        <w:t>提供坚实的产</w:t>
      </w:r>
      <w:r>
        <w:t xml:space="preserve"> </w:t>
      </w:r>
      <w:r>
        <w:rPr>
          <w:spacing w:val="-1"/>
        </w:rPr>
        <w:t>品体系和解决方案体系支撑。</w:t>
      </w:r>
    </w:p>
    <w:p>
      <w:pPr>
        <w:pStyle w:val="BodyText"/>
        <w:spacing w:before="145" w:line="172" w:lineRule="auto"/>
        <w:ind w:left="583"/>
        <w:rPr>
          <w:sz w:val="28"/>
          <w:szCs w:val="28"/>
        </w:rPr>
        <w:sectPr>
          <w:footerReference w:type="default" r:id="rId9"/>
          <w:pgSz w:w="19200" w:h="10800"/>
          <w:pgMar w:top="0" w:right="0" w:bottom="1" w:left="0" w:header="0" w:footer="0" w:gutter="0"/>
          <w:pgNumType w:start="4"/>
          <w:cols w:space="708"/>
        </w:sectPr>
      </w:pPr>
      <w:r>
        <w:rPr>
          <w:rFonts w:ascii="Wingdings" w:eastAsia="Wingdings" w:hAnsi="Wingdings" w:cs="Wingdings"/>
          <w:color w:val="E94520"/>
          <w:spacing w:val="-7"/>
          <w:sz w:val="28"/>
          <w:szCs w:val="28"/>
        </w:rPr>
        <w:t xml:space="preserve">u </w:t>
      </w:r>
      <w:r>
        <w:rPr>
          <w:b/>
          <w:bCs/>
          <w:spacing w:val="-7"/>
          <w:sz w:val="28"/>
          <w:szCs w:val="28"/>
        </w:rPr>
        <w:t>风险提示</w:t>
      </w:r>
    </w:p>
    <w:p>
      <w:pPr>
        <w:pStyle w:val="BodyText"/>
        <w:spacing w:before="1" w:line="173" w:lineRule="auto"/>
        <w:ind w:left="1130" w:right="792" w:firstLine="1"/>
        <w:jc w:val="both"/>
      </w:pPr>
      <w:r>
        <w:rPr>
          <w:spacing w:val="-1"/>
        </w:rPr>
        <w:t>本报告所有分析均基于公开信息</w:t>
      </w:r>
      <w:r>
        <w:rPr>
          <w:spacing w:val="-35"/>
        </w:rPr>
        <w:t xml:space="preserve"> </w:t>
      </w:r>
      <w:r>
        <w:rPr>
          <w:spacing w:val="-1"/>
        </w:rPr>
        <w:t>，不构成任何投资建议；中国与国际市场并不具有完全可比性</w:t>
      </w:r>
      <w:r>
        <w:rPr>
          <w:spacing w:val="-34"/>
        </w:rPr>
        <w:t xml:space="preserve"> </w:t>
      </w:r>
      <w:r>
        <w:rPr>
          <w:spacing w:val="-1"/>
        </w:rPr>
        <w:t>，报告中相关数据仅供参考；若市场环境或政策因素发生</w:t>
      </w:r>
      <w:r>
        <w:rPr>
          <w:spacing w:val="-2"/>
        </w:rPr>
        <w:t>不利变化将可</w:t>
      </w:r>
      <w:r>
        <w:t xml:space="preserve"> </w:t>
      </w:r>
      <w:r>
        <w:rPr>
          <w:spacing w:val="-1"/>
        </w:rPr>
        <w:t>能造成行业发展表现不及预期；报告采用的样本数据有限</w:t>
      </w:r>
      <w:r>
        <w:rPr>
          <w:spacing w:val="-35"/>
        </w:rPr>
        <w:t xml:space="preserve"> </w:t>
      </w:r>
      <w:r>
        <w:rPr>
          <w:spacing w:val="-1"/>
        </w:rPr>
        <w:t>，存在样本不足以代表整体市场的风险</w:t>
      </w:r>
      <w:r>
        <w:rPr>
          <w:spacing w:val="-35"/>
        </w:rPr>
        <w:t xml:space="preserve"> </w:t>
      </w:r>
      <w:r>
        <w:rPr>
          <w:spacing w:val="-1"/>
        </w:rPr>
        <w:t>，且数据处理统计方式可能存在误差；报告中结论均基于对</w:t>
      </w:r>
      <w:r>
        <w:rPr>
          <w:spacing w:val="-2"/>
        </w:rPr>
        <w:t>历史客观</w:t>
      </w:r>
      <w:r>
        <w:t xml:space="preserve"> </w:t>
      </w:r>
      <w:r>
        <w:rPr>
          <w:spacing w:val="-2"/>
        </w:rPr>
        <w:t>数据的统计和分析</w:t>
      </w:r>
      <w:r>
        <w:rPr>
          <w:spacing w:val="-35"/>
        </w:rPr>
        <w:t xml:space="preserve"> </w:t>
      </w:r>
      <w:r>
        <w:rPr>
          <w:spacing w:val="-2"/>
        </w:rPr>
        <w:t>，但过往数据并不代表未来表现</w:t>
      </w:r>
      <w:r>
        <w:rPr>
          <w:spacing w:val="-35"/>
        </w:rPr>
        <w:t xml:space="preserve"> </w:t>
      </w:r>
      <w:r>
        <w:rPr>
          <w:spacing w:val="-2"/>
        </w:rPr>
        <w:t>，亦不构</w:t>
      </w:r>
      <w:r>
        <w:rPr>
          <w:spacing w:val="-3"/>
        </w:rPr>
        <w:t>成任何投资意见。</w:t>
      </w:r>
    </w:p>
    <w:p>
      <w:pPr>
        <w:pStyle w:val="BodyText"/>
        <w:spacing w:before="199" w:line="518" w:lineRule="exact"/>
      </w:pPr>
      <w:r>
        <w:rPr>
          <w:position w:val="-11"/>
        </w:rPr>
        <w:pict>
          <v:group id="_x0000_i1028" style="width:959.75pt;height:26.45pt;mso-position-horizontal-relative:char;mso-position-vertical-relative:line" coordorigin="0,0" coordsize="19195,529" filled="f" stroked="f">
            <v:shape id="_x0000_s1029" type="#_x0000_t75" style="width:19195;height:529;position:absolute" filled="f" stroked="f">
              <v:imagedata r:id="rId10" o:title=""/>
            </v:shape>
            <v:shape id="_x0000_s1030" type="#_x0000_t202" style="width:19235;height:56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8" w:line="205" w:lineRule="auto"/>
                      <w:ind w:left="12309"/>
                      <w:rPr>
                        <w:rFonts w:ascii="Arial" w:eastAsia="Arial" w:hAnsi="Arial" w:cs="Arial"/>
                        <w:sz w:val="31"/>
                        <w:szCs w:val="31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15"/>
                        <w:sz w:val="28"/>
                        <w:szCs w:val="28"/>
                      </w:rPr>
                      <w:t xml:space="preserve">请务必阅读报告附注中的风险提示和免责声明   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14"/>
                        <w:sz w:val="28"/>
                        <w:szCs w:val="28"/>
                      </w:rPr>
                      <w:t xml:space="preserve">  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4"/>
                        <w:position w:val="-2"/>
                        <w:sz w:val="31"/>
                        <w:szCs w:val="31"/>
                      </w:rPr>
                      <w:t>2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518" w:lineRule="exact"/>
        <w:sectPr>
          <w:footerReference w:type="default" r:id="rId11"/>
          <w:type w:val="nextPage"/>
          <w:pgSz w:w="19200" w:h="10800"/>
          <w:pgMar w:top="0" w:right="0" w:bottom="1" w:left="0" w:header="0" w:footer="0" w:gutter="0"/>
          <w:pgNumType w:start="5"/>
          <w:cols w:space="708"/>
          <w:titlePg w:val="0"/>
        </w:sectPr>
      </w:pPr>
    </w:p>
    <w:p>
      <w:pPr>
        <w:spacing w:before="12"/>
      </w:pPr>
    </w:p>
    <w:p>
      <w:pPr>
        <w:spacing w:before="12"/>
      </w:pPr>
    </w:p>
    <w:p>
      <w:pPr>
        <w:spacing w:before="12"/>
      </w:pPr>
    </w:p>
    <w:p>
      <w:pPr>
        <w:spacing w:before="12"/>
      </w:pPr>
    </w:p>
    <w:p>
      <w:pPr>
        <w:sectPr>
          <w:footerReference w:type="default" r:id="rId12"/>
          <w:pgSz w:w="19200" w:h="10800"/>
          <w:pgMar w:top="0" w:right="0" w:bottom="101" w:left="0" w:header="0" w:footer="0" w:gutter="0"/>
          <w:pgNumType w:start="6"/>
          <w:cols w:num="1" w:space="708" w:equalWidth="0">
            <w:col w:w="19200" w:space="0"/>
          </w:cols>
        </w:sectPr>
      </w:pPr>
    </w:p>
    <w:p>
      <w:pPr>
        <w:spacing w:line="9272" w:lineRule="exact"/>
      </w:pPr>
      <w:r>
        <w:rPr>
          <w:position w:val="-185"/>
        </w:rPr>
        <w:drawing>
          <wp:inline distT="0" distB="0" distL="0" distR="0">
            <wp:extent cx="2916085" cy="5888177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16085" cy="5888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931" w:lineRule="exact"/>
      </w:pPr>
      <w:r>
        <w:rPr>
          <w:position w:val="-18"/>
        </w:rPr>
        <w:drawing>
          <wp:inline distT="0" distB="0" distL="0" distR="0">
            <wp:extent cx="503701" cy="591251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3701" cy="59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184" w:line="197" w:lineRule="auto"/>
        <w:rPr>
          <w:rFonts w:ascii="Arial" w:eastAsia="Arial" w:hAnsi="Arial" w:cs="Arial"/>
          <w:sz w:val="64"/>
          <w:szCs w:val="64"/>
        </w:rPr>
      </w:pPr>
      <w:r>
        <w:rPr>
          <w:rFonts w:ascii="Arial" w:eastAsia="Arial" w:hAnsi="Arial" w:cs="Arial"/>
          <w:b/>
          <w:bCs/>
          <w:color w:val="005ADC"/>
          <w:spacing w:val="6"/>
          <w:sz w:val="64"/>
          <w:szCs w:val="64"/>
          <w14:textFill>
            <w14:solidFill>
              <w14:srgbClr w14:val="005ADC">
                <w14:alpha w14:val="79999"/>
              </w14:srgbClr>
            </w14:solidFill>
          </w14:textFill>
        </w:rPr>
        <w:t>01.</w:t>
      </w:r>
    </w:p>
    <w:p>
      <w:pPr>
        <w:spacing w:line="344" w:lineRule="auto"/>
        <w:rPr>
          <w:rFonts w:ascii="Arial"/>
          <w:sz w:val="21"/>
        </w:rPr>
      </w:pPr>
    </w:p>
    <w:p>
      <w:pPr>
        <w:spacing w:line="345" w:lineRule="auto"/>
        <w:rPr>
          <w:rFonts w:ascii="Arial"/>
          <w:sz w:val="21"/>
        </w:rPr>
      </w:pPr>
    </w:p>
    <w:p>
      <w:pPr>
        <w:spacing w:before="184" w:line="1481" w:lineRule="exact"/>
        <w:rPr>
          <w:rFonts w:ascii="Arial" w:eastAsia="Arial" w:hAnsi="Arial" w:cs="Arial"/>
          <w:sz w:val="64"/>
          <w:szCs w:val="64"/>
        </w:rPr>
      </w:pPr>
      <w:r>
        <w:rPr>
          <w:rFonts w:ascii="Arial" w:eastAsia="Arial" w:hAnsi="Arial" w:cs="Arial"/>
          <w:b/>
          <w:bCs/>
          <w:color w:val="7F7F7F"/>
          <w:spacing w:val="6"/>
          <w:position w:val="72"/>
          <w:sz w:val="64"/>
          <w:szCs w:val="64"/>
          <w14:textFill>
            <w14:solidFill>
              <w14:srgbClr w14:val="7F7F7F">
                <w14:alpha w14:val="79999"/>
              </w14:srgbClr>
            </w14:solidFill>
          </w14:textFill>
        </w:rPr>
        <w:t>02.</w:t>
      </w:r>
    </w:p>
    <w:p>
      <w:pPr>
        <w:spacing w:before="1" w:line="196" w:lineRule="auto"/>
        <w:rPr>
          <w:rFonts w:ascii="Arial" w:eastAsia="Arial" w:hAnsi="Arial" w:cs="Arial"/>
          <w:sz w:val="64"/>
          <w:szCs w:val="64"/>
        </w:rPr>
      </w:pPr>
      <w:r>
        <w:rPr>
          <w:rFonts w:ascii="Arial" w:eastAsia="Arial" w:hAnsi="Arial" w:cs="Arial"/>
          <w:b/>
          <w:bCs/>
          <w:color w:val="7F7F7F"/>
          <w:spacing w:val="6"/>
          <w:sz w:val="64"/>
          <w:szCs w:val="64"/>
          <w14:textFill>
            <w14:solidFill>
              <w14:srgbClr w14:val="7F7F7F">
                <w14:alpha w14:val="79999"/>
              </w14:srgbClr>
            </w14:solidFill>
          </w14:textFill>
        </w:rPr>
        <w:t>03.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85" w:line="197" w:lineRule="auto"/>
        <w:rPr>
          <w:rFonts w:ascii="Arial" w:eastAsia="Arial" w:hAnsi="Arial" w:cs="Arial"/>
          <w:sz w:val="64"/>
          <w:szCs w:val="64"/>
        </w:rPr>
      </w:pPr>
      <w:r>
        <w:rPr>
          <w:rFonts w:ascii="Arial" w:eastAsia="Arial" w:hAnsi="Arial" w:cs="Arial"/>
          <w:b/>
          <w:bCs/>
          <w:color w:val="7F7F7F"/>
          <w:spacing w:val="6"/>
          <w:sz w:val="64"/>
          <w:szCs w:val="64"/>
          <w14:textFill>
            <w14:solidFill>
              <w14:srgbClr w14:val="7F7F7F">
                <w14:alpha w14:val="79999"/>
              </w14:srgbClr>
            </w14:solidFill>
          </w14:textFill>
        </w:rPr>
        <w:t>04.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924" w:lineRule="exact"/>
        <w:ind w:firstLine="259"/>
      </w:pPr>
      <w:r>
        <w:rPr>
          <w:position w:val="-18"/>
        </w:rPr>
        <w:drawing>
          <wp:inline distT="0" distB="0" distL="0" distR="0">
            <wp:extent cx="48739" cy="58662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739" cy="5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924" w:lineRule="exact"/>
        <w:ind w:firstLine="259"/>
      </w:pPr>
      <w:r>
        <w:rPr>
          <w:position w:val="-18"/>
        </w:rPr>
        <w:drawing>
          <wp:inline distT="0" distB="0" distL="0" distR="0">
            <wp:extent cx="48739" cy="58662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739" cy="5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924" w:lineRule="exact"/>
        <w:ind w:firstLine="259"/>
      </w:pPr>
      <w:r>
        <w:rPr>
          <w:position w:val="-18"/>
        </w:rPr>
        <w:drawing>
          <wp:inline distT="0" distB="0" distL="0" distR="0">
            <wp:extent cx="48739" cy="586624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739" cy="586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line="924" w:lineRule="exact"/>
        <w:ind w:firstLine="259"/>
      </w:pPr>
      <w:r>
        <w:rPr>
          <w:position w:val="-18"/>
        </w:rPr>
        <w:drawing>
          <wp:inline distT="0" distB="0" distL="0" distR="0">
            <wp:extent cx="48739" cy="586624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739" cy="586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pStyle w:val="BodyText"/>
        <w:spacing w:before="150" w:line="187" w:lineRule="auto"/>
        <w:ind w:left="1"/>
        <w:rPr>
          <w:sz w:val="35"/>
          <w:szCs w:val="35"/>
        </w:rPr>
      </w:pPr>
      <w:r>
        <w:rPr>
          <w:b/>
          <w:bCs/>
          <w:color w:val="005ADC"/>
          <w:spacing w:val="9"/>
          <w:sz w:val="35"/>
          <w:szCs w:val="35"/>
        </w:rPr>
        <w:t>格局概览：美国资管机构转型路径总结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pStyle w:val="BodyText"/>
        <w:spacing w:before="151" w:line="187" w:lineRule="auto"/>
        <w:rPr>
          <w:sz w:val="35"/>
          <w:szCs w:val="35"/>
        </w:rPr>
      </w:pPr>
      <w:r>
        <w:rPr>
          <w:spacing w:val="9"/>
          <w:sz w:val="35"/>
          <w:szCs w:val="35"/>
        </w:rPr>
        <w:t>他山之石：扩张稳定机构案例深层剖析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pStyle w:val="BodyText"/>
        <w:spacing w:before="150" w:line="187" w:lineRule="auto"/>
        <w:ind w:left="14"/>
        <w:rPr>
          <w:sz w:val="35"/>
          <w:szCs w:val="35"/>
        </w:rPr>
      </w:pPr>
      <w:r>
        <w:rPr>
          <w:spacing w:val="8"/>
          <w:sz w:val="35"/>
          <w:szCs w:val="35"/>
        </w:rPr>
        <w:t>以史为镜：扩张放缓机构案例总结借鉴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pStyle w:val="BodyText"/>
        <w:spacing w:before="150" w:line="188" w:lineRule="auto"/>
        <w:ind w:left="4"/>
        <w:rPr>
          <w:sz w:val="35"/>
          <w:szCs w:val="35"/>
        </w:rPr>
        <w:sectPr>
          <w:footerReference w:type="default" r:id="rId19"/>
          <w:type w:val="continuous"/>
          <w:pgSz w:w="19200" w:h="10800"/>
          <w:pgMar w:top="0" w:right="0" w:bottom="101" w:left="0" w:header="0" w:footer="0" w:gutter="0"/>
          <w:pgNumType w:start="7"/>
          <w:cols w:num="5" w:space="708" w:equalWidth="0">
            <w:col w:w="6034" w:space="100"/>
            <w:col w:w="1226" w:space="100"/>
            <w:col w:w="982" w:space="100"/>
            <w:col w:w="720" w:space="0"/>
            <w:col w:w="9941" w:space="0"/>
          </w:cols>
        </w:sectPr>
      </w:pPr>
      <w:r>
        <w:rPr>
          <w:spacing w:val="8"/>
          <w:sz w:val="35"/>
          <w:szCs w:val="35"/>
        </w:rPr>
        <w:t>经验启示：</w:t>
      </w:r>
      <w:r>
        <w:rPr>
          <w:spacing w:val="-64"/>
          <w:sz w:val="35"/>
          <w:szCs w:val="35"/>
        </w:rPr>
        <w:t xml:space="preserve"> </w:t>
      </w:r>
      <w:r>
        <w:rPr>
          <w:spacing w:val="8"/>
          <w:sz w:val="35"/>
          <w:szCs w:val="35"/>
        </w:rPr>
        <w:t>降费转型背景下我国资管机构如何守正出奇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pStyle w:val="BodyText"/>
        <w:spacing w:before="120" w:line="270" w:lineRule="exact"/>
        <w:ind w:left="3022"/>
        <w:rPr>
          <w:rFonts w:ascii="Arial" w:eastAsia="Arial" w:hAnsi="Arial" w:cs="Arial"/>
          <w:sz w:val="31"/>
          <w:szCs w:val="31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-5880023</wp:posOffset>
            </wp:positionH>
            <wp:positionV relativeFrom="paragraph">
              <wp:posOffset>-18109</wp:posOffset>
            </wp:positionV>
            <wp:extent cx="12188558" cy="335369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88558" cy="335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15"/>
          <w:position w:val="-2"/>
          <w:sz w:val="28"/>
          <w:szCs w:val="28"/>
        </w:rPr>
        <w:t xml:space="preserve">请务必阅读报告附注中的风险提示和免责声明       </w:t>
      </w:r>
      <w:r>
        <w:rPr>
          <w:rFonts w:ascii="Arial" w:eastAsia="Arial" w:hAnsi="Arial" w:cs="Arial"/>
          <w:color w:val="FFFFFF"/>
          <w:spacing w:val="15"/>
          <w:position w:val="-2"/>
          <w:sz w:val="31"/>
          <w:szCs w:val="31"/>
        </w:rPr>
        <w:t>3</w:t>
      </w:r>
    </w:p>
    <w:p>
      <w:pPr>
        <w:spacing w:line="270" w:lineRule="exact"/>
        <w:rPr>
          <w:rFonts w:ascii="Arial" w:eastAsia="Arial" w:hAnsi="Arial" w:cs="Arial"/>
          <w:sz w:val="31"/>
          <w:szCs w:val="31"/>
        </w:rPr>
        <w:sectPr>
          <w:footerReference w:type="default" r:id="rId20"/>
          <w:type w:val="nextPage"/>
          <w:pgSz w:w="19200" w:h="10800"/>
          <w:pgMar w:top="0" w:right="0" w:bottom="101" w:left="0" w:header="0" w:footer="0" w:gutter="0"/>
          <w:pgNumType w:start="8"/>
          <w:cols w:num="5" w:space="708" w:equalWidth="0">
            <w:col w:w="6034" w:space="100"/>
            <w:col w:w="1226" w:space="100"/>
            <w:col w:w="982" w:space="100"/>
            <w:col w:w="720" w:space="0"/>
            <w:col w:w="9941" w:space="0"/>
          </w:cols>
          <w:titlePg w:val="0"/>
        </w:sectPr>
      </w:pPr>
    </w:p>
    <w:p>
      <w:pPr>
        <w:pStyle w:val="BodyText"/>
        <w:spacing w:before="307" w:line="186" w:lineRule="auto"/>
        <w:ind w:left="147"/>
        <w:rPr>
          <w:sz w:val="47"/>
          <w:szCs w:val="47"/>
        </w:rPr>
      </w:pPr>
      <w:r>
        <mc:AlternateContent>
          <mc:Choice Requires="wps">
            <w:drawing>
              <wp:anchor distT="0" distB="0" distL="0" distR="0" simplePos="0" relativeHeight="251722752" behindDoc="0" locked="0" layoutInCell="0" allowOverlap="1">
                <wp:simplePos x="0" y="0"/>
                <wp:positionH relativeFrom="page">
                  <wp:posOffset>1384822</wp:posOffset>
                </wp:positionH>
                <wp:positionV relativeFrom="page">
                  <wp:posOffset>4901755</wp:posOffset>
                </wp:positionV>
                <wp:extent cx="213995" cy="123825"/>
                <wp:effectExtent l="0" t="0" r="0" b="0"/>
                <wp:wrapNone/>
                <wp:docPr id="24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1384822" y="4901755"/>
                          <a:ext cx="213995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1"/>
                                <w:sz w:val="13"/>
                                <w:szCs w:val="13"/>
                              </w:rPr>
                              <w:t>1960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4" o:spid="_x0000_s1031" type="#_x0000_t202" style="width:16.85pt;height:9.75pt;margin-top:385.96pt;margin-left:109.04pt;mso-position-horizontal-relative:page;mso-position-vertical-relative:page;mso-wrap-distance-bottom:0;mso-wrap-distance-left:0;mso-wrap-distance-right:0;mso-wrap-distance-top:0;position:absolute;rotation:270;v-text-anchor:top;z-index:251721728" o:allowincell="f" filled="f" fillcolor="this" stroked="f">
                <v:textbox inset="0,0,0,0">
                  <w:txbxContent>
                    <w:p>
                      <w:pPr>
                        <w:spacing w:before="45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1"/>
                          <w:sz w:val="13"/>
                          <w:szCs w:val="13"/>
                        </w:rPr>
                        <w:t>1960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14560" behindDoc="0" locked="0" layoutInCell="0" allowOverlap="1">
                <wp:simplePos x="0" y="0"/>
                <wp:positionH relativeFrom="page">
                  <wp:posOffset>1847146</wp:posOffset>
                </wp:positionH>
                <wp:positionV relativeFrom="page">
                  <wp:posOffset>4901751</wp:posOffset>
                </wp:positionV>
                <wp:extent cx="213995" cy="123825"/>
                <wp:effectExtent l="0" t="0" r="0" b="0"/>
                <wp:wrapNone/>
                <wp:docPr id="26" name="TextBox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1847146" y="4901751"/>
                          <a:ext cx="213995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6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1"/>
                                <w:sz w:val="13"/>
                                <w:szCs w:val="13"/>
                              </w:rPr>
                              <w:t>1963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6" o:spid="_x0000_s1032" type="#_x0000_t202" style="width:16.85pt;height:9.75pt;margin-top:385.96pt;margin-left:145.44pt;mso-position-horizontal-relative:page;mso-position-vertical-relative:page;mso-wrap-distance-bottom:0;mso-wrap-distance-left:0;mso-wrap-distance-right:0;mso-wrap-distance-top:0;position:absolute;rotation:270;v-text-anchor:top;z-index:251713536" o:allowincell="f" filled="f" fillcolor="this" stroked="f">
                <v:textbox inset="0,0,0,0">
                  <w:txbxContent>
                    <w:p>
                      <w:pPr>
                        <w:spacing w:before="46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1"/>
                          <w:sz w:val="13"/>
                          <w:szCs w:val="13"/>
                        </w:rPr>
                        <w:t>1963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26848" behindDoc="0" locked="0" layoutInCell="0" allowOverlap="1">
                <wp:simplePos x="0" y="0"/>
                <wp:positionH relativeFrom="page">
                  <wp:posOffset>2310017</wp:posOffset>
                </wp:positionH>
                <wp:positionV relativeFrom="page">
                  <wp:posOffset>4901755</wp:posOffset>
                </wp:positionV>
                <wp:extent cx="213995" cy="123825"/>
                <wp:effectExtent l="0" t="0" r="0" b="0"/>
                <wp:wrapNone/>
                <wp:docPr id="28" name="TextBox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310017" y="4901755"/>
                          <a:ext cx="213995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1"/>
                                <w:sz w:val="13"/>
                                <w:szCs w:val="13"/>
                              </w:rPr>
                              <w:t>1966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8" o:spid="_x0000_s1033" type="#_x0000_t202" style="width:16.85pt;height:9.75pt;margin-top:385.96pt;margin-left:181.89pt;mso-position-horizontal-relative:page;mso-position-vertical-relative:page;mso-wrap-distance-bottom:0;mso-wrap-distance-left:0;mso-wrap-distance-right:0;mso-wrap-distance-top:0;position:absolute;rotation:270;v-text-anchor:top;z-index:251725824" o:allowincell="f" filled="f" fillcolor="this" stroked="f">
                <v:textbox inset="0,0,0,0">
                  <w:txbxContent>
                    <w:p>
                      <w:pPr>
                        <w:spacing w:before="45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1"/>
                          <w:sz w:val="13"/>
                          <w:szCs w:val="13"/>
                        </w:rPr>
                        <w:t>1966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24800" behindDoc="0" locked="0" layoutInCell="0" allowOverlap="1">
                <wp:simplePos x="0" y="0"/>
                <wp:positionH relativeFrom="page">
                  <wp:posOffset>2772932</wp:posOffset>
                </wp:positionH>
                <wp:positionV relativeFrom="page">
                  <wp:posOffset>4901755</wp:posOffset>
                </wp:positionV>
                <wp:extent cx="213995" cy="123825"/>
                <wp:effectExtent l="0" t="0" r="0" b="0"/>
                <wp:wrapNone/>
                <wp:docPr id="30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772932" y="4901755"/>
                          <a:ext cx="213995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1"/>
                                <w:sz w:val="13"/>
                                <w:szCs w:val="13"/>
                              </w:rPr>
                              <w:t>1969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0" o:spid="_x0000_s1034" type="#_x0000_t202" style="width:16.85pt;height:9.75pt;margin-top:385.96pt;margin-left:218.34pt;mso-position-horizontal-relative:page;mso-position-vertical-relative:page;mso-wrap-distance-bottom:0;mso-wrap-distance-left:0;mso-wrap-distance-right:0;mso-wrap-distance-top:0;position:absolute;rotation:270;v-text-anchor:top;z-index:251723776" o:allowincell="f" filled="f" fillcolor="this" stroked="f">
                <v:textbox inset="0,0,0,0">
                  <w:txbxContent>
                    <w:p>
                      <w:pPr>
                        <w:spacing w:before="45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1"/>
                          <w:sz w:val="13"/>
                          <w:szCs w:val="13"/>
                        </w:rPr>
                        <w:t>1969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1312" behindDoc="1" locked="0" layoutInCell="0" allowOverlap="1">
                <wp:simplePos x="0" y="0"/>
                <wp:positionH relativeFrom="page">
                  <wp:posOffset>3432048</wp:posOffset>
                </wp:positionH>
                <wp:positionV relativeFrom="page">
                  <wp:posOffset>4774691</wp:posOffset>
                </wp:positionV>
                <wp:extent cx="7467600" cy="692150"/>
                <wp:effectExtent l="0" t="0" r="0" b="0"/>
                <wp:wrapNone/>
                <wp:docPr id="32" name="Rect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3432048" y="4774691"/>
                          <a:ext cx="7467600" cy="6921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32" o:spid="_x0000_s1035" style="width:588pt;height:54.5pt;margin-top:375.96pt;margin-left:270.24pt;mso-position-horizontal-relative:page;mso-position-vertical-relative:page;mso-wrap-distance-bottom:0;mso-wrap-distance-left:0;mso-wrap-distance-right:0;mso-wrap-distance-top:0;position:absolute;v-text-anchor:top;z-index:-251656192" o:allowincell="f" fillcolor="#f2f2f2" stroked="f"/>
            </w:pict>
          </mc:Fallback>
        </mc:AlternateContent>
      </w:r>
      <w:r>
        <w:pict>
          <v:rect id="_x0000_s1036" style="width:0.6pt;height:237.45pt;margin-top:188.13pt;margin-left:650.57pt;mso-position-horizontal-relative:page;mso-position-vertical-relative:page;position:absolute;z-index:251674624" o:allowincell="f" filled="t" fillcolor="#7f7f7f" stroked="f"/>
        </w:pict>
      </w:r>
      <w:r>
        <w:pict>
          <v:rect id="_x0000_s1037" style="width:0.6pt;height:237.45pt;margin-top:188.13pt;margin-left:457.79pt;mso-position-horizontal-relative:page;mso-position-vertical-relative:page;position:absolute;z-index:251672576" o:allowincell="f" filled="t" fillcolor="#7f7f7f" stroked="f"/>
        </w:pict>
      </w:r>
      <w:r>
        <mc:AlternateContent>
          <mc:Choice Requires="wps">
            <w:drawing>
              <wp:anchor distT="0" distB="0" distL="0" distR="0" simplePos="0" relativeHeight="251741184" behindDoc="0" locked="0" layoutInCell="0" allowOverlap="1">
                <wp:simplePos x="0" y="0"/>
                <wp:positionH relativeFrom="page">
                  <wp:posOffset>3235847</wp:posOffset>
                </wp:positionH>
                <wp:positionV relativeFrom="page">
                  <wp:posOffset>4901755</wp:posOffset>
                </wp:positionV>
                <wp:extent cx="213995" cy="123825"/>
                <wp:effectExtent l="0" t="0" r="0" b="0"/>
                <wp:wrapNone/>
                <wp:docPr id="34" name="TextBox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3235847" y="4901755"/>
                          <a:ext cx="213995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1"/>
                                <w:sz w:val="13"/>
                                <w:szCs w:val="13"/>
                              </w:rPr>
                              <w:t>1972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4" o:spid="_x0000_s1038" type="#_x0000_t202" style="width:16.85pt;height:9.75pt;margin-top:385.96pt;margin-left:254.79pt;mso-position-horizontal-relative:page;mso-position-vertical-relative:page;mso-wrap-distance-bottom:0;mso-wrap-distance-left:0;mso-wrap-distance-right:0;mso-wrap-distance-top:0;position:absolute;rotation:270;v-text-anchor:top;z-index:251740160" o:allowincell="f" filled="f" fillcolor="this" stroked="f">
                <v:textbox inset="0,0,0,0">
                  <w:txbxContent>
                    <w:p>
                      <w:pPr>
                        <w:spacing w:before="45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1"/>
                          <w:sz w:val="13"/>
                          <w:szCs w:val="13"/>
                        </w:rPr>
                        <w:t>1972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30944" behindDoc="0" locked="0" layoutInCell="0" allowOverlap="1">
                <wp:simplePos x="0" y="0"/>
                <wp:positionH relativeFrom="page">
                  <wp:posOffset>3698127</wp:posOffset>
                </wp:positionH>
                <wp:positionV relativeFrom="page">
                  <wp:posOffset>4901755</wp:posOffset>
                </wp:positionV>
                <wp:extent cx="213995" cy="123825"/>
                <wp:effectExtent l="0" t="0" r="0" b="0"/>
                <wp:wrapNone/>
                <wp:docPr id="36" name="TextBox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3698127" y="4901755"/>
                          <a:ext cx="213995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1"/>
                                <w:sz w:val="13"/>
                                <w:szCs w:val="13"/>
                              </w:rPr>
                              <w:t>1975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6" o:spid="_x0000_s1039" type="#_x0000_t202" style="width:16.85pt;height:9.75pt;margin-top:385.96pt;margin-left:291.19pt;mso-position-horizontal-relative:page;mso-position-vertical-relative:page;mso-wrap-distance-bottom:0;mso-wrap-distance-left:0;mso-wrap-distance-right:0;mso-wrap-distance-top:0;position:absolute;rotation:270;v-text-anchor:top;z-index:251729920" o:allowincell="f" filled="f" fillcolor="this" stroked="f">
                <v:textbox inset="0,0,0,0">
                  <w:txbxContent>
                    <w:p>
                      <w:pPr>
                        <w:spacing w:before="45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1"/>
                          <w:sz w:val="13"/>
                          <w:szCs w:val="13"/>
                        </w:rPr>
                        <w:t>1975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37088" behindDoc="0" locked="0" layoutInCell="0" allowOverlap="1">
                <wp:simplePos x="0" y="0"/>
                <wp:positionH relativeFrom="page">
                  <wp:posOffset>4161042</wp:posOffset>
                </wp:positionH>
                <wp:positionV relativeFrom="page">
                  <wp:posOffset>4901755</wp:posOffset>
                </wp:positionV>
                <wp:extent cx="213995" cy="123825"/>
                <wp:effectExtent l="0" t="0" r="0" b="0"/>
                <wp:wrapNone/>
                <wp:docPr id="38" name="TextBox 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4161042" y="4901755"/>
                          <a:ext cx="213995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1"/>
                                <w:sz w:val="13"/>
                                <w:szCs w:val="13"/>
                              </w:rPr>
                              <w:t>1978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8" o:spid="_x0000_s1040" type="#_x0000_t202" style="width:16.85pt;height:9.75pt;margin-top:385.96pt;margin-left:327.64pt;mso-position-horizontal-relative:page;mso-position-vertical-relative:page;mso-wrap-distance-bottom:0;mso-wrap-distance-left:0;mso-wrap-distance-right:0;mso-wrap-distance-top:0;position:absolute;rotation:270;v-text-anchor:top;z-index:251736064" o:allowincell="f" filled="f" fillcolor="this" stroked="f">
                <v:textbox inset="0,0,0,0">
                  <w:txbxContent>
                    <w:p>
                      <w:pPr>
                        <w:spacing w:before="45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1"/>
                          <w:sz w:val="13"/>
                          <w:szCs w:val="13"/>
                        </w:rPr>
                        <w:t>1978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39136" behindDoc="0" locked="0" layoutInCell="0" allowOverlap="1">
                <wp:simplePos x="0" y="0"/>
                <wp:positionH relativeFrom="page">
                  <wp:posOffset>4623956</wp:posOffset>
                </wp:positionH>
                <wp:positionV relativeFrom="page">
                  <wp:posOffset>4901755</wp:posOffset>
                </wp:positionV>
                <wp:extent cx="213995" cy="123825"/>
                <wp:effectExtent l="0" t="0" r="0" b="0"/>
                <wp:wrapNone/>
                <wp:docPr id="40" name="TextBox 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4623956" y="4901755"/>
                          <a:ext cx="213995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1"/>
                                <w:sz w:val="13"/>
                                <w:szCs w:val="13"/>
                              </w:rPr>
                              <w:t>1981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0" o:spid="_x0000_s1041" type="#_x0000_t202" style="width:16.85pt;height:9.75pt;margin-top:385.96pt;margin-left:364.09pt;mso-position-horizontal-relative:page;mso-position-vertical-relative:page;mso-wrap-distance-bottom:0;mso-wrap-distance-left:0;mso-wrap-distance-right:0;mso-wrap-distance-top:0;position:absolute;rotation:270;v-text-anchor:top;z-index:251738112" o:allowincell="f" filled="f" fillcolor="this" stroked="f">
                <v:textbox inset="0,0,0,0">
                  <w:txbxContent>
                    <w:p>
                      <w:pPr>
                        <w:spacing w:before="45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1"/>
                          <w:sz w:val="13"/>
                          <w:szCs w:val="13"/>
                        </w:rPr>
                        <w:t>1981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35040" behindDoc="0" locked="0" layoutInCell="0" allowOverlap="1">
                <wp:simplePos x="0" y="0"/>
                <wp:positionH relativeFrom="page">
                  <wp:posOffset>5086872</wp:posOffset>
                </wp:positionH>
                <wp:positionV relativeFrom="page">
                  <wp:posOffset>4901755</wp:posOffset>
                </wp:positionV>
                <wp:extent cx="213995" cy="123825"/>
                <wp:effectExtent l="0" t="0" r="0" b="0"/>
                <wp:wrapNone/>
                <wp:docPr id="42" name="TextBox 4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5086872" y="4901755"/>
                          <a:ext cx="213995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1"/>
                                <w:sz w:val="13"/>
                                <w:szCs w:val="13"/>
                              </w:rPr>
                              <w:t>1984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2" o:spid="_x0000_s1042" type="#_x0000_t202" style="width:16.85pt;height:9.75pt;margin-top:385.96pt;margin-left:400.54pt;mso-position-horizontal-relative:page;mso-position-vertical-relative:page;mso-wrap-distance-bottom:0;mso-wrap-distance-left:0;mso-wrap-distance-right:0;mso-wrap-distance-top:0;position:absolute;rotation:270;v-text-anchor:top;z-index:251734016" o:allowincell="f" filled="f" fillcolor="this" stroked="f">
                <v:textbox inset="0,0,0,0">
                  <w:txbxContent>
                    <w:p>
                      <w:pPr>
                        <w:spacing w:before="45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1"/>
                          <w:sz w:val="13"/>
                          <w:szCs w:val="13"/>
                        </w:rPr>
                        <w:t>1984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32992" behindDoc="0" locked="0" layoutInCell="0" allowOverlap="1">
                <wp:simplePos x="0" y="0"/>
                <wp:positionH relativeFrom="page">
                  <wp:posOffset>5549787</wp:posOffset>
                </wp:positionH>
                <wp:positionV relativeFrom="page">
                  <wp:posOffset>4901755</wp:posOffset>
                </wp:positionV>
                <wp:extent cx="213995" cy="123825"/>
                <wp:effectExtent l="0" t="0" r="0" b="0"/>
                <wp:wrapNone/>
                <wp:docPr id="44" name="TextBox 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5549787" y="4901755"/>
                          <a:ext cx="213995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1"/>
                                <w:sz w:val="13"/>
                                <w:szCs w:val="13"/>
                              </w:rPr>
                              <w:t>1987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4" o:spid="_x0000_s1043" type="#_x0000_t202" style="width:16.85pt;height:9.75pt;margin-top:385.96pt;margin-left:436.99pt;mso-position-horizontal-relative:page;mso-position-vertical-relative:page;mso-wrap-distance-bottom:0;mso-wrap-distance-left:0;mso-wrap-distance-right:0;mso-wrap-distance-top:0;position:absolute;rotation:270;v-text-anchor:top;z-index:251731968" o:allowincell="f" filled="f" fillcolor="this" stroked="f">
                <v:textbox inset="0,0,0,0">
                  <w:txbxContent>
                    <w:p>
                      <w:pPr>
                        <w:spacing w:before="45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1"/>
                          <w:sz w:val="13"/>
                          <w:szCs w:val="13"/>
                        </w:rPr>
                        <w:t>1987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28896" behindDoc="0" locked="0" layoutInCell="0" allowOverlap="1">
                <wp:simplePos x="0" y="0"/>
                <wp:positionH relativeFrom="page">
                  <wp:posOffset>6012067</wp:posOffset>
                </wp:positionH>
                <wp:positionV relativeFrom="page">
                  <wp:posOffset>4901755</wp:posOffset>
                </wp:positionV>
                <wp:extent cx="213995" cy="123825"/>
                <wp:effectExtent l="0" t="0" r="0" b="0"/>
                <wp:wrapNone/>
                <wp:docPr id="46" name="TextBox 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6012067" y="4901755"/>
                          <a:ext cx="213995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1"/>
                                <w:sz w:val="13"/>
                                <w:szCs w:val="13"/>
                              </w:rPr>
                              <w:t>1990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6" o:spid="_x0000_s1044" type="#_x0000_t202" style="width:16.85pt;height:9.75pt;margin-top:385.96pt;margin-left:473.39pt;mso-position-horizontal-relative:page;mso-position-vertical-relative:page;mso-wrap-distance-bottom:0;mso-wrap-distance-left:0;mso-wrap-distance-right:0;mso-wrap-distance-top:0;position:absolute;rotation:270;v-text-anchor:top;z-index:251727872" o:allowincell="f" filled="f" fillcolor="this" stroked="f">
                <v:textbox inset="0,0,0,0">
                  <w:txbxContent>
                    <w:p>
                      <w:pPr>
                        <w:spacing w:before="45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1"/>
                          <w:sz w:val="13"/>
                          <w:szCs w:val="13"/>
                        </w:rPr>
                        <w:t>1990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16608" behindDoc="0" locked="0" layoutInCell="0" allowOverlap="1">
                <wp:simplePos x="0" y="0"/>
                <wp:positionH relativeFrom="page">
                  <wp:posOffset>6475026</wp:posOffset>
                </wp:positionH>
                <wp:positionV relativeFrom="page">
                  <wp:posOffset>4901751</wp:posOffset>
                </wp:positionV>
                <wp:extent cx="213995" cy="123825"/>
                <wp:effectExtent l="0" t="0" r="0" b="0"/>
                <wp:wrapNone/>
                <wp:docPr id="48" name="TextBox 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6475026" y="4901751"/>
                          <a:ext cx="213995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6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1"/>
                                <w:sz w:val="13"/>
                                <w:szCs w:val="13"/>
                              </w:rPr>
                              <w:t>1993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8" o:spid="_x0000_s1045" type="#_x0000_t202" style="width:16.85pt;height:9.75pt;margin-top:385.96pt;margin-left:509.84pt;mso-position-horizontal-relative:page;mso-position-vertical-relative:page;mso-wrap-distance-bottom:0;mso-wrap-distance-left:0;mso-wrap-distance-right:0;mso-wrap-distance-top:0;position:absolute;rotation:270;v-text-anchor:top;z-index:251715584" o:allowincell="f" filled="f" fillcolor="this" stroked="f">
                <v:textbox inset="0,0,0,0">
                  <w:txbxContent>
                    <w:p>
                      <w:pPr>
                        <w:spacing w:before="46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1"/>
                          <w:sz w:val="13"/>
                          <w:szCs w:val="13"/>
                        </w:rPr>
                        <w:t>1993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20704" behindDoc="0" locked="0" layoutInCell="0" allowOverlap="1">
                <wp:simplePos x="0" y="0"/>
                <wp:positionH relativeFrom="page">
                  <wp:posOffset>6937897</wp:posOffset>
                </wp:positionH>
                <wp:positionV relativeFrom="page">
                  <wp:posOffset>4901755</wp:posOffset>
                </wp:positionV>
                <wp:extent cx="213995" cy="123825"/>
                <wp:effectExtent l="0" t="0" r="0" b="0"/>
                <wp:wrapNone/>
                <wp:docPr id="50" name="TextBox 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6937897" y="4901755"/>
                          <a:ext cx="213995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1"/>
                                <w:sz w:val="13"/>
                                <w:szCs w:val="13"/>
                              </w:rPr>
                              <w:t>1996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0" o:spid="_x0000_s1046" type="#_x0000_t202" style="width:16.85pt;height:9.75pt;margin-top:385.96pt;margin-left:546.29pt;mso-position-horizontal-relative:page;mso-position-vertical-relative:page;mso-wrap-distance-bottom:0;mso-wrap-distance-left:0;mso-wrap-distance-right:0;mso-wrap-distance-top:0;position:absolute;rotation:270;v-text-anchor:top;z-index:251719680" o:allowincell="f" filled="f" fillcolor="this" stroked="f">
                <v:textbox inset="0,0,0,0">
                  <w:txbxContent>
                    <w:p>
                      <w:pPr>
                        <w:spacing w:before="45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1"/>
                          <w:sz w:val="13"/>
                          <w:szCs w:val="13"/>
                        </w:rPr>
                        <w:t>1996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18656" behindDoc="0" locked="0" layoutInCell="0" allowOverlap="1">
                <wp:simplePos x="0" y="0"/>
                <wp:positionH relativeFrom="page">
                  <wp:posOffset>7400811</wp:posOffset>
                </wp:positionH>
                <wp:positionV relativeFrom="page">
                  <wp:posOffset>4901755</wp:posOffset>
                </wp:positionV>
                <wp:extent cx="213995" cy="123825"/>
                <wp:effectExtent l="0" t="0" r="0" b="0"/>
                <wp:wrapNone/>
                <wp:docPr id="52" name="TextBox 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7400811" y="4901755"/>
                          <a:ext cx="213995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1"/>
                                <w:sz w:val="13"/>
                                <w:szCs w:val="13"/>
                              </w:rPr>
                              <w:t>1999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2" o:spid="_x0000_s1047" type="#_x0000_t202" style="width:16.85pt;height:9.75pt;margin-top:385.96pt;margin-left:582.74pt;mso-position-horizontal-relative:page;mso-position-vertical-relative:page;mso-wrap-distance-bottom:0;mso-wrap-distance-left:0;mso-wrap-distance-right:0;mso-wrap-distance-top:0;position:absolute;rotation:270;v-text-anchor:top;z-index:251717632" o:allowincell="f" filled="f" fillcolor="this" stroked="f">
                <v:textbox inset="0,0,0,0">
                  <w:txbxContent>
                    <w:p>
                      <w:pPr>
                        <w:spacing w:before="45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1"/>
                          <w:sz w:val="13"/>
                          <w:szCs w:val="13"/>
                        </w:rPr>
                        <w:t>1999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2272" behindDoc="0" locked="0" layoutInCell="0" allowOverlap="1">
                <wp:simplePos x="0" y="0"/>
                <wp:positionH relativeFrom="page">
                  <wp:posOffset>7860196</wp:posOffset>
                </wp:positionH>
                <wp:positionV relativeFrom="page">
                  <wp:posOffset>4905286</wp:posOffset>
                </wp:positionV>
                <wp:extent cx="220979" cy="123825"/>
                <wp:effectExtent l="0" t="0" r="0" b="0"/>
                <wp:wrapNone/>
                <wp:docPr id="54" name="TextBox 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7860196" y="4905286"/>
                          <a:ext cx="220979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4"/>
                                <w:sz w:val="13"/>
                                <w:szCs w:val="13"/>
                              </w:rPr>
                              <w:t>2002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4" o:spid="_x0000_s1048" type="#_x0000_t202" style="width:17.4pt;height:9.75pt;margin-top:386.24pt;margin-left:618.91pt;mso-position-horizontal-relative:page;mso-position-vertical-relative:page;mso-wrap-distance-bottom:0;mso-wrap-distance-left:0;mso-wrap-distance-right:0;mso-wrap-distance-top:0;position:absolute;rotation:270;v-text-anchor:top;z-index:251701248" o:allowincell="f" filled="f" fillcolor="this" stroked="f">
                <v:textbox inset="0,0,0,0">
                  <w:txbxContent>
                    <w:p>
                      <w:pPr>
                        <w:spacing w:before="45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4"/>
                          <w:sz w:val="13"/>
                          <w:szCs w:val="13"/>
                        </w:rPr>
                        <w:t>2002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0224" behindDoc="0" locked="0" layoutInCell="0" allowOverlap="1">
                <wp:simplePos x="0" y="0"/>
                <wp:positionH relativeFrom="page">
                  <wp:posOffset>8322477</wp:posOffset>
                </wp:positionH>
                <wp:positionV relativeFrom="page">
                  <wp:posOffset>4905286</wp:posOffset>
                </wp:positionV>
                <wp:extent cx="220979" cy="123825"/>
                <wp:effectExtent l="0" t="0" r="0" b="0"/>
                <wp:wrapNone/>
                <wp:docPr id="56" name="TextBox 5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8322477" y="4905286"/>
                          <a:ext cx="220979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4"/>
                                <w:sz w:val="13"/>
                                <w:szCs w:val="13"/>
                              </w:rPr>
                              <w:t>2005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6" o:spid="_x0000_s1049" type="#_x0000_t202" style="width:17.4pt;height:9.75pt;margin-top:386.24pt;margin-left:655.31pt;mso-position-horizontal-relative:page;mso-position-vertical-relative:page;mso-wrap-distance-bottom:0;mso-wrap-distance-left:0;mso-wrap-distance-right:0;mso-wrap-distance-top:0;position:absolute;rotation:270;v-text-anchor:top;z-index:251699200" o:allowincell="f" filled="f" fillcolor="this" stroked="f">
                <v:textbox inset="0,0,0,0">
                  <w:txbxContent>
                    <w:p>
                      <w:pPr>
                        <w:spacing w:before="45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4"/>
                          <w:sz w:val="13"/>
                          <w:szCs w:val="13"/>
                        </w:rPr>
                        <w:t>2005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6368" behindDoc="0" locked="0" layoutInCell="0" allowOverlap="1">
                <wp:simplePos x="0" y="0"/>
                <wp:positionH relativeFrom="page">
                  <wp:posOffset>8785391</wp:posOffset>
                </wp:positionH>
                <wp:positionV relativeFrom="page">
                  <wp:posOffset>4905286</wp:posOffset>
                </wp:positionV>
                <wp:extent cx="220979" cy="123825"/>
                <wp:effectExtent l="0" t="0" r="0" b="0"/>
                <wp:wrapNone/>
                <wp:docPr id="58" name="TextBox 5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8785391" y="4905286"/>
                          <a:ext cx="220979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4"/>
                                <w:sz w:val="13"/>
                                <w:szCs w:val="13"/>
                              </w:rPr>
                              <w:t>2008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8" o:spid="_x0000_s1050" type="#_x0000_t202" style="width:17.4pt;height:9.75pt;margin-top:386.24pt;margin-left:691.76pt;mso-position-horizontal-relative:page;mso-position-vertical-relative:page;mso-wrap-distance-bottom:0;mso-wrap-distance-left:0;mso-wrap-distance-right:0;mso-wrap-distance-top:0;position:absolute;rotation:270;v-text-anchor:top;z-index:251705344" o:allowincell="f" filled="f" fillcolor="this" stroked="f">
                <v:textbox inset="0,0,0,0">
                  <w:txbxContent>
                    <w:p>
                      <w:pPr>
                        <w:spacing w:before="45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4"/>
                          <w:sz w:val="13"/>
                          <w:szCs w:val="13"/>
                        </w:rPr>
                        <w:t>2008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12512" behindDoc="0" locked="0" layoutInCell="0" allowOverlap="1">
                <wp:simplePos x="0" y="0"/>
                <wp:positionH relativeFrom="page">
                  <wp:posOffset>9248307</wp:posOffset>
                </wp:positionH>
                <wp:positionV relativeFrom="page">
                  <wp:posOffset>4905285</wp:posOffset>
                </wp:positionV>
                <wp:extent cx="220979" cy="123825"/>
                <wp:effectExtent l="0" t="0" r="0" b="0"/>
                <wp:wrapNone/>
                <wp:docPr id="60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9248307" y="4905285"/>
                          <a:ext cx="220979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4"/>
                                <w:sz w:val="13"/>
                                <w:szCs w:val="13"/>
                              </w:rPr>
                              <w:t>2011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60" o:spid="_x0000_s1051" type="#_x0000_t202" style="width:17.4pt;height:9.75pt;margin-top:386.24pt;margin-left:728.21pt;mso-position-horizontal-relative:page;mso-position-vertical-relative:page;mso-wrap-distance-bottom:0;mso-wrap-distance-left:0;mso-wrap-distance-right:0;mso-wrap-distance-top:0;position:absolute;rotation:270;v-text-anchor:top;z-index:251711488" o:allowincell="f" filled="f" fillcolor="this" stroked="f">
                <v:textbox inset="0,0,0,0">
                  <w:txbxContent>
                    <w:p>
                      <w:pPr>
                        <w:spacing w:before="45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4"/>
                          <w:sz w:val="13"/>
                          <w:szCs w:val="13"/>
                        </w:rPr>
                        <w:t>2011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8416" behindDoc="0" locked="0" layoutInCell="0" allowOverlap="1">
                <wp:simplePos x="0" y="0"/>
                <wp:positionH relativeFrom="page">
                  <wp:posOffset>9711221</wp:posOffset>
                </wp:positionH>
                <wp:positionV relativeFrom="page">
                  <wp:posOffset>4905285</wp:posOffset>
                </wp:positionV>
                <wp:extent cx="220979" cy="123825"/>
                <wp:effectExtent l="0" t="0" r="0" b="0"/>
                <wp:wrapNone/>
                <wp:docPr id="62" name="TextBox 6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9711221" y="4905285"/>
                          <a:ext cx="220979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4"/>
                                <w:sz w:val="13"/>
                                <w:szCs w:val="13"/>
                              </w:rPr>
                              <w:t>2014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62" o:spid="_x0000_s1052" type="#_x0000_t202" style="width:17.4pt;height:9.75pt;margin-top:386.24pt;margin-left:764.66pt;mso-position-horizontal-relative:page;mso-position-vertical-relative:page;mso-wrap-distance-bottom:0;mso-wrap-distance-left:0;mso-wrap-distance-right:0;mso-wrap-distance-top:0;position:absolute;rotation:270;v-text-anchor:top;z-index:251707392" o:allowincell="f" filled="f" fillcolor="this" stroked="f">
                <v:textbox inset="0,0,0,0">
                  <w:txbxContent>
                    <w:p>
                      <w:pPr>
                        <w:spacing w:before="45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4"/>
                          <w:sz w:val="13"/>
                          <w:szCs w:val="13"/>
                        </w:rPr>
                        <w:t>2014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10464" behindDoc="0" locked="0" layoutInCell="0" allowOverlap="1">
                <wp:simplePos x="0" y="0"/>
                <wp:positionH relativeFrom="page">
                  <wp:posOffset>10173502</wp:posOffset>
                </wp:positionH>
                <wp:positionV relativeFrom="page">
                  <wp:posOffset>4905285</wp:posOffset>
                </wp:positionV>
                <wp:extent cx="220979" cy="123825"/>
                <wp:effectExtent l="0" t="0" r="0" b="0"/>
                <wp:wrapNone/>
                <wp:docPr id="64" name="TextBox 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10173502" y="4905285"/>
                          <a:ext cx="220979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4"/>
                                <w:sz w:val="13"/>
                                <w:szCs w:val="13"/>
                              </w:rPr>
                              <w:t>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64" o:spid="_x0000_s1053" type="#_x0000_t202" style="width:17.4pt;height:9.75pt;margin-top:386.24pt;margin-left:801.06pt;mso-position-horizontal-relative:page;mso-position-vertical-relative:page;mso-wrap-distance-bottom:0;mso-wrap-distance-left:0;mso-wrap-distance-right:0;mso-wrap-distance-top:0;position:absolute;rotation:270;v-text-anchor:top;z-index:251709440" o:allowincell="f" filled="f" fillcolor="this" stroked="f">
                <v:textbox inset="0,0,0,0">
                  <w:txbxContent>
                    <w:p>
                      <w:pPr>
                        <w:spacing w:before="45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4"/>
                          <w:sz w:val="13"/>
                          <w:szCs w:val="13"/>
                        </w:rPr>
                        <w:t>2017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4320" behindDoc="0" locked="0" layoutInCell="0" allowOverlap="1">
                <wp:simplePos x="0" y="0"/>
                <wp:positionH relativeFrom="page">
                  <wp:posOffset>10636416</wp:posOffset>
                </wp:positionH>
                <wp:positionV relativeFrom="page">
                  <wp:posOffset>4905286</wp:posOffset>
                </wp:positionV>
                <wp:extent cx="220979" cy="123825"/>
                <wp:effectExtent l="0" t="0" r="0" b="0"/>
                <wp:wrapNone/>
                <wp:docPr id="66" name="TextBox 6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10636416" y="4905286"/>
                          <a:ext cx="220979" cy="1238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207" w:lineRule="auto"/>
                              <w:ind w:left="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959"/>
                                <w:spacing w:val="4"/>
                                <w:sz w:val="13"/>
                                <w:szCs w:val="13"/>
                              </w:rPr>
                              <w:t>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66" o:spid="_x0000_s1054" type="#_x0000_t202" style="width:17.4pt;height:9.75pt;margin-top:386.24pt;margin-left:837.51pt;mso-position-horizontal-relative:page;mso-position-vertical-relative:page;mso-wrap-distance-bottom:0;mso-wrap-distance-left:0;mso-wrap-distance-right:0;mso-wrap-distance-top:0;position:absolute;rotation:270;v-text-anchor:top;z-index:251703296" o:allowincell="f" filled="f" fillcolor="this" stroked="f">
                <v:textbox inset="0,0,0,0">
                  <w:txbxContent>
                    <w:p>
                      <w:pPr>
                        <w:spacing w:before="45" w:line="207" w:lineRule="auto"/>
                        <w:ind w:left="20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595959"/>
                          <w:spacing w:val="4"/>
                          <w:sz w:val="13"/>
                          <w:szCs w:val="13"/>
                        </w:rPr>
                        <w:t>2020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rect id="_x0000_s1055" style="width:0.6pt;height:237.45pt;margin-top:188.13pt;margin-left:248.65pt;mso-position-horizontal-relative:page;mso-position-vertical-relative:page;position:absolute;z-index:251743232" o:allowincell="f" filled="t" fillcolor="#7f7f7f" stroked="f"/>
        </w:pict>
      </w:r>
      <w:r>
        <w:pict>
          <v:shape id="_x0000_s1056" type="#_x0000_t202" style="width:123.3pt;height:33.25pt;margin-top:186.48pt;margin-left:292.91pt;mso-position-horizontal-relative:page;mso-position-vertical-relative:page;position:absolute;z-index:25167052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42" w:lineRule="exact"/>
                    <w:ind w:left="714"/>
                    <w:rPr>
                      <w:sz w:val="25"/>
                      <w:szCs w:val="25"/>
                    </w:rPr>
                  </w:pPr>
                  <w:r>
                    <w:rPr>
                      <w:b/>
                      <w:bCs/>
                      <w:i/>
                      <w:iCs/>
                      <w:color w:val="005ADC"/>
                      <w:spacing w:val="10"/>
                      <w:position w:val="-1"/>
                      <w:sz w:val="25"/>
                      <w:szCs w:val="25"/>
                    </w:rPr>
                    <w:t>第二阶段</w:t>
                  </w:r>
                </w:p>
                <w:p>
                  <w:pPr>
                    <w:pStyle w:val="BodyText"/>
                    <w:spacing w:before="1" w:line="213" w:lineRule="auto"/>
                    <w:jc w:val="right"/>
                    <w:rPr>
                      <w:sz w:val="25"/>
                      <w:szCs w:val="25"/>
                    </w:rPr>
                  </w:pPr>
                  <w:r>
                    <w:rPr>
                      <w:i/>
                      <w:iCs/>
                      <w:color w:val="005ADC"/>
                      <w:spacing w:val="-5"/>
                      <w:sz w:val="25"/>
                      <w:szCs w:val="25"/>
                    </w:rPr>
                    <w:t>（20世纪70-80年代）</w:t>
                  </w:r>
                </w:p>
              </w:txbxContent>
            </v:textbox>
          </v:shape>
        </w:pict>
      </w:r>
      <w:r>
        <w:pict>
          <v:shape id="_x0000_s1057" type="#_x0000_t202" style="width:188.8pt;height:34.05pt;margin-top:186.48pt;margin-left:461.57pt;mso-position-horizontal-relative:page;mso-position-vertical-relative:page;position:absolute;z-index:251666432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37" w:lineRule="exact"/>
                    <w:ind w:left="1369"/>
                    <w:rPr>
                      <w:sz w:val="25"/>
                      <w:szCs w:val="25"/>
                    </w:rPr>
                  </w:pPr>
                  <w:r>
                    <w:rPr>
                      <w:b/>
                      <w:bCs/>
                      <w:i/>
                      <w:iCs/>
                      <w:color w:val="005ADC"/>
                      <w:spacing w:val="10"/>
                      <w:position w:val="-2"/>
                      <w:sz w:val="25"/>
                      <w:szCs w:val="25"/>
                    </w:rPr>
                    <w:t>第三阶段</w:t>
                  </w:r>
                </w:p>
                <w:p>
                  <w:pPr>
                    <w:pStyle w:val="BodyText"/>
                    <w:spacing w:line="201" w:lineRule="auto"/>
                    <w:jc w:val="right"/>
                    <w:rPr>
                      <w:sz w:val="25"/>
                      <w:szCs w:val="25"/>
                    </w:rPr>
                  </w:pPr>
                  <w:r>
                    <w:rPr>
                      <w:b/>
                      <w:bCs/>
                      <w:i/>
                      <w:iCs/>
                      <w:color w:val="005ADC"/>
                      <w:spacing w:val="-14"/>
                      <w:w w:val="88"/>
                      <w:sz w:val="25"/>
                      <w:szCs w:val="25"/>
                    </w:rPr>
                    <w:t>（2</w:t>
                  </w:r>
                  <w:r>
                    <w:rPr>
                      <w:position w:val="-3"/>
                      <w:sz w:val="25"/>
                      <w:szCs w:val="25"/>
                    </w:rPr>
                    <w:drawing>
                      <wp:inline distT="0" distB="0" distL="0" distR="0">
                        <wp:extent cx="119819" cy="165766"/>
                        <wp:effectExtent l="0" t="0" r="0" b="0"/>
                        <wp:docPr id="68" name="IM 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IM 68"/>
                                <pic:cNvPicPr/>
                              </pic:nvPicPr>
                              <pic:blipFill>
                                <a:blip xmlns:r="http://schemas.openxmlformats.org/officeDocument/2006/relationships"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9819" cy="165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i/>
                      <w:iCs/>
                      <w:color w:val="005ADC"/>
                      <w:spacing w:val="-14"/>
                      <w:w w:val="88"/>
                      <w:sz w:val="25"/>
                      <w:szCs w:val="25"/>
                    </w:rPr>
                    <w:t>世</w:t>
                  </w:r>
                  <w:r>
                    <w:rPr>
                      <w:color w:val="FFFFFF"/>
                      <w:spacing w:val="-14"/>
                      <w:w w:val="88"/>
                      <w:sz w:val="28"/>
                      <w:szCs w:val="28"/>
                    </w:rPr>
                    <w:t>表</w:t>
                  </w:r>
                  <w:r>
                    <w:rPr>
                      <w:b/>
                      <w:bCs/>
                      <w:i/>
                      <w:iCs/>
                      <w:color w:val="005ADC"/>
                      <w:spacing w:val="-14"/>
                      <w:w w:val="88"/>
                      <w:sz w:val="25"/>
                      <w:szCs w:val="25"/>
                    </w:rPr>
                    <w:t>纪</w:t>
                  </w:r>
                  <w:r>
                    <w:rPr>
                      <w:position w:val="-3"/>
                      <w:sz w:val="25"/>
                      <w:szCs w:val="25"/>
                    </w:rPr>
                    <w:drawing>
                      <wp:inline distT="0" distB="0" distL="0" distR="0">
                        <wp:extent cx="119995" cy="172011"/>
                        <wp:effectExtent l="0" t="0" r="0" b="0"/>
                        <wp:docPr id="70" name="IM 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IM 70"/>
                                <pic:cNvPicPr/>
                              </pic:nvPicPr>
                              <pic:blipFill>
                                <a:blip xmlns:r="http://schemas.openxmlformats.org/officeDocument/2006/relationships"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9995" cy="1720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i/>
                      <w:iCs/>
                      <w:color w:val="005ADC"/>
                      <w:spacing w:val="-14"/>
                      <w:w w:val="88"/>
                      <w:sz w:val="25"/>
                      <w:szCs w:val="25"/>
                    </w:rPr>
                    <w:t>0</w:t>
                  </w:r>
                  <w:r>
                    <w:rPr>
                      <w:color w:val="FFFFFF"/>
                      <w:spacing w:val="-14"/>
                      <w:w w:val="88"/>
                      <w:sz w:val="28"/>
                      <w:szCs w:val="28"/>
                    </w:rPr>
                    <w:t>题</w:t>
                  </w:r>
                  <w:r>
                    <w:rPr>
                      <w:b/>
                      <w:bCs/>
                      <w:i/>
                      <w:iCs/>
                      <w:color w:val="005ADC"/>
                      <w:spacing w:val="-14"/>
                      <w:w w:val="88"/>
                      <w:sz w:val="25"/>
                      <w:szCs w:val="25"/>
                    </w:rPr>
                    <w:t>年代-21世纪00年代）</w:t>
                  </w:r>
                </w:p>
              </w:txbxContent>
            </v:textbox>
          </v:shape>
        </w:pict>
      </w:r>
      <w:r>
        <w:pict>
          <v:shape id="_x0000_s1058" type="#_x0000_t202" style="width:128pt;height:33.25pt;margin-top:186.48pt;margin-left:692.02pt;mso-position-horizontal-relative:page;mso-position-vertical-relative:page;position:absolute;z-index:25166950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42" w:lineRule="exact"/>
                    <w:ind w:left="761"/>
                    <w:rPr>
                      <w:sz w:val="25"/>
                      <w:szCs w:val="25"/>
                    </w:rPr>
                  </w:pPr>
                  <w:r>
                    <w:rPr>
                      <w:b/>
                      <w:bCs/>
                      <w:i/>
                      <w:iCs/>
                      <w:color w:val="005ADC"/>
                      <w:spacing w:val="10"/>
                      <w:position w:val="-1"/>
                      <w:sz w:val="25"/>
                      <w:szCs w:val="25"/>
                    </w:rPr>
                    <w:t>第四阶段</w:t>
                  </w:r>
                </w:p>
                <w:p>
                  <w:pPr>
                    <w:pStyle w:val="BodyText"/>
                    <w:spacing w:before="1" w:line="213" w:lineRule="auto"/>
                    <w:jc w:val="right"/>
                    <w:rPr>
                      <w:sz w:val="25"/>
                      <w:szCs w:val="25"/>
                    </w:rPr>
                  </w:pPr>
                  <w:r>
                    <w:rPr>
                      <w:i/>
                      <w:iCs/>
                      <w:color w:val="005ADC"/>
                      <w:spacing w:val="-6"/>
                      <w:sz w:val="25"/>
                      <w:szCs w:val="25"/>
                    </w:rPr>
                    <w:t>（21世纪10年代至今）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3160776</wp:posOffset>
            </wp:positionH>
            <wp:positionV relativeFrom="page">
              <wp:posOffset>2328671</wp:posOffset>
            </wp:positionV>
            <wp:extent cx="7738871" cy="441960"/>
            <wp:effectExtent l="0" t="0" r="0" b="0"/>
            <wp:wrapNone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738871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7936" behindDoc="0" locked="0" layoutInCell="0" allowOverlap="1">
            <wp:simplePos x="0" y="0"/>
            <wp:positionH relativeFrom="page">
              <wp:posOffset>3608019</wp:posOffset>
            </wp:positionH>
            <wp:positionV relativeFrom="page">
              <wp:posOffset>3490632</wp:posOffset>
            </wp:positionV>
            <wp:extent cx="76200" cy="1264399"/>
            <wp:effectExtent l="0" t="0" r="0" b="0"/>
            <wp:wrapNone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264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1008" behindDoc="0" locked="0" layoutInCell="0" allowOverlap="1">
            <wp:simplePos x="0" y="0"/>
            <wp:positionH relativeFrom="page">
              <wp:posOffset>4166336</wp:posOffset>
            </wp:positionH>
            <wp:positionV relativeFrom="page">
              <wp:posOffset>3785641</wp:posOffset>
            </wp:positionV>
            <wp:extent cx="76200" cy="969391"/>
            <wp:effectExtent l="0" t="0" r="0" b="0"/>
            <wp:wrapNone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969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9984" behindDoc="0" locked="0" layoutInCell="0" allowOverlap="1">
            <wp:simplePos x="0" y="0"/>
            <wp:positionH relativeFrom="page">
              <wp:posOffset>7456804</wp:posOffset>
            </wp:positionH>
            <wp:positionV relativeFrom="page">
              <wp:posOffset>3785641</wp:posOffset>
            </wp:positionV>
            <wp:extent cx="76200" cy="995908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995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8960" behindDoc="0" locked="0" layoutInCell="0" allowOverlap="1">
            <wp:simplePos x="0" y="0"/>
            <wp:positionH relativeFrom="page">
              <wp:posOffset>8980005</wp:posOffset>
            </wp:positionH>
            <wp:positionV relativeFrom="page">
              <wp:posOffset>3750233</wp:posOffset>
            </wp:positionV>
            <wp:extent cx="76200" cy="995908"/>
            <wp:effectExtent l="0" t="0" r="0" b="0"/>
            <wp:wrapNone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995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6231991</wp:posOffset>
            </wp:positionH>
            <wp:positionV relativeFrom="page">
              <wp:posOffset>3628313</wp:posOffset>
            </wp:positionV>
            <wp:extent cx="76200" cy="1153236"/>
            <wp:effectExtent l="0" t="0" r="0" b="0"/>
            <wp:wrapNone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1532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8176" behindDoc="0" locked="0" layoutInCell="0" allowOverlap="1">
            <wp:simplePos x="0" y="0"/>
            <wp:positionH relativeFrom="page">
              <wp:posOffset>3805326</wp:posOffset>
            </wp:positionH>
            <wp:positionV relativeFrom="page">
              <wp:posOffset>4384256</wp:posOffset>
            </wp:positionV>
            <wp:extent cx="76200" cy="370776"/>
            <wp:effectExtent l="0" t="0" r="0" b="0"/>
            <wp:wrapNone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70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7152" behindDoc="0" locked="0" layoutInCell="0" allowOverlap="1">
            <wp:simplePos x="0" y="0"/>
            <wp:positionH relativeFrom="page">
              <wp:posOffset>7940510</wp:posOffset>
            </wp:positionH>
            <wp:positionV relativeFrom="page">
              <wp:posOffset>4384256</wp:posOffset>
            </wp:positionV>
            <wp:extent cx="76200" cy="390588"/>
            <wp:effectExtent l="0" t="0" r="0" b="0"/>
            <wp:wrapNone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390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0" locked="0" layoutInCell="0" allowOverlap="1">
            <wp:simplePos x="0" y="0"/>
            <wp:positionH relativeFrom="page">
              <wp:posOffset>847293</wp:posOffset>
            </wp:positionH>
            <wp:positionV relativeFrom="page">
              <wp:posOffset>3936148</wp:posOffset>
            </wp:positionV>
            <wp:extent cx="76200" cy="818794"/>
            <wp:effectExtent l="0" t="0" r="0" b="0"/>
            <wp:wrapNone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818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0" locked="0" layoutInCell="0" allowOverlap="1">
            <wp:simplePos x="0" y="0"/>
            <wp:positionH relativeFrom="page">
              <wp:posOffset>4783747</wp:posOffset>
            </wp:positionH>
            <wp:positionV relativeFrom="page">
              <wp:posOffset>4315967</wp:posOffset>
            </wp:positionV>
            <wp:extent cx="76200" cy="439064"/>
            <wp:effectExtent l="0" t="0" r="0" b="0"/>
            <wp:wrapNone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439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3056" behindDoc="0" locked="0" layoutInCell="0" allowOverlap="1">
            <wp:simplePos x="0" y="0"/>
            <wp:positionH relativeFrom="page">
              <wp:posOffset>5281498</wp:posOffset>
            </wp:positionH>
            <wp:positionV relativeFrom="page">
              <wp:posOffset>4315967</wp:posOffset>
            </wp:positionV>
            <wp:extent cx="76200" cy="439064"/>
            <wp:effectExtent l="0" t="0" r="0" b="0"/>
            <wp:wrapNone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439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4080" behindDoc="0" locked="0" layoutInCell="0" allowOverlap="1">
            <wp:simplePos x="0" y="0"/>
            <wp:positionH relativeFrom="page">
              <wp:posOffset>6350812</wp:posOffset>
            </wp:positionH>
            <wp:positionV relativeFrom="page">
              <wp:posOffset>4315967</wp:posOffset>
            </wp:positionV>
            <wp:extent cx="76200" cy="439064"/>
            <wp:effectExtent l="0" t="0" r="0" b="0"/>
            <wp:wrapNone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439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59" type="#_x0000_t202" style="width:152.05pt;height:26.8pt;margin-top:398.52pt;margin-left:472.32pt;mso-position-horizontal-relative:page;mso-position-vertical-relative:page;position:absolute;z-index:251668480" o:allowincell="f" filled="t" fillcolor="#f2f2f2" stroked="f">
            <o:lock v:ext="edit" aspectratio="f"/>
            <v:textbox inset="0,0,0,0">
              <w:txbxContent>
                <w:p>
                  <w:pPr>
                    <w:pStyle w:val="BodyText"/>
                    <w:spacing w:before="124" w:line="183" w:lineRule="auto"/>
                    <w:ind w:left="963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pacing w:val="-1"/>
                      <w:sz w:val="28"/>
                      <w:szCs w:val="28"/>
                    </w:rPr>
                    <w:t>投顾转型</w:t>
                  </w:r>
                </w:p>
              </w:txbxContent>
            </v:textbox>
          </v:shape>
        </w:pict>
      </w:r>
      <w:r>
        <w:pict>
          <v:shape id="_x0000_s1060" type="#_x0000_t202" style="width:155.9pt;height:26.8pt;margin-top:398.52pt;margin-left:284.4pt;mso-position-horizontal-relative:page;mso-position-vertical-relative:page;position:absolute;z-index:251667456" o:allowincell="f" filled="t" fillcolor="#f2f2f2" stroked="f">
            <o:lock v:ext="edit" aspectratio="f"/>
            <v:textbox inset="0,0,0,0">
              <w:txbxContent>
                <w:p>
                  <w:pPr>
                    <w:pStyle w:val="BodyText"/>
                    <w:spacing w:before="124" w:line="183" w:lineRule="auto"/>
                    <w:ind w:left="100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pacing w:val="-1"/>
                      <w:sz w:val="28"/>
                      <w:szCs w:val="28"/>
                    </w:rPr>
                    <w:t>快速扩张</w:t>
                  </w:r>
                </w:p>
              </w:txbxContent>
            </v:textbox>
          </v:shape>
        </w:pict>
      </w:r>
      <w:r>
        <w:pict>
          <v:shape id="_x0000_s1061" type="#_x0000_t202" style="width:57.85pt;height:20.35pt;margin-top:403.7pt;margin-left:126.43pt;mso-position-horizontal-relative:page;mso-position-vertical-relative:page;position:absolute;z-index:25168588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3" w:lineRule="auto"/>
                    <w:ind w:left="2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pacing w:val="-1"/>
                      <w:sz w:val="28"/>
                      <w:szCs w:val="28"/>
                    </w:rPr>
                    <w:t>局部试水</w:t>
                  </w:r>
                </w:p>
              </w:txbxContent>
            </v:textbox>
          </v:shape>
        </w:pict>
      </w:r>
      <w:r>
        <w:pict>
          <v:shape id="_x0000_s1062" type="#_x0000_t202" style="width:123.3pt;height:31.2pt;margin-top:186.48pt;margin-left:86.58pt;mso-position-horizontal-relative:page;mso-position-vertical-relative:page;position:absolute;z-index:251744256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42" w:lineRule="exact"/>
                    <w:ind w:left="714"/>
                    <w:rPr>
                      <w:sz w:val="25"/>
                      <w:szCs w:val="25"/>
                    </w:rPr>
                  </w:pPr>
                  <w:r>
                    <w:rPr>
                      <w:b/>
                      <w:bCs/>
                      <w:i/>
                      <w:iCs/>
                      <w:color w:val="005ADC"/>
                      <w:spacing w:val="10"/>
                      <w:position w:val="-1"/>
                      <w:sz w:val="25"/>
                      <w:szCs w:val="25"/>
                    </w:rPr>
                    <w:t>第一阶段</w:t>
                  </w:r>
                </w:p>
                <w:p>
                  <w:pPr>
                    <w:pStyle w:val="BodyText"/>
                    <w:spacing w:before="1" w:line="190" w:lineRule="auto"/>
                    <w:jc w:val="right"/>
                    <w:rPr>
                      <w:sz w:val="25"/>
                      <w:szCs w:val="25"/>
                    </w:rPr>
                  </w:pPr>
                  <w:r>
                    <w:rPr>
                      <w:i/>
                      <w:iCs/>
                      <w:color w:val="005ADC"/>
                      <w:spacing w:val="-5"/>
                      <w:sz w:val="25"/>
                      <w:szCs w:val="25"/>
                    </w:rPr>
                    <w:t>（20世纪20-60年代）</w:t>
                  </w:r>
                </w:p>
              </w:txbxContent>
            </v:textbox>
          </v:shape>
        </w:pict>
      </w:r>
      <w:r>
        <w:rPr>
          <w:b/>
          <w:bCs/>
          <w:spacing w:val="9"/>
          <w:sz w:val="47"/>
          <w:szCs w:val="47"/>
        </w:rPr>
        <w:t>美国投顾商业模式演变路径参考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pStyle w:val="BodyText"/>
        <w:spacing w:before="151" w:line="188" w:lineRule="auto"/>
        <w:ind w:left="673"/>
        <w:rPr>
          <w:sz w:val="35"/>
          <w:szCs w:val="35"/>
        </w:rPr>
      </w:pPr>
      <w:r>
        <w:rPr>
          <w:sz w:val="35"/>
          <w:szCs w:val="35"/>
        </w:rPr>
        <w:drawing>
          <wp:inline distT="0" distB="0" distL="0" distR="0">
            <wp:extent cx="184480" cy="167792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4480" cy="16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9"/>
          <w:sz w:val="35"/>
          <w:szCs w:val="35"/>
        </w:rPr>
        <w:t xml:space="preserve"> </w:t>
      </w:r>
      <w:r>
        <w:rPr>
          <w:spacing w:val="9"/>
          <w:sz w:val="35"/>
          <w:szCs w:val="35"/>
        </w:rPr>
        <w:t>美国投顾商业模式历经了四个阶段</w:t>
      </w:r>
    </w:p>
    <w:p>
      <w:pPr>
        <w:pStyle w:val="BodyText"/>
        <w:spacing w:before="264" w:line="184" w:lineRule="auto"/>
        <w:ind w:left="1306"/>
      </w:pPr>
      <w:r>
        <w:rPr>
          <w:rFonts w:ascii="Arial" w:eastAsia="Arial" w:hAnsi="Arial" w:cs="Arial"/>
          <w:spacing w:val="-1"/>
        </w:rPr>
        <w:t xml:space="preserve">●   </w:t>
      </w:r>
      <w:r>
        <w:rPr>
          <w:spacing w:val="-1"/>
        </w:rPr>
        <w:t>美国投顾商业模式历经了四个阶段</w:t>
      </w:r>
      <w:r>
        <w:rPr>
          <w:spacing w:val="-35"/>
        </w:rPr>
        <w:t xml:space="preserve"> </w:t>
      </w:r>
      <w:r>
        <w:rPr>
          <w:spacing w:val="-1"/>
        </w:rPr>
        <w:t>，从最初分业经</w:t>
      </w:r>
      <w:r>
        <w:rPr>
          <w:spacing w:val="-2"/>
        </w:rPr>
        <w:t>营开始</w:t>
      </w:r>
      <w:r>
        <w:rPr>
          <w:spacing w:val="-35"/>
        </w:rPr>
        <w:t xml:space="preserve"> </w:t>
      </w:r>
      <w:r>
        <w:rPr>
          <w:spacing w:val="-2"/>
        </w:rPr>
        <w:t>，养老金入市极大推动了财富管理行业的发展</w:t>
      </w:r>
      <w:r>
        <w:rPr>
          <w:spacing w:val="-34"/>
        </w:rPr>
        <w:t xml:space="preserve"> </w:t>
      </w:r>
      <w:r>
        <w:rPr>
          <w:spacing w:val="-2"/>
        </w:rPr>
        <w:t>，而固定佣金的取消进一步促使美国财富管理行业</w:t>
      </w:r>
    </w:p>
    <w:p>
      <w:pPr>
        <w:pStyle w:val="BodyText"/>
        <w:spacing w:before="58" w:line="184" w:lineRule="auto"/>
        <w:ind w:left="1648"/>
      </w:pPr>
      <w:r>
        <w:rPr>
          <w:spacing w:val="-1"/>
        </w:rPr>
        <w:t>从卖方投顾向买方投顾转型。如今</w:t>
      </w:r>
      <w:r>
        <w:rPr>
          <w:spacing w:val="-35"/>
        </w:rPr>
        <w:t xml:space="preserve"> </w:t>
      </w:r>
      <w:r>
        <w:rPr>
          <w:spacing w:val="-1"/>
        </w:rPr>
        <w:t>，美国投顾商业模式仍然以买方投顾为核心</w:t>
      </w:r>
      <w:r>
        <w:rPr>
          <w:spacing w:val="-35"/>
        </w:rPr>
        <w:t xml:space="preserve"> </w:t>
      </w:r>
      <w:r>
        <w:rPr>
          <w:spacing w:val="-1"/>
        </w:rPr>
        <w:t>，同时通过智能化的手段为投资者提供更加便捷、智能</w:t>
      </w:r>
      <w:r>
        <w:rPr>
          <w:spacing w:val="-2"/>
        </w:rPr>
        <w:t>、高效的投顾服务。</w:t>
      </w: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before="46" w:line="626" w:lineRule="exact"/>
        <w:ind w:left="1853"/>
        <w:rPr>
          <w:rFonts w:ascii="Arial" w:eastAsia="Arial" w:hAnsi="Arial" w:cs="Arial"/>
          <w:sz w:val="16"/>
          <w:szCs w:val="16"/>
        </w:rPr>
      </w:pPr>
      <w:r>
        <w:drawing>
          <wp:anchor distT="0" distB="0" distL="0" distR="0" simplePos="0" relativeHeight="251742208" behindDoc="0" locked="0" layoutInCell="1" allowOverlap="1">
            <wp:simplePos x="0" y="0"/>
            <wp:positionH relativeFrom="column">
              <wp:posOffset>566927</wp:posOffset>
            </wp:positionH>
            <wp:positionV relativeFrom="paragraph">
              <wp:posOffset>-393564</wp:posOffset>
            </wp:positionV>
            <wp:extent cx="2593847" cy="441960"/>
            <wp:effectExtent l="0" t="0" r="0" b="0"/>
            <wp:wrapNone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93847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63" type="#_x0000_t202" style="width:76.7pt;height:33pt;margin-top:12.42pt;margin-left:253.66pt;position:absolute;z-index:25167974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97" w:lineRule="auto"/>
                    <w:ind w:left="20" w:right="20" w:firstLine="10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《雇员退休收</w:t>
                  </w:r>
                  <w:r>
                    <w:rPr>
                      <w:spacing w:val="1"/>
                      <w:sz w:val="22"/>
                      <w:szCs w:val="22"/>
                    </w:rPr>
                    <w:t xml:space="preserve">  </w:t>
                  </w:r>
                  <w:r>
                    <w:rPr>
                      <w:spacing w:val="-7"/>
                      <w:sz w:val="22"/>
                      <w:szCs w:val="22"/>
                    </w:rPr>
                    <w:t>入法案》出台，</w:t>
                  </w:r>
                </w:p>
              </w:txbxContent>
            </v:textbox>
          </v:shape>
        </w:pict>
      </w:r>
      <w:r>
        <w:pict>
          <v:shape id="_x0000_s1064" type="#_x0000_t202" style="width:145.85pt;height:17.75pt;margin-top:13.09pt;margin-left:382.83pt;position:absolute;z-index:25168076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3" w:lineRule="auto"/>
                    <w:ind w:left="20"/>
                  </w:pPr>
                  <w:r>
                    <w:rPr>
                      <w:b/>
                      <w:bCs/>
                      <w:spacing w:val="-1"/>
                    </w:rPr>
                    <w:t>美国居民金融资产配置结构</w:t>
                  </w:r>
                </w:p>
              </w:txbxContent>
            </v:textbox>
          </v:shape>
        </w:pict>
      </w:r>
      <w:r>
        <w:pict>
          <v:shape id="_x0000_s1065" type="#_x0000_t202" style="width:25.85pt;height:12.5pt;margin-top:22.98pt;margin-left:860.84pt;position:absolute;z-index:25169612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3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color w:val="595959"/>
                      <w:sz w:val="16"/>
                      <w:szCs w:val="16"/>
                    </w:rPr>
                    <w:drawing>
                      <wp:inline distT="0" distB="0" distL="0" distR="0">
                        <wp:extent cx="66040" cy="66039"/>
                        <wp:effectExtent l="0" t="0" r="0" b="0"/>
                        <wp:docPr id="100" name="IM 1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" name="IM 100"/>
                                <pic:cNvPicPr/>
                              </pic:nvPicPr>
                              <pic:blipFill>
                                <a:blip xmlns:r="http://schemas.openxmlformats.org/officeDocument/2006/relationships"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040" cy="660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595959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595959"/>
                      <w:spacing w:val="-1"/>
                      <w:sz w:val="16"/>
                      <w:szCs w:val="16"/>
                    </w:rPr>
                    <w:t>其他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566927</wp:posOffset>
            </wp:positionH>
            <wp:positionV relativeFrom="paragraph">
              <wp:posOffset>48395</wp:posOffset>
            </wp:positionV>
            <wp:extent cx="10334447" cy="2076310"/>
            <wp:effectExtent l="0" t="0" r="0" b="0"/>
            <wp:wrapNone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334447" cy="2076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595959"/>
          <w:spacing w:val="-5"/>
          <w:position w:val="33"/>
          <w:sz w:val="16"/>
          <w:szCs w:val="16"/>
        </w:rPr>
        <w:t>100%</w:t>
      </w:r>
    </w:p>
    <w:p>
      <w:pPr>
        <w:spacing w:line="219" w:lineRule="exact"/>
        <w:ind w:left="1931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595959"/>
          <w:spacing w:val="-2"/>
          <w:position w:val="1"/>
          <w:sz w:val="16"/>
          <w:szCs w:val="16"/>
        </w:rPr>
        <w:t>80%</w:t>
      </w:r>
    </w:p>
    <w:p>
      <w:pPr>
        <w:pStyle w:val="BodyText"/>
        <w:spacing w:before="169" w:line="183" w:lineRule="auto"/>
        <w:ind w:left="17236"/>
        <w:rPr>
          <w:sz w:val="16"/>
          <w:szCs w:val="16"/>
        </w:rPr>
      </w:pPr>
      <w:r>
        <w:pict>
          <v:shape id="_x0000_s1066" type="#_x0000_t202" style="width:63.2pt;height:16.5pt;margin-top:-3.73pt;margin-left:261.99pt;position:absolute;z-index:25168691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4" w:lineRule="auto"/>
                    <w:ind w:left="20"/>
                    <w:rPr>
                      <w:sz w:val="22"/>
                      <w:szCs w:val="22"/>
                    </w:rPr>
                  </w:pPr>
                  <w:r>
                    <w:rPr>
                      <w:spacing w:val="-3"/>
                      <w:sz w:val="22"/>
                      <w:szCs w:val="22"/>
                    </w:rPr>
                    <w:t>IRA账户诞生</w:t>
                  </w:r>
                </w:p>
              </w:txbxContent>
            </v:textbox>
          </v:shape>
        </w:pict>
      </w:r>
      <w:r>
        <w:pict>
          <v:shape id="_x0000_s1067" type="#_x0000_t202" style="width:79.2pt;height:33.05pt;margin-top:5.28pt;margin-left:552.61pt;position:absolute;z-index:25167872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1" w:line="197" w:lineRule="auto"/>
                    <w:ind w:left="22" w:right="20" w:hanging="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《金融服务业现</w:t>
                  </w:r>
                  <w:r>
                    <w:rPr>
                      <w:spacing w:val="2"/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-1"/>
                      <w:sz w:val="22"/>
                      <w:szCs w:val="22"/>
                    </w:rPr>
                    <w:t>代化法案》出台</w:t>
                  </w:r>
                </w:p>
              </w:txbxContent>
            </v:textbox>
          </v:shape>
        </w:pict>
      </w:r>
      <w:r>
        <w:pict>
          <v:shape id="_x0000_s1068" type="#_x0000_t202" style="width:86.15pt;height:44.9pt;margin-top:-0.84pt;margin-left:453.7pt;position:absolute;z-index:25167360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94" w:lineRule="auto"/>
                    <w:ind w:left="94"/>
                    <w:rPr>
                      <w:sz w:val="22"/>
                      <w:szCs w:val="22"/>
                    </w:rPr>
                  </w:pPr>
                  <w:r>
                    <w:rPr>
                      <w:spacing w:val="-1"/>
                      <w:sz w:val="22"/>
                      <w:szCs w:val="22"/>
                    </w:rPr>
                    <w:t>允许401(k)金额</w:t>
                  </w:r>
                </w:p>
                <w:p>
                  <w:pPr>
                    <w:pStyle w:val="BodyText"/>
                    <w:spacing w:line="168" w:lineRule="auto"/>
                    <w:ind w:left="20"/>
                    <w:rPr>
                      <w:sz w:val="22"/>
                      <w:szCs w:val="22"/>
                    </w:rPr>
                  </w:pPr>
                  <w:r>
                    <w:rPr>
                      <w:spacing w:val="-1"/>
                      <w:sz w:val="22"/>
                      <w:szCs w:val="22"/>
                    </w:rPr>
                    <w:t>转入IRA或其他雇</w:t>
                  </w:r>
                </w:p>
                <w:p>
                  <w:pPr>
                    <w:pStyle w:val="BodyText"/>
                    <w:spacing w:line="183" w:lineRule="auto"/>
                    <w:ind w:left="204"/>
                    <w:rPr>
                      <w:sz w:val="22"/>
                      <w:szCs w:val="22"/>
                    </w:rPr>
                  </w:pPr>
                  <w:r>
                    <w:rPr>
                      <w:spacing w:val="-1"/>
                      <w:sz w:val="22"/>
                      <w:szCs w:val="22"/>
                    </w:rPr>
                    <w:t>主养老金计划</w:t>
                  </w:r>
                </w:p>
              </w:txbxContent>
            </v:textbox>
          </v:shape>
        </w:pict>
      </w:r>
      <w:r>
        <w:pict>
          <v:shape id="_x0000_s1069" type="#_x0000_t202" style="width:43.35pt;height:29.55pt;margin-top:10pt;margin-left:311.3pt;position:absolute;z-index:25168384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75" w:lineRule="auto"/>
                    <w:ind w:left="215" w:right="20" w:hanging="195"/>
                    <w:rPr>
                      <w:sz w:val="22"/>
                      <w:szCs w:val="22"/>
                    </w:rPr>
                  </w:pPr>
                  <w:r>
                    <w:rPr>
                      <w:spacing w:val="-1"/>
                      <w:sz w:val="22"/>
                      <w:szCs w:val="22"/>
                    </w:rPr>
                    <w:t>401计划</w:t>
                  </w:r>
                  <w:r>
                    <w:rPr>
                      <w:spacing w:val="3"/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-2"/>
                      <w:sz w:val="22"/>
                      <w:szCs w:val="22"/>
                    </w:rPr>
                    <w:t>诞生</w:t>
                  </w:r>
                </w:p>
              </w:txbxContent>
            </v:textbox>
          </v:shape>
        </w:pict>
      </w:r>
      <w:r>
        <w:rPr>
          <w:rFonts w:ascii="Arial" w:eastAsia="Arial" w:hAnsi="Arial" w:cs="Arial"/>
          <w:color w:val="595959"/>
          <w:sz w:val="16"/>
          <w:szCs w:val="16"/>
        </w:rPr>
        <w:drawing>
          <wp:inline distT="0" distB="0" distL="0" distR="0">
            <wp:extent cx="66040" cy="66040"/>
            <wp:effectExtent l="0" t="0" r="0" b="0"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6040" cy="6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color w:val="595959"/>
          <w:spacing w:val="23"/>
          <w:sz w:val="16"/>
          <w:szCs w:val="16"/>
        </w:rPr>
        <w:t xml:space="preserve"> </w:t>
      </w:r>
      <w:r>
        <w:rPr>
          <w:rFonts w:ascii="Arial" w:eastAsia="Arial" w:hAnsi="Arial" w:cs="Arial"/>
          <w:color w:val="595959"/>
          <w:spacing w:val="-3"/>
          <w:sz w:val="16"/>
          <w:szCs w:val="16"/>
        </w:rPr>
        <w:t>DB</w:t>
      </w:r>
      <w:r>
        <w:rPr>
          <w:color w:val="595959"/>
          <w:spacing w:val="-3"/>
          <w:sz w:val="16"/>
          <w:szCs w:val="16"/>
        </w:rPr>
        <w:t>养老金</w:t>
      </w:r>
    </w:p>
    <w:p>
      <w:pPr>
        <w:pStyle w:val="BodyText"/>
        <w:spacing w:before="28" w:line="214" w:lineRule="auto"/>
        <w:ind w:left="619"/>
        <w:rPr>
          <w:rFonts w:ascii="Arial" w:eastAsia="Arial" w:hAnsi="Arial" w:cs="Arial"/>
          <w:sz w:val="16"/>
          <w:szCs w:val="16"/>
        </w:rPr>
      </w:pPr>
      <w:r>
        <w:pict>
          <v:shape id="_x0000_s1070" type="#_x0000_t202" style="width:82.25pt;height:16.55pt;margin-top:0.91pt;margin-left:673.74pt;position:absolute;z-index:25168486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4" w:lineRule="auto"/>
                    <w:ind w:left="20"/>
                    <w:rPr>
                      <w:sz w:val="22"/>
                      <w:szCs w:val="22"/>
                    </w:rPr>
                  </w:pPr>
                  <w:r>
                    <w:rPr>
                      <w:spacing w:val="-2"/>
                      <w:sz w:val="22"/>
                      <w:szCs w:val="22"/>
                    </w:rPr>
                    <w:t>Betterment成立</w:t>
                  </w:r>
                </w:p>
              </w:txbxContent>
            </v:textbox>
          </v:shape>
        </w:pict>
      </w:r>
      <w:r>
        <w:pict>
          <v:shape id="_x0000_s1071" type="#_x0000_t202" style="width:65.85pt;height:53.35pt;margin-top:16pt;margin-left:860.84pt;position:absolute;z-index:25167667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95" w:lineRule="auto"/>
                    <w:ind w:left="177" w:right="20" w:hanging="158"/>
                    <w:rPr>
                      <w:sz w:val="16"/>
                      <w:szCs w:val="16"/>
                    </w:rPr>
                  </w:pPr>
                  <w:r>
                    <w:rPr>
                      <w:color w:val="595959"/>
                      <w:sz w:val="16"/>
                      <w:szCs w:val="16"/>
                    </w:rPr>
                    <w:drawing>
                      <wp:inline distT="0" distB="0" distL="0" distR="0">
                        <wp:extent cx="66040" cy="66040"/>
                        <wp:effectExtent l="0" t="0" r="0" b="0"/>
                        <wp:docPr id="106" name="IM 1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" name="IM 106"/>
                                <pic:cNvPicPr/>
                              </pic:nvPicPr>
                              <pic:blipFill>
                                <a:blip xmlns:r="http://schemas.openxmlformats.org/officeDocument/2006/relationships"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040" cy="660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595959"/>
                      <w:spacing w:val="11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595959"/>
                      <w:spacing w:val="-1"/>
                      <w:sz w:val="16"/>
                      <w:szCs w:val="16"/>
                    </w:rPr>
                    <w:t>股票债券（间接</w:t>
                  </w:r>
                  <w:r>
                    <w:rPr>
                      <w:color w:val="595959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595959"/>
                      <w:spacing w:val="-1"/>
                      <w:sz w:val="16"/>
                      <w:szCs w:val="16"/>
                    </w:rPr>
                    <w:t>持有）</w:t>
                  </w:r>
                </w:p>
                <w:p>
                  <w:pPr>
                    <w:pStyle w:val="BodyText"/>
                    <w:spacing w:before="134" w:line="195" w:lineRule="auto"/>
                    <w:ind w:left="177" w:right="20" w:hanging="158"/>
                    <w:rPr>
                      <w:sz w:val="16"/>
                      <w:szCs w:val="16"/>
                    </w:rPr>
                  </w:pPr>
                  <w:r>
                    <w:rPr>
                      <w:color w:val="595959"/>
                      <w:sz w:val="16"/>
                      <w:szCs w:val="16"/>
                    </w:rPr>
                    <w:drawing>
                      <wp:inline distT="0" distB="0" distL="0" distR="0">
                        <wp:extent cx="66040" cy="66040"/>
                        <wp:effectExtent l="0" t="0" r="0" b="0"/>
                        <wp:docPr id="108" name="IM 1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" name="IM 108"/>
                                <pic:cNvPicPr/>
                              </pic:nvPicPr>
                              <pic:blipFill>
                                <a:blip xmlns:r="http://schemas.openxmlformats.org/officeDocument/2006/relationships"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040" cy="660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595959"/>
                      <w:spacing w:val="11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595959"/>
                      <w:spacing w:val="-1"/>
                      <w:sz w:val="16"/>
                      <w:szCs w:val="16"/>
                    </w:rPr>
                    <w:t>股票债券（直接</w:t>
                  </w:r>
                  <w:r>
                    <w:rPr>
                      <w:color w:val="595959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595959"/>
                      <w:spacing w:val="-1"/>
                      <w:sz w:val="16"/>
                      <w:szCs w:val="16"/>
                    </w:rPr>
                    <w:t>持有）</w:t>
                  </w:r>
                </w:p>
              </w:txbxContent>
            </v:textbox>
          </v:shape>
        </w:pict>
      </w:r>
      <w:r>
        <w:rPr>
          <w:spacing w:val="-15"/>
          <w:w w:val="95"/>
          <w:position w:val="-1"/>
          <w:sz w:val="22"/>
          <w:szCs w:val="22"/>
        </w:rPr>
        <w:t>《投资顾问法</w:t>
      </w:r>
      <w:r>
        <w:rPr>
          <w:rFonts w:ascii="Arial" w:eastAsia="Arial" w:hAnsi="Arial" w:cs="Arial"/>
          <w:color w:val="595959"/>
          <w:spacing w:val="-15"/>
          <w:w w:val="95"/>
          <w:position w:val="1"/>
          <w:sz w:val="16"/>
          <w:szCs w:val="16"/>
        </w:rPr>
        <w:t>6</w:t>
      </w:r>
      <w:r>
        <w:rPr>
          <w:spacing w:val="-15"/>
          <w:w w:val="95"/>
          <w:position w:val="1"/>
          <w:sz w:val="22"/>
          <w:szCs w:val="22"/>
        </w:rPr>
        <w:t>》</w:t>
      </w:r>
      <w:r>
        <w:rPr>
          <w:rFonts w:ascii="Arial" w:eastAsia="Arial" w:hAnsi="Arial" w:cs="Arial"/>
          <w:color w:val="595959"/>
          <w:spacing w:val="-15"/>
          <w:w w:val="95"/>
          <w:position w:val="1"/>
          <w:sz w:val="16"/>
          <w:szCs w:val="16"/>
        </w:rPr>
        <w:t>0</w:t>
      </w:r>
      <w:r>
        <w:rPr>
          <w:rFonts w:ascii="Arial" w:eastAsia="Arial" w:hAnsi="Arial" w:cs="Arial"/>
          <w:color w:val="595959"/>
          <w:spacing w:val="-15"/>
          <w:w w:val="95"/>
          <w:position w:val="9"/>
          <w:sz w:val="16"/>
          <w:szCs w:val="16"/>
        </w:rPr>
        <w:t>%</w:t>
      </w:r>
    </w:p>
    <w:p>
      <w:pPr>
        <w:pStyle w:val="BodyText"/>
        <w:spacing w:before="1" w:line="172" w:lineRule="auto"/>
        <w:ind w:left="1191"/>
        <w:rPr>
          <w:sz w:val="22"/>
          <w:szCs w:val="22"/>
        </w:rPr>
      </w:pPr>
      <w:r>
        <w:rPr>
          <w:spacing w:val="-10"/>
          <w:sz w:val="22"/>
          <w:szCs w:val="22"/>
        </w:rPr>
        <w:t>出台</w:t>
      </w:r>
    </w:p>
    <w:p>
      <w:pPr>
        <w:spacing w:line="626" w:lineRule="exact"/>
        <w:ind w:left="1926"/>
        <w:rPr>
          <w:rFonts w:ascii="Arial" w:eastAsia="Arial" w:hAnsi="Arial" w:cs="Arial"/>
          <w:sz w:val="16"/>
          <w:szCs w:val="16"/>
        </w:rPr>
      </w:pPr>
      <w:r>
        <w:pict>
          <v:shape id="_x0000_s1072" type="#_x0000_t202" style="width:75.15pt;height:41.2pt;margin-top:-5.48pt;margin-left:365.87pt;position:absolute;z-index:25167769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62" w:lineRule="auto"/>
                    <w:ind w:left="20" w:right="20" w:firstLine="633"/>
                    <w:rPr>
                      <w:sz w:val="22"/>
                      <w:szCs w:val="22"/>
                    </w:rPr>
                  </w:pPr>
                  <w:r>
                    <w:rPr>
                      <w:spacing w:val="-2"/>
                      <w:sz w:val="22"/>
                      <w:szCs w:val="22"/>
                    </w:rPr>
                    <w:t>CFP协会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-1"/>
                      <w:position w:val="1"/>
                      <w:sz w:val="22"/>
                      <w:szCs w:val="22"/>
                    </w:rPr>
                    <w:t>实行全</w:t>
                  </w:r>
                  <w:r>
                    <w:rPr>
                      <w:spacing w:val="18"/>
                      <w:w w:val="101"/>
                      <w:position w:val="1"/>
                      <w:sz w:val="22"/>
                      <w:szCs w:val="22"/>
                    </w:rPr>
                    <w:t xml:space="preserve">  </w:t>
                  </w:r>
                  <w:r>
                    <w:rPr>
                      <w:spacing w:val="-1"/>
                      <w:position w:val="-1"/>
                      <w:sz w:val="22"/>
                      <w:szCs w:val="22"/>
                    </w:rPr>
                    <w:t>成立</w:t>
                  </w:r>
                  <w:r>
                    <w:rPr>
                      <w:position w:val="-1"/>
                      <w:sz w:val="22"/>
                      <w:szCs w:val="22"/>
                    </w:rPr>
                    <w:t xml:space="preserve">    </w:t>
                  </w:r>
                  <w:r>
                    <w:rPr>
                      <w:spacing w:val="35"/>
                      <w:sz w:val="22"/>
                      <w:szCs w:val="22"/>
                    </w:rPr>
                    <w:t>员</w:t>
                  </w:r>
                  <w:r>
                    <w:rPr>
                      <w:sz w:val="22"/>
                      <w:szCs w:val="22"/>
                    </w:rPr>
                    <w:t>IRA</w:t>
                  </w:r>
                </w:p>
              </w:txbxContent>
            </v:textbox>
          </v:shape>
        </w:pict>
      </w:r>
      <w:r>
        <w:pict>
          <v:shape id="_x0000_s1073" type="#_x0000_t202" style="width:85.75pt;height:42.3pt;margin-top:-6.75pt;margin-left:591.84pt;position:absolute;z-index:25167564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75" w:lineRule="auto"/>
                    <w:ind w:left="21"/>
                    <w:rPr>
                      <w:sz w:val="22"/>
                      <w:szCs w:val="22"/>
                    </w:rPr>
                  </w:pPr>
                  <w:r>
                    <w:rPr>
                      <w:spacing w:val="-1"/>
                      <w:sz w:val="22"/>
                      <w:szCs w:val="22"/>
                    </w:rPr>
                    <w:t>美林推出Beyond</w:t>
                  </w:r>
                </w:p>
                <w:p>
                  <w:pPr>
                    <w:pStyle w:val="BodyText"/>
                    <w:spacing w:line="186" w:lineRule="auto"/>
                    <w:ind w:left="39"/>
                    <w:rPr>
                      <w:sz w:val="22"/>
                      <w:szCs w:val="22"/>
                    </w:rPr>
                  </w:pPr>
                  <w:r>
                    <w:rPr>
                      <w:spacing w:val="-2"/>
                      <w:sz w:val="22"/>
                      <w:szCs w:val="22"/>
                    </w:rPr>
                    <w:t>Banking综合账</w:t>
                  </w:r>
                </w:p>
                <w:p>
                  <w:pPr>
                    <w:pStyle w:val="BodyText"/>
                    <w:spacing w:line="237" w:lineRule="exact"/>
                    <w:ind w:left="20"/>
                    <w:rPr>
                      <w:sz w:val="22"/>
                      <w:szCs w:val="22"/>
                    </w:rPr>
                  </w:pPr>
                  <w:r>
                    <w:rPr>
                      <w:spacing w:val="-1"/>
                      <w:position w:val="-1"/>
                      <w:sz w:val="22"/>
                      <w:szCs w:val="22"/>
                    </w:rPr>
                    <w:t>户服务</w:t>
                  </w:r>
                </w:p>
              </w:txbxContent>
            </v:textbox>
          </v:shape>
        </w:pict>
      </w:r>
      <w:r>
        <w:pict>
          <v:shape id="_x0000_s1074" type="#_x0000_t202" style="width:45.9pt;height:29.65pt;margin-top:0.92pt;margin-left:285.35pt;position:absolute;z-index:25168281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8" w:line="176" w:lineRule="auto"/>
                    <w:ind w:left="20" w:right="20" w:firstLine="12"/>
                    <w:rPr>
                      <w:sz w:val="22"/>
                      <w:szCs w:val="22"/>
                    </w:rPr>
                  </w:pPr>
                  <w:r>
                    <w:rPr>
                      <w:spacing w:val="-4"/>
                      <w:sz w:val="22"/>
                      <w:szCs w:val="22"/>
                    </w:rPr>
                    <w:t>固定佣金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-1"/>
                      <w:sz w:val="22"/>
                      <w:szCs w:val="22"/>
                    </w:rPr>
                    <w:t>制度取消</w:t>
                  </w:r>
                </w:p>
              </w:txbxContent>
            </v:textbox>
          </v:shape>
        </w:pict>
      </w:r>
      <w:r>
        <w:pict>
          <v:shape id="_x0000_s1075" type="#_x0000_t202" style="width:67.9pt;height:29.6pt;margin-top:3.05pt;margin-left:479.94pt;position:absolute;z-index:25168179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1" w:line="175" w:lineRule="auto"/>
                    <w:ind w:left="20" w:right="20" w:firstLine="1"/>
                    <w:rPr>
                      <w:sz w:val="22"/>
                      <w:szCs w:val="22"/>
                    </w:rPr>
                  </w:pPr>
                  <w:r>
                    <w:rPr>
                      <w:spacing w:val="-1"/>
                      <w:sz w:val="22"/>
                      <w:szCs w:val="22"/>
                    </w:rPr>
                    <w:t>嘉信推出共同</w:t>
                  </w:r>
                  <w:r>
                    <w:rPr>
                      <w:spacing w:val="1"/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-1"/>
                      <w:sz w:val="22"/>
                      <w:szCs w:val="22"/>
                    </w:rPr>
                    <w:t>基金全一账户</w:t>
                  </w:r>
                </w:p>
              </w:txbxContent>
            </v:textbox>
          </v:shape>
        </w:pict>
      </w:r>
      <w:r>
        <w:rPr>
          <w:rFonts w:ascii="Arial" w:eastAsia="Arial" w:hAnsi="Arial" w:cs="Arial"/>
          <w:color w:val="595959"/>
          <w:spacing w:val="-1"/>
          <w:position w:val="33"/>
          <w:sz w:val="16"/>
          <w:szCs w:val="16"/>
        </w:rPr>
        <w:t>40%</w:t>
      </w:r>
    </w:p>
    <w:p>
      <w:pPr>
        <w:spacing w:line="219" w:lineRule="exact"/>
        <w:ind w:left="1929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595959"/>
          <w:spacing w:val="-2"/>
          <w:position w:val="1"/>
          <w:sz w:val="16"/>
          <w:szCs w:val="16"/>
        </w:rPr>
        <w:t>20%</w:t>
      </w:r>
    </w:p>
    <w:p>
      <w:pPr>
        <w:pStyle w:val="BodyText"/>
        <w:spacing w:before="31" w:line="184" w:lineRule="auto"/>
        <w:ind w:left="17236"/>
        <w:rPr>
          <w:sz w:val="16"/>
          <w:szCs w:val="16"/>
        </w:rPr>
      </w:pPr>
      <w:r>
        <w:rPr>
          <w:color w:val="595959"/>
          <w:sz w:val="16"/>
          <w:szCs w:val="16"/>
        </w:rPr>
        <w:drawing>
          <wp:inline distT="0" distB="0" distL="0" distR="0">
            <wp:extent cx="66040" cy="66040"/>
            <wp:effectExtent l="0" t="0" r="0" b="0"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6040" cy="6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595959"/>
          <w:spacing w:val="8"/>
          <w:sz w:val="16"/>
          <w:szCs w:val="16"/>
        </w:rPr>
        <w:t xml:space="preserve"> </w:t>
      </w:r>
      <w:r>
        <w:rPr>
          <w:color w:val="595959"/>
          <w:spacing w:val="-1"/>
          <w:sz w:val="16"/>
          <w:szCs w:val="16"/>
        </w:rPr>
        <w:t>现金存款</w:t>
      </w:r>
    </w:p>
    <w:p>
      <w:pPr>
        <w:spacing w:before="166" w:line="216" w:lineRule="exact"/>
        <w:ind w:left="2020"/>
        <w:rPr>
          <w:rFonts w:ascii="Arial" w:eastAsia="Arial" w:hAnsi="Arial" w:cs="Arial"/>
          <w:sz w:val="16"/>
          <w:szCs w:val="16"/>
        </w:rPr>
      </w:pPr>
      <w: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column">
                  <wp:posOffset>566927</wp:posOffset>
                </wp:positionH>
                <wp:positionV relativeFrom="paragraph">
                  <wp:posOffset>139144</wp:posOffset>
                </wp:positionV>
                <wp:extent cx="2865120" cy="692150"/>
                <wp:effectExtent l="0" t="0" r="0" b="0"/>
                <wp:wrapNone/>
                <wp:docPr id="112" name="Rect 1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566927" y="139144"/>
                          <a:ext cx="2865120" cy="6921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12" o:spid="_x0000_s1076" style="width:225.6pt;height:54.5pt;margin-top:10.96pt;margin-left:44.64pt;mso-wrap-distance-bottom:0;mso-wrap-distance-left:0;mso-wrap-distance-right:0;mso-wrap-distance-top:0;position:absolute;v-text-anchor:top;z-index:-251654144" fillcolor="#f2f2f2" stroked="f"/>
            </w:pict>
          </mc:Fallback>
        </mc:AlternateContent>
      </w:r>
      <w:r>
        <w:rPr>
          <w:rFonts w:ascii="Arial" w:eastAsia="Arial" w:hAnsi="Arial" w:cs="Arial"/>
          <w:color w:val="595959"/>
          <w:spacing w:val="-3"/>
          <w:position w:val="1"/>
          <w:sz w:val="16"/>
          <w:szCs w:val="16"/>
        </w:rPr>
        <w:t>0%</w:t>
      </w:r>
    </w:p>
    <w:p>
      <w:pPr>
        <w:pStyle w:val="BodyText"/>
        <w:spacing w:line="176" w:lineRule="auto"/>
        <w:ind w:left="1205"/>
        <w:rPr>
          <w:sz w:val="19"/>
          <w:szCs w:val="19"/>
        </w:rPr>
        <w:sectPr>
          <w:footerReference w:type="default" r:id="rId43"/>
          <w:pgSz w:w="19200" w:h="10800"/>
          <w:pgMar w:top="0" w:right="0" w:bottom="140" w:left="0" w:header="0" w:footer="0" w:gutter="0"/>
          <w:pgNumType w:start="9"/>
          <w:cols w:num="1" w:space="708" w:equalWidth="0">
            <w:col w:w="19200" w:space="0"/>
          </w:cols>
        </w:sectPr>
      </w:pPr>
      <w:r>
        <w:rPr>
          <w:color w:val="595959"/>
          <w:spacing w:val="-8"/>
          <w:sz w:val="19"/>
          <w:szCs w:val="19"/>
        </w:rPr>
        <w:t>1940</w:t>
      </w:r>
    </w:p>
    <w:p>
      <w:pPr>
        <w:pStyle w:val="BodyText"/>
        <w:spacing w:before="49" w:line="535" w:lineRule="exact"/>
        <w:ind w:firstLine="13142"/>
      </w:pPr>
      <w:r>
        <w:rPr>
          <w:position w:val="-10"/>
        </w:rPr>
        <w:pict>
          <v:shape id="_x0000_i1077" type="#_x0000_t202" style="width:180.6pt;height:26.8pt;mso-position-horizontal-relative:char;mso-position-vertical-relative:line" filled="t" fillcolor="#f2f2f2" stroked="f">
            <o:lock v:ext="edit" aspectratio="f"/>
            <v:textbox inset="0,0,0,0">
              <w:txbxContent>
                <w:p>
                  <w:pPr>
                    <w:spacing w:before="124" w:line="183" w:lineRule="auto"/>
                    <w:ind w:left="1249"/>
                    <w:rPr>
                      <w:rFonts w:ascii="Microsoft YaHei" w:eastAsia="Microsoft YaHei" w:hAnsi="Microsoft YaHei" w:cs="Microsoft YaHei"/>
                      <w:sz w:val="28"/>
                      <w:szCs w:val="28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1"/>
                      <w:sz w:val="28"/>
                      <w:szCs w:val="28"/>
                    </w:rPr>
                    <w:t>科技赋能</w:t>
                  </w:r>
                </w:p>
              </w:txbxContent>
            </v:textbox>
            <w10:wrap type="none"/>
          </v:shape>
        </w:pict>
      </w:r>
    </w:p>
    <w:p>
      <w:pPr>
        <w:spacing w:line="173" w:lineRule="exact"/>
      </w:pPr>
    </w:p>
    <w:p>
      <w:pPr>
        <w:spacing w:line="173" w:lineRule="exact"/>
        <w:sectPr>
          <w:footerReference w:type="default" r:id="rId44"/>
          <w:type w:val="nextPage"/>
          <w:pgSz w:w="19200" w:h="10800"/>
          <w:pgMar w:top="0" w:right="0" w:bottom="140" w:left="0" w:header="0" w:footer="0" w:gutter="0"/>
          <w:pgNumType w:start="10"/>
          <w:cols w:num="1" w:space="708" w:equalWidth="0">
            <w:col w:w="19200" w:space="0"/>
          </w:cols>
          <w:titlePg w:val="0"/>
        </w:sectPr>
      </w:pPr>
    </w:p>
    <w:p>
      <w:pPr>
        <w:pStyle w:val="BodyText"/>
        <w:spacing w:before="177" w:line="173" w:lineRule="auto"/>
        <w:ind w:left="1038" w:right="485" w:firstLine="19"/>
        <w:rPr>
          <w:sz w:val="22"/>
          <w:szCs w:val="22"/>
        </w:rPr>
      </w:pPr>
      <w:r>
        <w:rPr>
          <w:spacing w:val="-4"/>
          <w:sz w:val="22"/>
          <w:szCs w:val="22"/>
        </w:rPr>
        <w:t>由保险公司主导</w:t>
      </w:r>
      <w:r>
        <w:rPr>
          <w:spacing w:val="-2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，以销售保险为目的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,  并涉及初步投资咨询与资产规划</w:t>
      </w:r>
      <w:r>
        <w:rPr>
          <w:spacing w:val="-32"/>
          <w:sz w:val="22"/>
          <w:szCs w:val="22"/>
        </w:rPr>
        <w:t xml:space="preserve"> </w:t>
      </w:r>
      <w:r>
        <w:rPr>
          <w:sz w:val="22"/>
          <w:szCs w:val="22"/>
        </w:rPr>
        <w:t xml:space="preserve">， </w:t>
      </w:r>
      <w:r>
        <w:rPr>
          <w:spacing w:val="-1"/>
          <w:sz w:val="22"/>
          <w:szCs w:val="22"/>
        </w:rPr>
        <w:t>但分业经营限制了业务范围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2" w:line="161" w:lineRule="auto"/>
        <w:ind w:right="319"/>
        <w:jc w:val="both"/>
        <w:rPr>
          <w:sz w:val="22"/>
          <w:szCs w:val="22"/>
        </w:rPr>
      </w:pPr>
      <w:r>
        <w:rPr>
          <w:spacing w:val="-3"/>
          <w:sz w:val="22"/>
          <w:szCs w:val="22"/>
        </w:rPr>
        <w:t>居民可支配收入增加</w:t>
      </w:r>
      <w:r>
        <w:rPr>
          <w:spacing w:val="-17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，美国进入老龄化</w:t>
      </w:r>
      <w:r>
        <w:rPr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社会</w:t>
      </w:r>
      <w:r>
        <w:rPr>
          <w:spacing w:val="-3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，社保改革推动养老金入市</w:t>
      </w:r>
      <w:r>
        <w:rPr>
          <w:spacing w:val="-3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，随着</w:t>
      </w:r>
      <w:r>
        <w:rPr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固定佣金制度取消</w:t>
      </w:r>
      <w:r>
        <w:rPr>
          <w:spacing w:val="-17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，以共同基金为主导</w:t>
      </w:r>
      <w:r>
        <w:rPr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的财富管理行业快速发展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2" w:line="161" w:lineRule="auto"/>
        <w:ind w:right="282"/>
        <w:jc w:val="both"/>
        <w:rPr>
          <w:sz w:val="22"/>
          <w:szCs w:val="22"/>
        </w:rPr>
      </w:pPr>
      <w:r>
        <w:rPr>
          <w:spacing w:val="-3"/>
          <w:sz w:val="22"/>
          <w:szCs w:val="22"/>
        </w:rPr>
        <w:t>基金市场佣金率下滑</w:t>
      </w:r>
      <w:r>
        <w:rPr>
          <w:spacing w:val="-24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，独立理财师</w:t>
      </w:r>
      <w:r>
        <w:rPr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与CFP体系共同繁荣</w:t>
      </w:r>
      <w:r>
        <w:rPr>
          <w:spacing w:val="-2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 xml:space="preserve">，以销售基金 </w:t>
      </w:r>
      <w:r>
        <w:rPr>
          <w:spacing w:val="-1"/>
          <w:sz w:val="22"/>
          <w:szCs w:val="22"/>
        </w:rPr>
        <w:t>为主的卖方投顾开始向以客户服务</w:t>
      </w:r>
      <w:r>
        <w:rPr>
          <w:spacing w:val="1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为核心的买方投顾转变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305" w:line="168" w:lineRule="auto"/>
        <w:rPr>
          <w:sz w:val="22"/>
          <w:szCs w:val="22"/>
        </w:rPr>
      </w:pPr>
      <w:r>
        <w:rPr>
          <w:spacing w:val="-2"/>
          <w:sz w:val="22"/>
          <w:szCs w:val="22"/>
        </w:rPr>
        <w:t>混业经营的开启丰富了投顾机构类型</w:t>
      </w:r>
      <w:r>
        <w:rPr>
          <w:spacing w:val="-3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，伴</w:t>
      </w:r>
    </w:p>
    <w:p>
      <w:pPr>
        <w:pStyle w:val="BodyText"/>
        <w:spacing w:before="1" w:line="184" w:lineRule="auto"/>
        <w:ind w:left="9"/>
        <w:rPr>
          <w:sz w:val="22"/>
          <w:szCs w:val="22"/>
        </w:rPr>
      </w:pPr>
      <w:r>
        <w:rPr>
          <w:spacing w:val="-3"/>
          <w:sz w:val="22"/>
          <w:szCs w:val="22"/>
        </w:rPr>
        <w:t>随互联网浪潮到来</w:t>
      </w:r>
      <w:r>
        <w:rPr>
          <w:spacing w:val="-3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，智能投顾出现</w:t>
      </w:r>
    </w:p>
    <w:p>
      <w:pPr>
        <w:spacing w:line="184" w:lineRule="auto"/>
        <w:rPr>
          <w:sz w:val="22"/>
          <w:szCs w:val="22"/>
        </w:rPr>
        <w:sectPr>
          <w:footerReference w:type="default" r:id="rId45"/>
          <w:type w:val="continuous"/>
          <w:pgSz w:w="19200" w:h="10800"/>
          <w:pgMar w:top="0" w:right="0" w:bottom="140" w:left="0" w:header="0" w:footer="0" w:gutter="0"/>
          <w:pgNumType w:start="11"/>
          <w:cols w:num="4" w:space="708" w:equalWidth="0">
            <w:col w:w="5043" w:space="100"/>
            <w:col w:w="4059" w:space="100"/>
            <w:col w:w="3581" w:space="100"/>
            <w:col w:w="6220" w:space="0"/>
          </w:cols>
        </w:sectPr>
      </w:pPr>
    </w:p>
    <w:p>
      <w:pPr>
        <w:spacing w:line="315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pStyle w:val="BodyText"/>
        <w:spacing w:before="82" w:line="200" w:lineRule="exact"/>
        <w:ind w:left="647"/>
        <w:rPr>
          <w:sz w:val="19"/>
          <w:szCs w:val="19"/>
        </w:rPr>
      </w:pPr>
      <w:r>
        <w:pict>
          <v:shape id="_x0000_s1078" type="#_x0000_t202" style="width:340.65pt;height:20.45pt;margin-top:1.53pt;margin-left:613.13pt;position:absolute;z-index:25174630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4" w:lineRule="auto"/>
                    <w:ind w:left="20"/>
                    <w:rPr>
                      <w:rFonts w:ascii="Arial" w:eastAsia="Arial" w:hAnsi="Arial" w:cs="Arial"/>
                      <w:sz w:val="31"/>
                      <w:szCs w:val="31"/>
                    </w:rPr>
                  </w:pPr>
                  <w:r>
                    <w:rPr>
                      <w:color w:val="FFFFFF"/>
                      <w:spacing w:val="15"/>
                      <w:sz w:val="28"/>
                      <w:szCs w:val="28"/>
                    </w:rPr>
                    <w:t xml:space="preserve">请务必阅读报告附注中的风险提示和免责声明       </w:t>
                  </w:r>
                  <w:r>
                    <w:rPr>
                      <w:rFonts w:ascii="Arial" w:eastAsia="Arial" w:hAnsi="Arial" w:cs="Arial"/>
                      <w:color w:val="FFFFFF"/>
                      <w:spacing w:val="15"/>
                      <w:sz w:val="31"/>
                      <w:szCs w:val="31"/>
                    </w:rPr>
                    <w:t>4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452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-62321</wp:posOffset>
            </wp:positionV>
            <wp:extent cx="12188558" cy="335369"/>
            <wp:effectExtent l="0" t="0" r="0" b="0"/>
            <wp:wrapNone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88558" cy="335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3"/>
          <w:sz w:val="19"/>
          <w:szCs w:val="19"/>
        </w:rPr>
        <w:t>资料来源</w:t>
      </w:r>
      <w:r>
        <w:rPr>
          <w:color w:val="FFFFFF"/>
          <w:spacing w:val="-5"/>
          <w:sz w:val="19"/>
          <w:szCs w:val="19"/>
        </w:rPr>
        <w:t xml:space="preserve"> </w:t>
      </w:r>
      <w:r>
        <w:rPr>
          <w:color w:val="FFFFFF"/>
          <w:spacing w:val="3"/>
          <w:sz w:val="19"/>
          <w:szCs w:val="19"/>
        </w:rPr>
        <w:t>：美联储</w:t>
      </w:r>
      <w:r>
        <w:rPr>
          <w:color w:val="FFFFFF"/>
          <w:spacing w:val="-26"/>
          <w:sz w:val="19"/>
          <w:szCs w:val="19"/>
        </w:rPr>
        <w:t xml:space="preserve"> </w:t>
      </w:r>
      <w:r>
        <w:rPr>
          <w:color w:val="FFFFFF"/>
          <w:spacing w:val="3"/>
          <w:sz w:val="19"/>
          <w:szCs w:val="19"/>
        </w:rPr>
        <w:t>，</w:t>
      </w:r>
      <w:r>
        <w:rPr>
          <w:rFonts w:ascii="Arial" w:eastAsia="Arial" w:hAnsi="Arial" w:cs="Arial"/>
          <w:color w:val="FFFFFF"/>
          <w:sz w:val="19"/>
          <w:szCs w:val="19"/>
        </w:rPr>
        <w:t>SEC</w:t>
      </w:r>
      <w:r>
        <w:rPr>
          <w:rFonts w:ascii="Arial" w:eastAsia="Arial" w:hAnsi="Arial" w:cs="Arial"/>
          <w:color w:val="FFFFFF"/>
          <w:spacing w:val="-22"/>
          <w:sz w:val="19"/>
          <w:szCs w:val="19"/>
        </w:rPr>
        <w:t xml:space="preserve"> </w:t>
      </w:r>
      <w:r>
        <w:rPr>
          <w:color w:val="FFFFFF"/>
          <w:spacing w:val="3"/>
          <w:sz w:val="19"/>
          <w:szCs w:val="19"/>
        </w:rPr>
        <w:t>，美国国会</w:t>
      </w:r>
      <w:r>
        <w:rPr>
          <w:color w:val="FFFFFF"/>
          <w:spacing w:val="-25"/>
          <w:sz w:val="19"/>
          <w:szCs w:val="19"/>
        </w:rPr>
        <w:t xml:space="preserve"> </w:t>
      </w:r>
      <w:r>
        <w:rPr>
          <w:color w:val="FFFFFF"/>
          <w:spacing w:val="3"/>
          <w:sz w:val="19"/>
          <w:szCs w:val="19"/>
        </w:rPr>
        <w:t>，</w:t>
      </w:r>
      <w:r>
        <w:rPr>
          <w:color w:val="FFFFFF"/>
          <w:spacing w:val="25"/>
          <w:w w:val="101"/>
          <w:sz w:val="19"/>
          <w:szCs w:val="19"/>
        </w:rPr>
        <w:t xml:space="preserve"> </w:t>
      </w:r>
      <w:r>
        <w:rPr>
          <w:rFonts w:ascii="Arial" w:eastAsia="Arial" w:hAnsi="Arial" w:cs="Arial"/>
          <w:color w:val="FFFFFF"/>
          <w:sz w:val="19"/>
          <w:szCs w:val="19"/>
        </w:rPr>
        <w:t>ICI</w:t>
      </w:r>
      <w:r>
        <w:rPr>
          <w:rFonts w:ascii="Arial" w:eastAsia="Arial" w:hAnsi="Arial" w:cs="Arial"/>
          <w:color w:val="FFFFFF"/>
          <w:spacing w:val="-22"/>
          <w:sz w:val="19"/>
          <w:szCs w:val="19"/>
        </w:rPr>
        <w:t xml:space="preserve"> </w:t>
      </w:r>
      <w:r>
        <w:rPr>
          <w:color w:val="FFFFFF"/>
          <w:spacing w:val="3"/>
          <w:sz w:val="19"/>
          <w:szCs w:val="19"/>
        </w:rPr>
        <w:t>，</w:t>
      </w:r>
      <w:r>
        <w:rPr>
          <w:color w:val="FFFFFF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color w:val="FFFFFF"/>
          <w:sz w:val="19"/>
          <w:szCs w:val="19"/>
        </w:rPr>
        <w:t>CFP</w:t>
      </w:r>
      <w:r>
        <w:rPr>
          <w:color w:val="FFFFFF"/>
          <w:spacing w:val="3"/>
          <w:sz w:val="19"/>
          <w:szCs w:val="19"/>
        </w:rPr>
        <w:t>协会</w:t>
      </w:r>
      <w:r>
        <w:rPr>
          <w:color w:val="FFFFFF"/>
          <w:spacing w:val="-25"/>
          <w:sz w:val="19"/>
          <w:szCs w:val="19"/>
        </w:rPr>
        <w:t xml:space="preserve"> </w:t>
      </w:r>
      <w:r>
        <w:rPr>
          <w:color w:val="FFFFFF"/>
          <w:spacing w:val="3"/>
          <w:sz w:val="19"/>
          <w:szCs w:val="19"/>
        </w:rPr>
        <w:t>，嘉信官网</w:t>
      </w:r>
      <w:r>
        <w:rPr>
          <w:color w:val="FFFFFF"/>
          <w:spacing w:val="-25"/>
          <w:sz w:val="19"/>
          <w:szCs w:val="19"/>
        </w:rPr>
        <w:t xml:space="preserve"> </w:t>
      </w:r>
      <w:r>
        <w:rPr>
          <w:color w:val="FFFFFF"/>
          <w:spacing w:val="3"/>
          <w:sz w:val="19"/>
          <w:szCs w:val="19"/>
        </w:rPr>
        <w:t>，纽约时报</w:t>
      </w:r>
      <w:r>
        <w:rPr>
          <w:color w:val="FFFFFF"/>
          <w:spacing w:val="-26"/>
          <w:sz w:val="19"/>
          <w:szCs w:val="19"/>
        </w:rPr>
        <w:t xml:space="preserve"> </w:t>
      </w:r>
      <w:r>
        <w:rPr>
          <w:color w:val="FFFFFF"/>
          <w:spacing w:val="3"/>
          <w:sz w:val="19"/>
          <w:szCs w:val="19"/>
        </w:rPr>
        <w:t xml:space="preserve">， </w:t>
      </w:r>
      <w:r>
        <w:rPr>
          <w:rFonts w:ascii="Arial" w:eastAsia="Arial" w:hAnsi="Arial" w:cs="Arial"/>
          <w:color w:val="FFFFFF"/>
          <w:sz w:val="19"/>
          <w:szCs w:val="19"/>
        </w:rPr>
        <w:t>Zippia</w:t>
      </w:r>
      <w:r>
        <w:rPr>
          <w:rFonts w:ascii="Arial" w:eastAsia="Arial" w:hAnsi="Arial" w:cs="Arial"/>
          <w:color w:val="FFFFFF"/>
          <w:spacing w:val="-22"/>
          <w:sz w:val="19"/>
          <w:szCs w:val="19"/>
        </w:rPr>
        <w:t xml:space="preserve"> </w:t>
      </w:r>
      <w:r>
        <w:rPr>
          <w:color w:val="FFFFFF"/>
          <w:spacing w:val="3"/>
          <w:sz w:val="19"/>
          <w:szCs w:val="19"/>
        </w:rPr>
        <w:t>，</w:t>
      </w:r>
      <w:r>
        <w:rPr>
          <w:rFonts w:ascii="Arial" w:eastAsia="Arial" w:hAnsi="Arial" w:cs="Arial"/>
          <w:color w:val="FFFFFF"/>
          <w:sz w:val="19"/>
          <w:szCs w:val="19"/>
        </w:rPr>
        <w:t>ATM</w:t>
      </w:r>
      <w:r>
        <w:rPr>
          <w:rFonts w:ascii="Arial" w:eastAsia="Arial" w:hAnsi="Arial" w:cs="Arial"/>
          <w:color w:val="FFFFFF"/>
          <w:spacing w:val="19"/>
          <w:w w:val="101"/>
          <w:sz w:val="19"/>
          <w:szCs w:val="19"/>
        </w:rPr>
        <w:t xml:space="preserve"> </w:t>
      </w:r>
      <w:r>
        <w:rPr>
          <w:rFonts w:ascii="Arial" w:eastAsia="Arial" w:hAnsi="Arial" w:cs="Arial"/>
          <w:color w:val="FFFFFF"/>
          <w:sz w:val="19"/>
          <w:szCs w:val="19"/>
        </w:rPr>
        <w:t>Marketplace</w:t>
      </w:r>
      <w:r>
        <w:rPr>
          <w:rFonts w:ascii="Arial" w:eastAsia="Arial" w:hAnsi="Arial" w:cs="Arial"/>
          <w:color w:val="FFFFFF"/>
          <w:spacing w:val="-23"/>
          <w:sz w:val="19"/>
          <w:szCs w:val="19"/>
        </w:rPr>
        <w:t xml:space="preserve"> </w:t>
      </w:r>
      <w:r>
        <w:rPr>
          <w:color w:val="FFFFFF"/>
          <w:spacing w:val="3"/>
          <w:sz w:val="19"/>
          <w:szCs w:val="19"/>
        </w:rPr>
        <w:t>，</w:t>
      </w:r>
      <w:r>
        <w:rPr>
          <w:color w:val="FFFFFF"/>
          <w:spacing w:val="-34"/>
          <w:sz w:val="19"/>
          <w:szCs w:val="19"/>
        </w:rPr>
        <w:t xml:space="preserve"> </w:t>
      </w:r>
      <w:r>
        <w:rPr>
          <w:color w:val="FFFFFF"/>
          <w:spacing w:val="3"/>
          <w:sz w:val="19"/>
          <w:szCs w:val="19"/>
        </w:rPr>
        <w:t>国海证券研究所</w:t>
      </w:r>
    </w:p>
    <w:p>
      <w:pPr>
        <w:spacing w:line="200" w:lineRule="exact"/>
        <w:rPr>
          <w:sz w:val="19"/>
          <w:szCs w:val="19"/>
        </w:rPr>
        <w:sectPr>
          <w:footerReference w:type="default" r:id="rId46"/>
          <w:type w:val="continuous"/>
          <w:pgSz w:w="19200" w:h="10800"/>
          <w:pgMar w:top="0" w:right="0" w:bottom="140" w:left="0" w:header="0" w:footer="0" w:gutter="0"/>
          <w:pgNumType w:start="12"/>
          <w:cols w:num="1" w:space="708" w:equalWidth="0">
            <w:col w:w="19200" w:space="0"/>
          </w:cols>
        </w:sectPr>
      </w:pPr>
    </w:p>
    <w:p>
      <w:pPr>
        <w:pStyle w:val="BodyText"/>
        <w:spacing w:before="307" w:line="186" w:lineRule="auto"/>
        <w:ind w:left="147"/>
        <w:rPr>
          <w:sz w:val="47"/>
          <w:szCs w:val="47"/>
        </w:rPr>
      </w:pPr>
      <w:r>
        <mc:AlternateContent>
          <mc:Choice Requires="wps">
            <w:drawing>
              <wp:anchor distT="0" distB="0" distL="0" distR="0" simplePos="0" relativeHeight="251750400" behindDoc="1" locked="0" layoutInCell="0" allowOverlap="1">
                <wp:simplePos x="0" y="0"/>
                <wp:positionH relativeFrom="page">
                  <wp:posOffset>4646675</wp:posOffset>
                </wp:positionH>
                <wp:positionV relativeFrom="page">
                  <wp:posOffset>3553967</wp:posOffset>
                </wp:positionV>
                <wp:extent cx="3941445" cy="802005"/>
                <wp:effectExtent l="0" t="0" r="0" b="0"/>
                <wp:wrapNone/>
                <wp:docPr id="118" name="Rect 1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4646675" y="3553967"/>
                          <a:ext cx="3941445" cy="802005"/>
                        </a:xfrm>
                        <a:prstGeom prst="rect">
                          <a:avLst/>
                        </a:prstGeom>
                        <a:solidFill>
                          <a:srgbClr val="CBEBFF">
                            <a:alpha val="50196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18" o:spid="_x0000_s1079" style="width:310.35pt;height:63.15pt;margin-top:279.84pt;margin-left:365.88pt;mso-position-horizontal-relative:page;mso-position-vertical-relative:page;mso-wrap-distance-bottom:0;mso-wrap-distance-left:0;mso-wrap-distance-right:0;mso-wrap-distance-top:0;position:absolute;v-text-anchor:top;z-index:-251567104" o:allowincell="f" fillcolor="#cbebff" stroked="f">
                <v:fill opacity="32897f"/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48352" behindDoc="1" locked="0" layoutInCell="0" allowOverlap="1">
                <wp:simplePos x="0" y="0"/>
                <wp:positionH relativeFrom="page">
                  <wp:posOffset>4646675</wp:posOffset>
                </wp:positionH>
                <wp:positionV relativeFrom="page">
                  <wp:posOffset>4507991</wp:posOffset>
                </wp:positionV>
                <wp:extent cx="3941445" cy="802005"/>
                <wp:effectExtent l="0" t="0" r="0" b="0"/>
                <wp:wrapNone/>
                <wp:docPr id="120" name="Rect 1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4646675" y="4507991"/>
                          <a:ext cx="3941445" cy="802005"/>
                        </a:xfrm>
                        <a:prstGeom prst="rect">
                          <a:avLst/>
                        </a:prstGeom>
                        <a:solidFill>
                          <a:srgbClr val="CBEBFF">
                            <a:alpha val="50196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20" o:spid="_x0000_s1080" style="width:310.35pt;height:63.15pt;margin-top:354.96pt;margin-left:365.88pt;mso-position-horizontal-relative:page;mso-position-vertical-relative:page;mso-wrap-distance-bottom:0;mso-wrap-distance-left:0;mso-wrap-distance-right:0;mso-wrap-distance-top:0;position:absolute;v-text-anchor:top;z-index:-251569152" o:allowincell="f" fillcolor="#cbebff" stroked="f">
                <v:fill opacity="32897f"/>
              </v:rect>
            </w:pict>
          </mc:Fallback>
        </mc:AlternateContent>
      </w:r>
      <w:r>
        <w:pict>
          <v:group id="_x0000_s1081" style="width:22.1pt;height:22.1pt;margin-top:270.79pt;margin-left:138.44pt;mso-position-horizontal-relative:page;mso-position-vertical-relative:page;position:absolute;z-index:251763712" coordorigin="0,0" coordsize="442,442" o:allowincell="f" filled="f" stroked="f">
            <v:shape id="_x0000_s1082" type="#_x0000_t75" style="width:442;height:442;position:absolute" filled="f" stroked="f">
              <v:imagedata r:id="rId47" o:title=""/>
            </v:shape>
            <v:shape id="_x0000_s1083" type="#_x0000_t202" style="width:482;height:532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9" w:line="197" w:lineRule="auto"/>
                      <w:ind w:left="179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005ADC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shape id="_x0000_s1084" type="#_x0000_t202" style="width:141.9pt;height:40.5pt;margin-top:293.25pt;margin-left:163pt;mso-position-horizontal-relative:page;mso-position-vertical-relative:page;position:absolute;z-index:25175552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84" w:lineRule="auto"/>
                    <w:ind w:left="2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5ADC"/>
                      <w:spacing w:val="-1"/>
                      <w:sz w:val="28"/>
                      <w:szCs w:val="28"/>
                    </w:rPr>
                    <w:t>从卖方销售到买方投顾</w:t>
                  </w:r>
                </w:p>
                <w:p>
                  <w:pPr>
                    <w:pStyle w:val="BodyText"/>
                    <w:spacing w:before="83" w:line="178" w:lineRule="auto"/>
                    <w:ind w:left="576"/>
                    <w:rPr>
                      <w:sz w:val="25"/>
                      <w:szCs w:val="25"/>
                    </w:rPr>
                  </w:pPr>
                  <w:r>
                    <w:rPr>
                      <w:i/>
                      <w:iCs/>
                      <w:color w:val="005ADC"/>
                      <w:sz w:val="25"/>
                      <w:szCs w:val="25"/>
                    </w:rPr>
                    <w:t>业务模式的转变</w:t>
                  </w:r>
                </w:p>
              </w:txbxContent>
            </v:textbox>
          </v:shape>
        </w:pict>
      </w:r>
      <w:r>
        <w:pict>
          <v:shape id="_x0000_s1085" type="#_x0000_t202" style="width:290pt;height:32.2pt;margin-top:296.97pt;margin-left:372.18pt;mso-position-horizontal-relative:page;mso-position-vertical-relative:page;position:absolute;z-index:251754496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76" w:lineRule="auto"/>
                    <w:ind w:left="20" w:right="20" w:hanging="1"/>
                  </w:pPr>
                  <w:r>
                    <w:rPr>
                      <w:spacing w:val="-3"/>
                    </w:rPr>
                    <w:t>客户投顾需求攀升</w:t>
                  </w:r>
                  <w:r>
                    <w:rPr>
                      <w:spacing w:val="-35"/>
                    </w:rPr>
                    <w:t xml:space="preserve"> </w:t>
                  </w:r>
                  <w:r>
                    <w:rPr>
                      <w:spacing w:val="-3"/>
                    </w:rPr>
                    <w:t>，佣金模式难以为继</w:t>
                  </w:r>
                  <w:r>
                    <w:rPr>
                      <w:spacing w:val="-34"/>
                    </w:rPr>
                    <w:t xml:space="preserve"> </w:t>
                  </w:r>
                  <w:r>
                    <w:rPr>
                      <w:spacing w:val="-3"/>
                    </w:rPr>
                    <w:t>，机构开</w:t>
                  </w:r>
                  <w:r>
                    <w:rPr>
                      <w:spacing w:val="-4"/>
                    </w:rPr>
                    <w:t>始以客</w:t>
                  </w:r>
                  <w:r>
                    <w:t xml:space="preserve"> </w:t>
                  </w:r>
                  <w:r>
                    <w:rPr>
                      <w:spacing w:val="-1"/>
                    </w:rPr>
                    <w:t>户为中心</w:t>
                  </w:r>
                </w:p>
              </w:txbxContent>
            </v:textbox>
          </v:shape>
        </w:pict>
      </w:r>
      <w:r>
        <w:pict>
          <v:shape id="_x0000_s1086" type="#_x0000_t202" style="width:44pt;height:20.4pt;margin-top:303.22pt;margin-left:73.95pt;mso-position-horizontal-relative:page;mso-position-vertical-relative:page;position:absolute;z-index:251758592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3" w:lineRule="auto"/>
                    <w:ind w:left="2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pacing w:val="-1"/>
                      <w:sz w:val="28"/>
                      <w:szCs w:val="28"/>
                    </w:rPr>
                    <w:t>第二次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64736" behindDoc="0" locked="0" layoutInCell="0" allowOverlap="1">
            <wp:simplePos x="0" y="0"/>
            <wp:positionH relativeFrom="page">
              <wp:posOffset>4060774</wp:posOffset>
            </wp:positionH>
            <wp:positionV relativeFrom="page">
              <wp:posOffset>3917606</wp:posOffset>
            </wp:positionV>
            <wp:extent cx="586497" cy="76200"/>
            <wp:effectExtent l="0" t="0" r="0" b="0"/>
            <wp:wrapNone/>
            <wp:docPr id="122" name="IM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 122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86497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1424" behindDoc="0" locked="0" layoutInCell="0" allowOverlap="1">
            <wp:simplePos x="0" y="0"/>
            <wp:positionH relativeFrom="page">
              <wp:posOffset>1879091</wp:posOffset>
            </wp:positionH>
            <wp:positionV relativeFrom="page">
              <wp:posOffset>3558540</wp:posOffset>
            </wp:positionV>
            <wp:extent cx="2182367" cy="801623"/>
            <wp:effectExtent l="0" t="0" r="0" b="0"/>
            <wp:wrapNone/>
            <wp:docPr id="124" name="IM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 124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82367" cy="8016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87" style="width:15.6pt;height:33.65pt;margin-top:294.12pt;margin-left:691.08pt;mso-position-horizontal-relative:page;mso-position-vertical-relative:page;position:absolute;z-index:251761664" coordorigin="0,0" coordsize="312,673" o:allowincell="f" path="m311,167l155,167l155,l,335l155,672l155,503l311,503l311,167e" filled="t" fillcolor="#f2f2f2" stroked="f"/>
        </w:pict>
      </w:r>
      <w:r>
        <w:pict>
          <v:group id="_x0000_s1088" style="width:22.1pt;height:22.1pt;margin-top:346.55pt;margin-left:138.07pt;mso-position-horizontal-relative:page;mso-position-vertical-relative:page;position:absolute;z-index:251762688" coordorigin="0,0" coordsize="442,442" o:allowincell="f" filled="f" stroked="f">
            <v:shape id="_x0000_s1089" type="#_x0000_t75" style="width:442;height:442;position:absolute" filled="f" stroked="f">
              <v:imagedata r:id="rId50" o:title=""/>
            </v:shape>
            <v:shape id="_x0000_s1090" type="#_x0000_t202" style="width:482;height:5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50" w:line="196" w:lineRule="auto"/>
                      <w:ind w:left="183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005ADC"/>
                        <w:sz w:val="24"/>
                        <w:szCs w:val="24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shape id="_x0000_s1091" type="#_x0000_t202" style="width:113.9pt;height:40.45pt;margin-top:368.13pt;margin-left:178.13pt;mso-position-horizontal-relative:page;mso-position-vertical-relative:page;position:absolute;z-index:25175654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3" w:lineRule="auto"/>
                    <w:ind w:left="2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5ADC"/>
                      <w:spacing w:val="-1"/>
                      <w:sz w:val="28"/>
                      <w:szCs w:val="28"/>
                    </w:rPr>
                    <w:t>从定制化到智能化</w:t>
                  </w:r>
                </w:p>
                <w:p>
                  <w:pPr>
                    <w:pStyle w:val="BodyText"/>
                    <w:spacing w:before="83" w:line="178" w:lineRule="auto"/>
                    <w:ind w:left="289"/>
                    <w:rPr>
                      <w:sz w:val="25"/>
                      <w:szCs w:val="25"/>
                    </w:rPr>
                  </w:pPr>
                  <w:r>
                    <w:rPr>
                      <w:i/>
                      <w:iCs/>
                      <w:color w:val="005ADC"/>
                      <w:spacing w:val="1"/>
                      <w:sz w:val="25"/>
                      <w:szCs w:val="25"/>
                    </w:rPr>
                    <w:t>科技手段的赋能</w:t>
                  </w:r>
                </w:p>
              </w:txbxContent>
            </v:textbox>
          </v:shape>
        </w:pict>
      </w:r>
      <w:r>
        <w:pict>
          <v:shape id="_x0000_s1092" type="#_x0000_t202" style="width:290pt;height:32.2pt;margin-top:372.08pt;margin-left:372.18pt;mso-position-horizontal-relative:page;mso-position-vertical-relative:page;position:absolute;z-index:251753472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76" w:lineRule="auto"/>
                    <w:ind w:left="20" w:right="20"/>
                  </w:pPr>
                  <w:r>
                    <w:rPr>
                      <w:spacing w:val="-2"/>
                    </w:rPr>
                    <w:t>金融科技技术发展</w:t>
                  </w:r>
                  <w:r>
                    <w:rPr>
                      <w:spacing w:val="-26"/>
                    </w:rPr>
                    <w:t xml:space="preserve"> </w:t>
                  </w:r>
                  <w:r>
                    <w:rPr>
                      <w:spacing w:val="-2"/>
                    </w:rPr>
                    <w:t>，科创企业利用智能化手段覆盖长尾</w:t>
                  </w:r>
                  <w:r>
                    <w:t xml:space="preserve"> </w:t>
                  </w:r>
                  <w:r>
                    <w:rPr>
                      <w:spacing w:val="-1"/>
                    </w:rPr>
                    <w:t>客群的投顾需求</w:t>
                  </w:r>
                </w:p>
              </w:txbxContent>
            </v:textbox>
          </v:shape>
        </w:pict>
      </w:r>
      <w:r>
        <w:pict>
          <v:shape id="_x0000_s1093" type="#_x0000_t202" style="width:44pt;height:20.4pt;margin-top:377.3pt;margin-left:73.95pt;mso-position-horizontal-relative:page;mso-position-vertical-relative:page;position:absolute;z-index:251759616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3" w:lineRule="auto"/>
                    <w:ind w:left="2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pacing w:val="-1"/>
                      <w:sz w:val="28"/>
                      <w:szCs w:val="28"/>
                    </w:rPr>
                    <w:t>第三次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65760" behindDoc="0" locked="0" layoutInCell="0" allowOverlap="1">
            <wp:simplePos x="0" y="0"/>
            <wp:positionH relativeFrom="page">
              <wp:posOffset>4075048</wp:posOffset>
            </wp:positionH>
            <wp:positionV relativeFrom="page">
              <wp:posOffset>4871021</wp:posOffset>
            </wp:positionV>
            <wp:extent cx="572223" cy="76200"/>
            <wp:effectExtent l="0" t="0" r="0" b="0"/>
            <wp:wrapNone/>
            <wp:docPr id="126" name="IM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 126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2223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2448" behindDoc="0" locked="0" layoutInCell="0" allowOverlap="1">
            <wp:simplePos x="0" y="0"/>
            <wp:positionH relativeFrom="page">
              <wp:posOffset>1894332</wp:posOffset>
            </wp:positionH>
            <wp:positionV relativeFrom="page">
              <wp:posOffset>4507991</wp:posOffset>
            </wp:positionV>
            <wp:extent cx="2180844" cy="801623"/>
            <wp:effectExtent l="0" t="0" r="0" b="0"/>
            <wp:wrapNone/>
            <wp:docPr id="128" name="IM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 128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180844" cy="8016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94" style="width:15.75pt;height:33.65pt;margin-top:368.4pt;margin-left:691.32pt;mso-position-horizontal-relative:page;mso-position-vertical-relative:page;position:absolute;z-index:251760640" coordorigin="0,0" coordsize="315,673" o:allowincell="f" path="m314,167l155,167l155,l,336l155,672l155,504l314,504l314,167e" filled="t" fillcolor="#f2f2f2" stroked="f"/>
        </w:pict>
      </w:r>
      <w:r>
        <w:pict>
          <v:shape id="_x0000_s1095" type="#_x0000_t202" style="width:57.9pt;height:20.4pt;margin-top:451.98pt;margin-left:67.09pt;mso-position-horizontal-relative:page;mso-position-vertical-relative:page;position:absolute;z-index:25175756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3" w:lineRule="auto"/>
                    <w:ind w:left="2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pacing w:val="-1"/>
                      <w:sz w:val="28"/>
                      <w:szCs w:val="28"/>
                    </w:rPr>
                    <w:t>变革基础</w:t>
                  </w:r>
                </w:p>
              </w:txbxContent>
            </v:textbox>
          </v:shape>
        </w:pict>
      </w:r>
      <w:r>
        <w:rPr>
          <w:b/>
          <w:bCs/>
          <w:spacing w:val="9"/>
          <w:sz w:val="47"/>
          <w:szCs w:val="47"/>
        </w:rPr>
        <w:t>美国投顾商业模式演变路径参考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pStyle w:val="BodyText"/>
        <w:spacing w:before="151" w:line="188" w:lineRule="auto"/>
        <w:ind w:left="673"/>
        <w:rPr>
          <w:sz w:val="35"/>
          <w:szCs w:val="35"/>
        </w:rPr>
      </w:pPr>
      <w:r>
        <w:rPr>
          <w:sz w:val="35"/>
          <w:szCs w:val="35"/>
        </w:rPr>
        <w:drawing>
          <wp:inline distT="0" distB="0" distL="0" distR="0">
            <wp:extent cx="184480" cy="167792"/>
            <wp:effectExtent l="0" t="0" r="0" b="0"/>
            <wp:docPr id="130" name="IM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 130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4480" cy="16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9"/>
          <w:sz w:val="35"/>
          <w:szCs w:val="35"/>
        </w:rPr>
        <w:t xml:space="preserve"> </w:t>
      </w:r>
      <w:r>
        <w:rPr>
          <w:spacing w:val="9"/>
          <w:sz w:val="35"/>
          <w:szCs w:val="35"/>
        </w:rPr>
        <w:t>美国投顾商业模式历经了三次变革</w:t>
      </w:r>
    </w:p>
    <w:p>
      <w:pPr>
        <w:pStyle w:val="BodyText"/>
        <w:spacing w:before="264" w:line="201" w:lineRule="auto"/>
        <w:ind w:left="1648" w:right="1421" w:hanging="342"/>
      </w:pPr>
      <w:r>
        <w:rPr>
          <w:rFonts w:ascii="Arial" w:eastAsia="Arial" w:hAnsi="Arial" w:cs="Arial"/>
          <w:spacing w:val="-1"/>
        </w:rPr>
        <w:t xml:space="preserve">●   </w:t>
      </w:r>
      <w:r>
        <w:rPr>
          <w:spacing w:val="-1"/>
        </w:rPr>
        <w:t>从</w:t>
      </w:r>
      <w:r>
        <w:rPr>
          <w:rFonts w:ascii="Arial" w:eastAsia="Arial" w:hAnsi="Arial" w:cs="Arial"/>
          <w:spacing w:val="-1"/>
        </w:rPr>
        <w:t>20</w:t>
      </w:r>
      <w:r>
        <w:rPr>
          <w:spacing w:val="-1"/>
        </w:rPr>
        <w:t>世纪</w:t>
      </w:r>
      <w:r>
        <w:rPr>
          <w:rFonts w:ascii="Arial" w:eastAsia="Arial" w:hAnsi="Arial" w:cs="Arial"/>
          <w:spacing w:val="-1"/>
        </w:rPr>
        <w:t>70</w:t>
      </w:r>
      <w:r>
        <w:rPr>
          <w:spacing w:val="-1"/>
        </w:rPr>
        <w:t>年代起</w:t>
      </w:r>
      <w:r>
        <w:rPr>
          <w:spacing w:val="-35"/>
        </w:rPr>
        <w:t xml:space="preserve"> </w:t>
      </w:r>
      <w:r>
        <w:rPr>
          <w:spacing w:val="-1"/>
        </w:rPr>
        <w:t>，美国投顾行业先后历经了从机构到大众、从卖方销售到买方投顾以及从专业化向智能化三次变革</w:t>
      </w:r>
      <w:r>
        <w:rPr>
          <w:spacing w:val="-34"/>
        </w:rPr>
        <w:t xml:space="preserve"> </w:t>
      </w:r>
      <w:r>
        <w:rPr>
          <w:spacing w:val="-1"/>
        </w:rPr>
        <w:t>，从不同角度撬</w:t>
      </w:r>
      <w:r>
        <w:rPr>
          <w:spacing w:val="-2"/>
        </w:rPr>
        <w:t>动了美国投顾行业发</w:t>
      </w:r>
      <w:r>
        <w:t xml:space="preserve"> </w:t>
      </w:r>
      <w:r>
        <w:rPr>
          <w:spacing w:val="-2"/>
        </w:rPr>
        <w:t>展。同时</w:t>
      </w:r>
      <w:r>
        <w:rPr>
          <w:spacing w:val="-35"/>
        </w:rPr>
        <w:t xml:space="preserve"> </w:t>
      </w:r>
      <w:r>
        <w:rPr>
          <w:spacing w:val="-2"/>
        </w:rPr>
        <w:t>，投资顾问法的出台和修订</w:t>
      </w:r>
      <w:r>
        <w:rPr>
          <w:spacing w:val="-34"/>
        </w:rPr>
        <w:t xml:space="preserve"> </w:t>
      </w:r>
      <w:r>
        <w:rPr>
          <w:spacing w:val="-2"/>
        </w:rPr>
        <w:t>，为这三次变革的顺利发生提供</w:t>
      </w:r>
      <w:r>
        <w:rPr>
          <w:spacing w:val="-3"/>
        </w:rPr>
        <w:t>了制度保障。</w:t>
      </w:r>
    </w:p>
    <w:p>
      <w:pPr>
        <w:spacing w:before="44"/>
      </w:pPr>
    </w:p>
    <w:p>
      <w:pPr>
        <w:spacing w:before="43"/>
      </w:pPr>
    </w:p>
    <w:p>
      <w:pPr>
        <w:sectPr>
          <w:footerReference w:type="default" r:id="rId53"/>
          <w:pgSz w:w="19200" w:h="10800"/>
          <w:pgMar w:top="0" w:right="0" w:bottom="1" w:left="0" w:header="0" w:footer="0" w:gutter="0"/>
          <w:pgNumType w:start="13"/>
          <w:cols w:num="1" w:space="708" w:equalWidth="0">
            <w:col w:w="19200" w:space="0"/>
          </w:cols>
        </w:sect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pStyle w:val="BodyText"/>
        <w:spacing w:before="120" w:line="183" w:lineRule="auto"/>
        <w:ind w:left="1499"/>
        <w:rPr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第一次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3" w:line="209" w:lineRule="exact"/>
        <w:ind w:left="7069"/>
      </w:pPr>
      <w:r>
        <w:rPr>
          <w:b/>
          <w:bCs/>
          <w:spacing w:val="-1"/>
          <w:position w:val="-2"/>
        </w:rPr>
        <w:t>变革逻辑</w:t>
      </w:r>
    </w:p>
    <w:p>
      <w:pPr>
        <w:spacing w:line="413" w:lineRule="exact"/>
      </w:pPr>
      <w:r>
        <w:rPr>
          <w:position w:val="-8"/>
        </w:rPr>
        <w:pict>
          <v:group id="_x0000_i1096" style="width:22.1pt;height:20.7pt;mso-position-horizontal-relative:char;mso-position-vertical-relative:line" coordorigin="0,0" coordsize="442,414" filled="f" stroked="f">
            <v:shape id="_x0000_s1097" type="#_x0000_t75" style="width:442;height:442;position:absolute;top:-28" filled="f" stroked="f">
              <v:imagedata r:id="rId54" o:title=""/>
            </v:shape>
            <v:shape id="_x0000_s1098" type="#_x0000_t202" style="width:482;height:482;left:-20;position:absolute;top:-48" filled="f" stroked="f">
              <o:lock v:ext="edit" aspectratio="f"/>
              <v:textbox inset="0,0,0,0">
                <w:txbxContent>
                  <w:p>
                    <w:pPr>
                      <w:spacing w:before="149" w:line="197" w:lineRule="auto"/>
                      <w:ind w:left="192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005ADC"/>
                        <w:sz w:val="24"/>
                        <w:szCs w:val="24"/>
                      </w:rPr>
                      <w:t>1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22" w:line="176" w:lineRule="auto"/>
        <w:ind w:left="4704" w:right="289" w:firstLine="13"/>
      </w:pPr>
      <w:r>
        <w:drawing>
          <wp:anchor distT="0" distB="0" distL="0" distR="0" simplePos="0" relativeHeight="251766784" behindDoc="1" locked="0" layoutInCell="1" allowOverlap="1">
            <wp:simplePos x="0" y="0"/>
            <wp:positionH relativeFrom="column">
              <wp:posOffset>125539</wp:posOffset>
            </wp:positionH>
            <wp:positionV relativeFrom="paragraph">
              <wp:posOffset>-152485</wp:posOffset>
            </wp:positionV>
            <wp:extent cx="6708647" cy="801623"/>
            <wp:effectExtent l="0" t="0" r="0" b="0"/>
            <wp:wrapNone/>
            <wp:docPr id="132" name="IM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 132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708647" cy="8016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99" type="#_x0000_t202" style="width:89.7pt;height:40.4pt;margin-top:1.2pt;margin-left:52.34pt;position:absolute;z-index:25176780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83" w:lineRule="auto"/>
                    <w:ind w:left="31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5ADC"/>
                      <w:spacing w:val="-1"/>
                      <w:sz w:val="28"/>
                      <w:szCs w:val="28"/>
                    </w:rPr>
                    <w:t>从机构到大众</w:t>
                  </w:r>
                </w:p>
                <w:p>
                  <w:pPr>
                    <w:pStyle w:val="BodyText"/>
                    <w:spacing w:before="83" w:line="178" w:lineRule="auto"/>
                    <w:ind w:left="20"/>
                    <w:rPr>
                      <w:sz w:val="25"/>
                      <w:szCs w:val="25"/>
                    </w:rPr>
                  </w:pPr>
                  <w:r>
                    <w:rPr>
                      <w:i/>
                      <w:iCs/>
                      <w:color w:val="005ADC"/>
                      <w:spacing w:val="1"/>
                      <w:sz w:val="25"/>
                      <w:szCs w:val="25"/>
                    </w:rPr>
                    <w:t>客户基础的扩大</w:t>
                  </w:r>
                </w:p>
              </w:txbxContent>
            </v:textbox>
          </v:shape>
        </w:pict>
      </w:r>
      <w:r>
        <w:rPr>
          <w:spacing w:val="-6"/>
        </w:rPr>
        <w:t>固定佣金制度废除</w:t>
      </w:r>
      <w:r>
        <w:rPr>
          <w:spacing w:val="-29"/>
        </w:rPr>
        <w:t xml:space="preserve"> </w:t>
      </w:r>
      <w:r>
        <w:rPr>
          <w:spacing w:val="-6"/>
        </w:rPr>
        <w:t>，折扣经纪商入局</w:t>
      </w:r>
      <w:r>
        <w:rPr>
          <w:spacing w:val="-35"/>
        </w:rPr>
        <w:t xml:space="preserve"> </w:t>
      </w:r>
      <w:r>
        <w:rPr>
          <w:spacing w:val="-6"/>
        </w:rPr>
        <w:t>，叠加养老金改革，</w:t>
      </w:r>
      <w:r>
        <w:t xml:space="preserve"> </w:t>
      </w:r>
      <w:r>
        <w:rPr>
          <w:spacing w:val="-1"/>
        </w:rPr>
        <w:t>投资者门槛大幅降低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line="672" w:lineRule="exact"/>
        <w:ind w:firstLine="21"/>
      </w:pPr>
      <w:r>
        <w:rPr>
          <w:position w:val="-13"/>
        </w:rPr>
        <w:pict>
          <v:shape id="_x0000_i1100" style="width:15.6pt;height:33.6pt;mso-position-horizontal-relative:char;mso-position-vertical-relative:line" coordorigin="0,0" coordsize="312,671" path="m311,167l155,167l155,l,335l155,671l155,504l311,504l311,167e" filled="t" fillcolor="#f2f2f2" stroked="f">
            <w10:wrap type="none"/>
          </v:shape>
        </w:pic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line="182" w:lineRule="auto"/>
        <w:ind w:left="965"/>
      </w:pPr>
      <w:r>
        <w:rPr>
          <w:b/>
          <w:bCs/>
          <w:spacing w:val="-1"/>
        </w:rPr>
        <w:t>触发因素</w:t>
      </w:r>
    </w:p>
    <w:p>
      <w:pPr>
        <w:pStyle w:val="BodyText"/>
        <w:spacing w:before="73" w:line="1262" w:lineRule="exact"/>
      </w:pPr>
      <w:r>
        <w:rPr>
          <w:position w:val="-25"/>
        </w:rPr>
        <w:pict>
          <v:shape id="_x0000_i1101" type="#_x0000_t202" style="width:142.7pt;height:63.15pt;mso-position-horizontal-relative:char;mso-position-vertical-relative:line" filled="t" fillcolor="#d9d9d9" stroked="f">
            <o:lock v:ext="edit" aspectratio="f"/>
            <v:textbox inset="0,0,0,0">
              <w:txbxContent>
                <w:p>
                  <w:pPr>
                    <w:spacing w:line="40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03" w:line="183" w:lineRule="auto"/>
                    <w:ind w:left="403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-1"/>
                      <w:sz w:val="24"/>
                      <w:szCs w:val="24"/>
                    </w:rPr>
                    <w:t>政策驱动</w:t>
                  </w:r>
                  <w:r>
                    <w:rPr>
                      <w:rFonts w:ascii="Microsoft YaHei" w:eastAsia="Microsoft YaHei" w:hAnsi="Microsoft YaHei" w:cs="Microsoft YaHei"/>
                      <w:spacing w:val="66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-1"/>
                      <w:sz w:val="24"/>
                      <w:szCs w:val="24"/>
                    </w:rPr>
                    <w:t>机构跟随</w:t>
                  </w:r>
                </w:p>
              </w:txbxContent>
            </v:textbox>
            <w10:wrap type="none"/>
          </v:shape>
        </w:pict>
      </w:r>
    </w:p>
    <w:p>
      <w:pPr>
        <w:spacing w:line="1262" w:lineRule="exact"/>
        <w:sectPr>
          <w:footerReference w:type="default" r:id="rId56"/>
          <w:type w:val="continuous"/>
          <w:pgSz w:w="19200" w:h="10800"/>
          <w:pgMar w:top="0" w:right="0" w:bottom="1" w:left="0" w:header="0" w:footer="0" w:gutter="0"/>
          <w:pgNumType w:start="14"/>
          <w:cols w:num="4" w:space="708" w:equalWidth="0">
            <w:col w:w="2662" w:space="100"/>
            <w:col w:w="10939" w:space="100"/>
            <w:col w:w="720" w:space="0"/>
            <w:col w:w="4680" w:space="0"/>
          </w:cols>
        </w:sectPr>
      </w:pPr>
    </w:p>
    <w:p>
      <w:pPr>
        <w:pStyle w:val="BodyText"/>
        <w:spacing w:before="240" w:line="1262" w:lineRule="exact"/>
        <w:ind w:firstLine="14520"/>
      </w:pPr>
      <w:r>
        <w:rPr>
          <w:position w:val="-25"/>
        </w:rPr>
        <w:pict>
          <v:shape id="_x0000_i1102" type="#_x0000_t202" style="width:142.7pt;height:63.15pt;mso-position-horizontal-relative:char;mso-position-vertical-relative:line" filled="t" fillcolor="#d9d9d9" stroked="f">
            <o:lock v:ext="edit" aspectratio="f"/>
            <v:textbox inset="0,0,0,0">
              <w:txbxContent>
                <w:p>
                  <w:pPr>
                    <w:spacing w:line="25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03" w:line="176" w:lineRule="auto"/>
                    <w:ind w:left="949" w:right="516" w:hanging="429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-1"/>
                      <w:sz w:val="24"/>
                      <w:szCs w:val="24"/>
                    </w:rPr>
                    <w:t>投资者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+</w:t>
                  </w:r>
                  <w:r>
                    <w:rPr>
                      <w:rFonts w:ascii="Microsoft YaHei" w:eastAsia="Microsoft YaHei" w:hAnsi="Microsoft YaHei" w:cs="Microsoft YaHei"/>
                      <w:spacing w:val="-1"/>
                      <w:sz w:val="24"/>
                      <w:szCs w:val="24"/>
                    </w:rPr>
                    <w:t>投顾机构</w:t>
                  </w:r>
                  <w:r>
                    <w:rPr>
                      <w:rFonts w:ascii="Microsoft YaHei" w:eastAsia="Microsoft YaHei" w:hAnsi="Microsoft YaHei" w:cs="Microsoft YaHei"/>
                      <w:spacing w:val="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-1"/>
                      <w:sz w:val="24"/>
                      <w:szCs w:val="24"/>
                    </w:rPr>
                    <w:t>双轮驱动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before="233" w:line="1262" w:lineRule="exact"/>
        <w:ind w:firstLine="14520"/>
        <w:sectPr>
          <w:footerReference w:type="default" r:id="rId57"/>
          <w:type w:val="continuous"/>
          <w:pgSz w:w="19200" w:h="10800"/>
          <w:pgMar w:top="0" w:right="0" w:bottom="1" w:left="0" w:header="0" w:footer="0" w:gutter="0"/>
          <w:pgNumType w:start="15"/>
          <w:cols w:num="1" w:space="708" w:equalWidth="0">
            <w:col w:w="19200" w:space="0"/>
          </w:cols>
        </w:sectPr>
      </w:pPr>
      <w:r>
        <w:rPr>
          <w:position w:val="-25"/>
        </w:rPr>
        <w:pict>
          <v:shape id="_x0000_i1103" type="#_x0000_t202" style="width:142.7pt;height:63.15pt;mso-position-horizontal-relative:char;mso-position-vertical-relative:line" filled="t" fillcolor="#d9d9d9" stroked="f">
            <o:lock v:ext="edit" aspectratio="f"/>
            <v:textbox inset="0,0,0,0">
              <w:txbxContent>
                <w:p>
                  <w:pPr>
                    <w:spacing w:line="40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03" w:line="182" w:lineRule="auto"/>
                    <w:ind w:left="950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-1"/>
                      <w:sz w:val="24"/>
                      <w:szCs w:val="24"/>
                    </w:rPr>
                    <w:t>机构驱动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before="211" w:line="1263" w:lineRule="exact"/>
        <w:ind w:firstLine="2932"/>
      </w:pPr>
      <w:r>
        <w:rPr>
          <w:position w:val="-25"/>
        </w:rPr>
        <w:pict>
          <v:shape id="_x0000_i1104" type="#_x0000_t202" style="width:722.05pt;height:63.15pt;mso-position-horizontal-relative:char;mso-position-vertical-relative:line" filled="t" fillcolor="#f2f2f2" stroked="f">
            <o:lock v:ext="edit" aspectratio="f"/>
            <v:textbox inset="0,0,0,0">
              <w:txbxContent>
                <w:p>
                  <w:pPr>
                    <w:spacing w:before="279" w:line="185" w:lineRule="auto"/>
                    <w:ind w:left="5684"/>
                    <w:rPr>
                      <w:rFonts w:ascii="Microsoft YaHei" w:eastAsia="Microsoft YaHei" w:hAnsi="Microsoft YaHei" w:cs="Microsoft YaHei"/>
                      <w:sz w:val="28"/>
                      <w:szCs w:val="28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1"/>
                      <w:sz w:val="28"/>
                      <w:szCs w:val="28"/>
                    </w:rPr>
                    <w:t>投资顾问法的出台和完善</w:t>
                  </w:r>
                </w:p>
                <w:p>
                  <w:pPr>
                    <w:spacing w:before="83" w:line="178" w:lineRule="auto"/>
                    <w:ind w:left="6133"/>
                    <w:rPr>
                      <w:rFonts w:ascii="Microsoft YaHei" w:eastAsia="Microsoft YaHei" w:hAnsi="Microsoft YaHei" w:cs="Microsoft YaHei"/>
                      <w:sz w:val="25"/>
                      <w:szCs w:val="25"/>
                    </w:rPr>
                  </w:pPr>
                  <w:r>
                    <w:rPr>
                      <w:rFonts w:ascii="Microsoft YaHei" w:eastAsia="Microsoft YaHei" w:hAnsi="Microsoft YaHei" w:cs="Microsoft YaHei"/>
                      <w:i/>
                      <w:iCs/>
                      <w:color w:val="005ADC"/>
                      <w:spacing w:val="-1"/>
                      <w:sz w:val="25"/>
                      <w:szCs w:val="25"/>
                    </w:rPr>
                    <w:t>历次变革的制度保障</w:t>
                  </w:r>
                </w:p>
              </w:txbxContent>
            </v:textbox>
            <w10:wrap type="none"/>
          </v:shape>
        </w:pict>
      </w:r>
    </w:p>
    <w:p>
      <w:pPr>
        <w:spacing w:line="432" w:lineRule="auto"/>
        <w:rPr>
          <w:rFonts w:ascii="Arial"/>
          <w:sz w:val="21"/>
        </w:rPr>
      </w:pPr>
    </w:p>
    <w:p>
      <w:pPr>
        <w:pStyle w:val="BodyText"/>
        <w:spacing w:line="518" w:lineRule="exact"/>
      </w:pPr>
      <w:r>
        <w:rPr>
          <w:position w:val="-11"/>
        </w:rPr>
        <w:pict>
          <v:group id="_x0000_i1105" style="width:959.75pt;height:26.45pt;mso-position-horizontal-relative:char;mso-position-vertical-relative:line" coordorigin="0,0" coordsize="19195,529" filled="f" stroked="f">
            <v:shape id="_x0000_s1106" type="#_x0000_t75" style="width:19195;height:529;position:absolute" filled="f" stroked="f">
              <v:imagedata r:id="rId10" o:title=""/>
            </v:shape>
            <v:shape id="_x0000_s1107" type="#_x0000_t202" style="width:19235;height:56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69" w:line="184" w:lineRule="auto"/>
                      <w:ind w:left="667"/>
                      <w:rPr>
                        <w:rFonts w:ascii="Arial" w:eastAsia="Arial" w:hAnsi="Arial" w:cs="Arial"/>
                        <w:sz w:val="31"/>
                        <w:szCs w:val="31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13"/>
                        <w:position w:val="3"/>
                        <w:sz w:val="19"/>
                        <w:szCs w:val="19"/>
                      </w:rPr>
                      <w:t>资料来源：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-34"/>
                        <w:position w:val="3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13"/>
                        <w:position w:val="3"/>
                        <w:sz w:val="19"/>
                        <w:szCs w:val="19"/>
                      </w:rPr>
                      <w:t>国海证券研究所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1"/>
                        <w:position w:val="3"/>
                        <w:sz w:val="19"/>
                        <w:szCs w:val="19"/>
                      </w:rPr>
                      <w:t xml:space="preserve">                  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position w:val="3"/>
                        <w:sz w:val="19"/>
                        <w:szCs w:val="19"/>
                      </w:rPr>
                      <w:t xml:space="preserve">                                                                                                                                                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13"/>
                        <w:sz w:val="28"/>
                        <w:szCs w:val="28"/>
                      </w:rPr>
                      <w:t xml:space="preserve">请务必阅读报告附注中的风险提示和免责声明      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3"/>
                        <w:sz w:val="31"/>
                        <w:szCs w:val="31"/>
                      </w:rPr>
                      <w:t>5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518" w:lineRule="exact"/>
        <w:sectPr>
          <w:footerReference w:type="default" r:id="rId58"/>
          <w:type w:val="nextPage"/>
          <w:pgSz w:w="19200" w:h="10800"/>
          <w:pgMar w:top="0" w:right="0" w:bottom="1" w:left="0" w:header="0" w:footer="0" w:gutter="0"/>
          <w:pgNumType w:start="16"/>
          <w:cols w:num="1" w:space="708" w:equalWidth="0">
            <w:col w:w="19200" w:space="0"/>
          </w:cols>
          <w:titlePg w:val="0"/>
        </w:sectPr>
      </w:pPr>
    </w:p>
    <w:p>
      <w:pPr>
        <w:pStyle w:val="BodyText"/>
        <w:spacing w:before="307" w:line="186" w:lineRule="auto"/>
        <w:ind w:left="147"/>
        <w:rPr>
          <w:sz w:val="47"/>
          <w:szCs w:val="47"/>
        </w:rPr>
      </w:pPr>
      <w:r>
        <mc:AlternateContent>
          <mc:Choice Requires="wps">
            <w:drawing>
              <wp:anchor distT="0" distB="0" distL="0" distR="0" simplePos="0" relativeHeight="251770880" behindDoc="0" locked="0" layoutInCell="0" allowOverlap="1">
                <wp:simplePos x="0" y="0"/>
                <wp:positionH relativeFrom="page">
                  <wp:posOffset>571341</wp:posOffset>
                </wp:positionH>
                <wp:positionV relativeFrom="page">
                  <wp:posOffset>4776240</wp:posOffset>
                </wp:positionV>
                <wp:extent cx="785494" cy="227965"/>
                <wp:effectExtent l="0" t="0" r="0" b="0"/>
                <wp:wrapNone/>
                <wp:docPr id="136" name="TextBox 1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571341" y="4776240"/>
                          <a:ext cx="785494" cy="22796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79" w:line="191" w:lineRule="auto"/>
                              <w:ind w:left="20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595959"/>
                                <w:spacing w:val="3"/>
                                <w:sz w:val="19"/>
                                <w:szCs w:val="19"/>
                              </w:rPr>
                              <w:t>公司数量</w:t>
                            </w:r>
                            <w:r>
                              <w:rPr>
                                <w:color w:val="595959"/>
                                <w:spacing w:val="-18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color w:val="595959"/>
                                <w:spacing w:val="3"/>
                                <w:sz w:val="19"/>
                                <w:szCs w:val="19"/>
                              </w:rPr>
                              <w:t>：家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36" o:spid="_x0000_s1108" type="#_x0000_t202" style="width:61.85pt;height:17.95pt;margin-top:376.08pt;margin-left:44.99pt;mso-position-horizontal-relative:page;mso-position-vertical-relative:page;mso-wrap-distance-bottom:0;mso-wrap-distance-left:0;mso-wrap-distance-right:0;mso-wrap-distance-top:0;position:absolute;rotation:270;v-text-anchor:top;z-index:2517698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79" w:line="191" w:lineRule="auto"/>
                        <w:ind w:left="20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color w:val="595959"/>
                          <w:spacing w:val="3"/>
                          <w:sz w:val="19"/>
                          <w:szCs w:val="19"/>
                        </w:rPr>
                        <w:t>公司数量</w:t>
                      </w:r>
                      <w:r>
                        <w:rPr>
                          <w:color w:val="595959"/>
                          <w:spacing w:val="-18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color w:val="595959"/>
                          <w:spacing w:val="3"/>
                          <w:sz w:val="19"/>
                          <w:szCs w:val="19"/>
                        </w:rPr>
                        <w:t>：家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768832" behindDoc="0" locked="0" layoutInCell="0" allowOverlap="1">
            <wp:simplePos x="0" y="0"/>
            <wp:positionH relativeFrom="page">
              <wp:posOffset>7027126</wp:posOffset>
            </wp:positionH>
            <wp:positionV relativeFrom="page">
              <wp:posOffset>3681107</wp:posOffset>
            </wp:positionV>
            <wp:extent cx="4247019" cy="1958899"/>
            <wp:effectExtent l="0" t="0" r="0" b="0"/>
            <wp:wrapNone/>
            <wp:docPr id="138" name="IM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 138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247019" cy="1958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9"/>
          <w:sz w:val="47"/>
          <w:szCs w:val="47"/>
        </w:rPr>
        <w:t>美国基金降费的影响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pStyle w:val="BodyText"/>
        <w:spacing w:before="151" w:line="188" w:lineRule="auto"/>
        <w:ind w:left="673"/>
        <w:rPr>
          <w:sz w:val="35"/>
          <w:szCs w:val="35"/>
        </w:rPr>
      </w:pPr>
      <w:r>
        <w:rPr>
          <w:sz w:val="35"/>
          <w:szCs w:val="35"/>
        </w:rPr>
        <w:drawing>
          <wp:inline distT="0" distB="0" distL="0" distR="0">
            <wp:extent cx="184480" cy="167792"/>
            <wp:effectExtent l="0" t="0" r="0" b="0"/>
            <wp:docPr id="140" name="IM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 140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4480" cy="16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35"/>
          <w:szCs w:val="35"/>
        </w:rPr>
        <w:t xml:space="preserve"> </w:t>
      </w:r>
      <w:r>
        <w:rPr>
          <w:spacing w:val="5"/>
          <w:sz w:val="35"/>
          <w:szCs w:val="35"/>
        </w:rPr>
        <w:t>美国基金降费的过程中</w:t>
      </w:r>
      <w:r>
        <w:rPr>
          <w:spacing w:val="-49"/>
          <w:sz w:val="35"/>
          <w:szCs w:val="35"/>
        </w:rPr>
        <w:t xml:space="preserve"> </w:t>
      </w:r>
      <w:r>
        <w:rPr>
          <w:spacing w:val="5"/>
          <w:sz w:val="35"/>
          <w:szCs w:val="35"/>
        </w:rPr>
        <w:t>，马太效应加剧</w:t>
      </w:r>
      <w:r>
        <w:rPr>
          <w:spacing w:val="-49"/>
          <w:sz w:val="35"/>
          <w:szCs w:val="35"/>
        </w:rPr>
        <w:t xml:space="preserve"> </w:t>
      </w:r>
      <w:r>
        <w:rPr>
          <w:spacing w:val="5"/>
          <w:sz w:val="35"/>
          <w:szCs w:val="35"/>
        </w:rPr>
        <w:t>，市场集中度提升</w:t>
      </w:r>
    </w:p>
    <w:p>
      <w:pPr>
        <w:pStyle w:val="BodyText"/>
        <w:spacing w:before="264" w:line="201" w:lineRule="auto"/>
        <w:ind w:left="1664" w:right="1286" w:hanging="358"/>
      </w:pPr>
      <w:r>
        <w:rPr>
          <w:rFonts w:ascii="Arial" w:eastAsia="Arial" w:hAnsi="Arial" w:cs="Arial"/>
          <w:spacing w:val="-2"/>
        </w:rPr>
        <w:t xml:space="preserve">●   </w:t>
      </w:r>
      <w:r>
        <w:rPr>
          <w:spacing w:val="-2"/>
        </w:rPr>
        <w:t>对于中小型资管机构而言，</w:t>
      </w:r>
      <w:r>
        <w:rPr>
          <w:spacing w:val="-47"/>
        </w:rPr>
        <w:t xml:space="preserve"> </w:t>
      </w:r>
      <w:r>
        <w:rPr>
          <w:spacing w:val="-2"/>
        </w:rPr>
        <w:t>由于缺乏规模效应</w:t>
      </w:r>
      <w:r>
        <w:rPr>
          <w:spacing w:val="-35"/>
        </w:rPr>
        <w:t xml:space="preserve"> </w:t>
      </w:r>
      <w:r>
        <w:rPr>
          <w:spacing w:val="-2"/>
        </w:rPr>
        <w:t>，如果被迫收取更低的管理费率则意味着</w:t>
      </w:r>
      <w:r>
        <w:rPr>
          <w:b/>
          <w:bCs/>
          <w:spacing w:val="-2"/>
        </w:rPr>
        <w:t>运营成本难以被覆盖</w:t>
      </w:r>
      <w:r>
        <w:rPr>
          <w:b/>
          <w:bCs/>
          <w:spacing w:val="-35"/>
        </w:rPr>
        <w:t xml:space="preserve"> </w:t>
      </w:r>
      <w:r>
        <w:rPr>
          <w:spacing w:val="-2"/>
        </w:rPr>
        <w:t>，而维持高昂的管理</w:t>
      </w:r>
      <w:r>
        <w:rPr>
          <w:spacing w:val="-3"/>
        </w:rPr>
        <w:t>费率则会</w:t>
      </w:r>
      <w:r>
        <w:rPr>
          <w:b/>
          <w:bCs/>
          <w:spacing w:val="-3"/>
        </w:rPr>
        <w:t>失去市场竞争力</w:t>
      </w:r>
      <w:r>
        <w:rPr>
          <w:spacing w:val="-3"/>
        </w:rPr>
        <w:t>，</w:t>
      </w:r>
      <w:r>
        <w:t xml:space="preserve"> </w:t>
      </w:r>
      <w:r>
        <w:rPr>
          <w:spacing w:val="-2"/>
        </w:rPr>
        <w:t>因此在美国公募基金行业费率下行的激烈竞争过程中， 资金不断向头部机构集中</w:t>
      </w:r>
      <w:r>
        <w:rPr>
          <w:spacing w:val="-28"/>
        </w:rPr>
        <w:t xml:space="preserve"> </w:t>
      </w:r>
      <w:r>
        <w:rPr>
          <w:spacing w:val="-2"/>
        </w:rPr>
        <w:t>，推升市场集中度</w:t>
      </w:r>
      <w:r>
        <w:rPr>
          <w:spacing w:val="-35"/>
        </w:rPr>
        <w:t xml:space="preserve"> </w:t>
      </w:r>
      <w:r>
        <w:rPr>
          <w:spacing w:val="-2"/>
        </w:rPr>
        <w:t>，加剧马太效应。</w:t>
      </w:r>
    </w:p>
    <w:p>
      <w:pPr>
        <w:pStyle w:val="BodyText"/>
        <w:spacing w:before="256" w:line="207" w:lineRule="auto"/>
        <w:ind w:left="1648" w:right="1338" w:hanging="342"/>
      </w:pPr>
      <w:r>
        <w:rPr>
          <w:rFonts w:ascii="Arial" w:eastAsia="Arial" w:hAnsi="Arial" w:cs="Arial"/>
          <w:spacing w:val="-1"/>
        </w:rPr>
        <w:t>●   2002</w:t>
      </w:r>
      <w:r>
        <w:rPr>
          <w:spacing w:val="-1"/>
        </w:rPr>
        <w:t>年</w:t>
      </w:r>
      <w:r>
        <w:rPr>
          <w:spacing w:val="-34"/>
        </w:rPr>
        <w:t xml:space="preserve"> </w:t>
      </w:r>
      <w:r>
        <w:rPr>
          <w:spacing w:val="-1"/>
        </w:rPr>
        <w:t>，进入全球资管规模</w:t>
      </w:r>
      <w:r>
        <w:rPr>
          <w:rFonts w:ascii="Arial" w:eastAsia="Arial" w:hAnsi="Arial" w:cs="Arial"/>
          <w:spacing w:val="-1"/>
        </w:rPr>
        <w:t>TOP500</w:t>
      </w:r>
      <w:r>
        <w:rPr>
          <w:spacing w:val="-1"/>
        </w:rPr>
        <w:t>榜单的美国资管机</w:t>
      </w:r>
      <w:r>
        <w:rPr>
          <w:spacing w:val="-2"/>
        </w:rPr>
        <w:t>构有</w:t>
      </w:r>
      <w:r>
        <w:rPr>
          <w:rFonts w:ascii="Arial" w:eastAsia="Arial" w:hAnsi="Arial" w:cs="Arial"/>
          <w:b/>
          <w:bCs/>
          <w:spacing w:val="-2"/>
        </w:rPr>
        <w:t>233</w:t>
      </w:r>
      <w:r>
        <w:rPr>
          <w:b/>
          <w:bCs/>
          <w:spacing w:val="-2"/>
        </w:rPr>
        <w:t>家</w:t>
      </w:r>
      <w:r>
        <w:rPr>
          <w:b/>
          <w:bCs/>
          <w:spacing w:val="-36"/>
        </w:rPr>
        <w:t xml:space="preserve"> </w:t>
      </w:r>
      <w:r>
        <w:rPr>
          <w:spacing w:val="-2"/>
        </w:rPr>
        <w:t>，但到了</w:t>
      </w:r>
      <w:r>
        <w:rPr>
          <w:rFonts w:ascii="Arial" w:eastAsia="Arial" w:hAnsi="Arial" w:cs="Arial"/>
          <w:spacing w:val="-2"/>
        </w:rPr>
        <w:t>2021</w:t>
      </w:r>
      <w:r>
        <w:rPr>
          <w:spacing w:val="-2"/>
        </w:rPr>
        <w:t>年</w:t>
      </w:r>
      <w:r>
        <w:rPr>
          <w:spacing w:val="-34"/>
        </w:rPr>
        <w:t xml:space="preserve"> </w:t>
      </w:r>
      <w:r>
        <w:rPr>
          <w:spacing w:val="-2"/>
        </w:rPr>
        <w:t>，上述资管机构仍在榜单中的数量仅</w:t>
      </w:r>
      <w:r>
        <w:rPr>
          <w:rFonts w:ascii="Arial" w:eastAsia="Arial" w:hAnsi="Arial" w:cs="Arial"/>
          <w:b/>
          <w:bCs/>
          <w:spacing w:val="-2"/>
        </w:rPr>
        <w:t>77</w:t>
      </w:r>
      <w:r>
        <w:rPr>
          <w:b/>
          <w:bCs/>
          <w:spacing w:val="-2"/>
        </w:rPr>
        <w:t>家</w:t>
      </w:r>
      <w:r>
        <w:rPr>
          <w:spacing w:val="-2"/>
        </w:rPr>
        <w:t>。从管理规模前</w:t>
      </w:r>
      <w:r>
        <w:rPr>
          <w:rFonts w:ascii="Arial" w:eastAsia="Arial" w:hAnsi="Arial" w:cs="Arial"/>
          <w:spacing w:val="-2"/>
        </w:rPr>
        <w:t>150</w:t>
      </w:r>
      <w:r>
        <w:rPr>
          <w:spacing w:val="-2"/>
        </w:rPr>
        <w:t>名资管机构</w:t>
      </w:r>
      <w:r>
        <w:t xml:space="preserve"> </w:t>
      </w:r>
      <w:r>
        <w:rPr>
          <w:spacing w:val="-1"/>
        </w:rPr>
        <w:t>合计管理规模的集中度也可看出</w:t>
      </w:r>
      <w:r>
        <w:rPr>
          <w:spacing w:val="-35"/>
        </w:rPr>
        <w:t xml:space="preserve"> </w:t>
      </w:r>
      <w:r>
        <w:rPr>
          <w:spacing w:val="-1"/>
        </w:rPr>
        <w:t>，排名越靠前的资管机</w:t>
      </w:r>
      <w:r>
        <w:rPr>
          <w:spacing w:val="-2"/>
        </w:rPr>
        <w:t>构集中度提升越明显</w:t>
      </w:r>
      <w:r>
        <w:rPr>
          <w:spacing w:val="-35"/>
        </w:rPr>
        <w:t xml:space="preserve"> </w:t>
      </w:r>
      <w:r>
        <w:rPr>
          <w:spacing w:val="-2"/>
        </w:rPr>
        <w:t>，且格局稳固。</w:t>
      </w:r>
      <w:r>
        <w:rPr>
          <w:rFonts w:ascii="Arial" w:eastAsia="Arial" w:hAnsi="Arial" w:cs="Arial"/>
          <w:spacing w:val="-2"/>
        </w:rPr>
        <w:t>2022</w:t>
      </w:r>
      <w:r>
        <w:rPr>
          <w:spacing w:val="-2"/>
        </w:rPr>
        <w:t>年美国管理规模前</w:t>
      </w:r>
      <w:r>
        <w:rPr>
          <w:rFonts w:ascii="Arial" w:eastAsia="Arial" w:hAnsi="Arial" w:cs="Arial"/>
          <w:spacing w:val="-2"/>
        </w:rPr>
        <w:t>10</w:t>
      </w:r>
      <w:r>
        <w:rPr>
          <w:spacing w:val="-2"/>
        </w:rPr>
        <w:t>的资管机构中</w:t>
      </w:r>
      <w:r>
        <w:rPr>
          <w:spacing w:val="-35"/>
        </w:rPr>
        <w:t xml:space="preserve"> </w:t>
      </w:r>
      <w:r>
        <w:rPr>
          <w:spacing w:val="-2"/>
        </w:rPr>
        <w:t>，仅有贝莱德和普莱仕</w:t>
      </w:r>
      <w:r>
        <w:t xml:space="preserve">  </w:t>
      </w:r>
      <w:r>
        <w:rPr>
          <w:spacing w:val="-1"/>
        </w:rPr>
        <w:t>两家机构在</w:t>
      </w:r>
      <w:r>
        <w:rPr>
          <w:rFonts w:ascii="Arial" w:eastAsia="Arial" w:hAnsi="Arial" w:cs="Arial"/>
          <w:spacing w:val="-1"/>
        </w:rPr>
        <w:t>2002-2022</w:t>
      </w:r>
      <w:r>
        <w:rPr>
          <w:spacing w:val="-1"/>
        </w:rPr>
        <w:t>共</w:t>
      </w:r>
      <w:r>
        <w:rPr>
          <w:rFonts w:ascii="Arial" w:eastAsia="Arial" w:hAnsi="Arial" w:cs="Arial"/>
          <w:spacing w:val="-1"/>
        </w:rPr>
        <w:t>20</w:t>
      </w:r>
      <w:r>
        <w:rPr>
          <w:spacing w:val="-1"/>
        </w:rPr>
        <w:t>年间排名上升最为显</w:t>
      </w:r>
      <w:r>
        <w:rPr>
          <w:spacing w:val="-2"/>
        </w:rPr>
        <w:t>著</w:t>
      </w:r>
      <w:r>
        <w:rPr>
          <w:spacing w:val="-35"/>
        </w:rPr>
        <w:t xml:space="preserve"> </w:t>
      </w:r>
      <w:r>
        <w:rPr>
          <w:spacing w:val="-2"/>
        </w:rPr>
        <w:t>，而其他机构排名变动很小</w:t>
      </w:r>
      <w:r>
        <w:rPr>
          <w:spacing w:val="-34"/>
        </w:rPr>
        <w:t xml:space="preserve"> </w:t>
      </w:r>
      <w:r>
        <w:rPr>
          <w:spacing w:val="-2"/>
        </w:rPr>
        <w:t>，表明其头部地位几乎未被撼动。</w:t>
      </w:r>
    </w:p>
    <w:p>
      <w:pPr>
        <w:spacing w:before="1"/>
      </w:pPr>
    </w:p>
    <w:p>
      <w:pPr>
        <w:spacing w:before="1"/>
      </w:pPr>
    </w:p>
    <w:p/>
    <w:p>
      <w:pPr>
        <w:sectPr>
          <w:footerReference w:type="default" r:id="rId60"/>
          <w:pgSz w:w="19200" w:h="10800"/>
          <w:pgMar w:top="0" w:right="0" w:bottom="1" w:left="0" w:header="0" w:footer="0" w:gutter="0"/>
          <w:pgNumType w:start="17"/>
          <w:cols w:num="1" w:space="708" w:equalWidth="0">
            <w:col w:w="19200" w:space="0"/>
          </w:cols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before="82" w:line="179" w:lineRule="auto"/>
        <w:jc w:val="right"/>
        <w:rPr>
          <w:sz w:val="19"/>
          <w:szCs w:val="19"/>
        </w:rPr>
      </w:pPr>
      <w:r>
        <w:rPr>
          <w:color w:val="595959"/>
          <w:spacing w:val="1"/>
          <w:sz w:val="19"/>
          <w:szCs w:val="19"/>
        </w:rPr>
        <w:t>250</w:t>
      </w:r>
    </w:p>
    <w:p>
      <w:pPr>
        <w:spacing w:line="315" w:lineRule="auto"/>
        <w:rPr>
          <w:rFonts w:ascii="Arial"/>
          <w:sz w:val="21"/>
        </w:rPr>
      </w:pPr>
    </w:p>
    <w:p>
      <w:pPr>
        <w:pStyle w:val="BodyText"/>
        <w:spacing w:before="82" w:line="179" w:lineRule="auto"/>
        <w:jc w:val="right"/>
        <w:rPr>
          <w:sz w:val="19"/>
          <w:szCs w:val="19"/>
        </w:rPr>
      </w:pPr>
      <w:r>
        <w:rPr>
          <w:color w:val="595959"/>
          <w:spacing w:val="1"/>
          <w:sz w:val="19"/>
          <w:szCs w:val="19"/>
        </w:rPr>
        <w:t>200</w:t>
      </w:r>
    </w:p>
    <w:p>
      <w:pPr>
        <w:spacing w:line="317" w:lineRule="auto"/>
        <w:rPr>
          <w:rFonts w:ascii="Arial"/>
          <w:sz w:val="21"/>
        </w:rPr>
      </w:pPr>
    </w:p>
    <w:p>
      <w:pPr>
        <w:pStyle w:val="BodyText"/>
        <w:spacing w:before="82" w:line="179" w:lineRule="auto"/>
        <w:jc w:val="right"/>
        <w:rPr>
          <w:sz w:val="19"/>
          <w:szCs w:val="19"/>
        </w:rPr>
      </w:pPr>
      <w:r>
        <w:rPr>
          <w:color w:val="595959"/>
          <w:spacing w:val="-2"/>
          <w:sz w:val="19"/>
          <w:szCs w:val="19"/>
        </w:rPr>
        <w:t>150</w:t>
      </w:r>
    </w:p>
    <w:p>
      <w:pPr>
        <w:spacing w:line="316" w:lineRule="auto"/>
        <w:rPr>
          <w:rFonts w:ascii="Arial"/>
          <w:sz w:val="21"/>
        </w:rPr>
      </w:pPr>
    </w:p>
    <w:p>
      <w:pPr>
        <w:pStyle w:val="BodyText"/>
        <w:spacing w:before="82" w:line="179" w:lineRule="auto"/>
        <w:jc w:val="right"/>
        <w:rPr>
          <w:sz w:val="19"/>
          <w:szCs w:val="19"/>
        </w:rPr>
      </w:pPr>
      <w:r>
        <w:rPr>
          <w:color w:val="595959"/>
          <w:spacing w:val="-2"/>
          <w:sz w:val="19"/>
          <w:szCs w:val="19"/>
        </w:rPr>
        <w:t>100</w:t>
      </w:r>
    </w:p>
    <w:p>
      <w:pPr>
        <w:spacing w:line="316" w:lineRule="auto"/>
        <w:rPr>
          <w:rFonts w:ascii="Arial"/>
          <w:sz w:val="21"/>
        </w:rPr>
      </w:pPr>
    </w:p>
    <w:p>
      <w:pPr>
        <w:pStyle w:val="BodyText"/>
        <w:spacing w:before="81" w:line="179" w:lineRule="auto"/>
        <w:jc w:val="right"/>
        <w:rPr>
          <w:sz w:val="19"/>
          <w:szCs w:val="19"/>
        </w:rPr>
      </w:pPr>
      <w:r>
        <w:rPr>
          <w:color w:val="595959"/>
          <w:spacing w:val="-4"/>
          <w:sz w:val="19"/>
          <w:szCs w:val="19"/>
        </w:rPr>
        <w:t>50</w:t>
      </w:r>
    </w:p>
    <w:p>
      <w:pPr>
        <w:spacing w:line="316" w:lineRule="auto"/>
        <w:rPr>
          <w:rFonts w:ascii="Arial"/>
          <w:sz w:val="21"/>
        </w:rPr>
      </w:pPr>
    </w:p>
    <w:p>
      <w:pPr>
        <w:pStyle w:val="BodyText"/>
        <w:spacing w:before="82" w:line="179" w:lineRule="auto"/>
        <w:jc w:val="right"/>
        <w:rPr>
          <w:sz w:val="19"/>
          <w:szCs w:val="19"/>
        </w:rPr>
      </w:pPr>
      <w:r>
        <w:rPr>
          <w:color w:val="595959"/>
          <w:spacing w:val="-4"/>
          <w:sz w:val="19"/>
          <w:szCs w:val="19"/>
        </w:rPr>
        <w:t>0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5" w:line="176" w:lineRule="auto"/>
        <w:ind w:left="2429" w:right="1320" w:hanging="2240"/>
      </w:pPr>
      <w:r>
        <w:rPr>
          <w:color w:val="595959"/>
          <w:spacing w:val="-1"/>
        </w:rPr>
        <w:t>2002年进入全球AUM TOP500的美国资管机构在后续年份</w:t>
      </w:r>
      <w:r>
        <w:rPr>
          <w:color w:val="595959"/>
          <w:spacing w:val="2"/>
        </w:rPr>
        <w:t xml:space="preserve"> </w:t>
      </w:r>
      <w:r>
        <w:rPr>
          <w:color w:val="595959"/>
          <w:spacing w:val="-1"/>
        </w:rPr>
        <w:t>进入榜单的数量</w:t>
      </w:r>
    </w:p>
    <w:p>
      <w:pPr>
        <w:spacing w:line="241" w:lineRule="auto"/>
        <w:rPr>
          <w:rFonts w:ascii="Arial"/>
          <w:sz w:val="21"/>
        </w:rPr>
      </w:pPr>
    </w:p>
    <w:p>
      <w:pPr>
        <w:spacing w:before="1" w:line="3230" w:lineRule="exact"/>
        <w:sectPr>
          <w:footerReference w:type="default" r:id="rId61"/>
          <w:type w:val="continuous"/>
          <w:pgSz w:w="19200" w:h="10800"/>
          <w:pgMar w:top="0" w:right="0" w:bottom="1" w:left="0" w:header="0" w:footer="0" w:gutter="0"/>
          <w:pgNumType w:start="18"/>
          <w:cols w:num="3" w:space="708" w:equalWidth="0">
            <w:col w:w="2083" w:space="50"/>
            <w:col w:w="7682" w:space="100"/>
            <w:col w:w="9286" w:space="0"/>
          </w:cols>
        </w:sectPr>
      </w:pPr>
      <w:r>
        <w:rPr>
          <w:position w:val="-64"/>
        </w:rPr>
        <w:drawing>
          <wp:inline distT="0" distB="0" distL="0" distR="0">
            <wp:extent cx="4638357" cy="2050973"/>
            <wp:effectExtent l="0" t="0" r="0" b="0"/>
            <wp:docPr id="142" name="IM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 142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638357" cy="205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62" w:line="159" w:lineRule="exact"/>
        <w:ind w:left="158"/>
        <w:rPr>
          <w:sz w:val="19"/>
          <w:szCs w:val="19"/>
        </w:rPr>
      </w:pPr>
      <w:r>
        <w:rPr>
          <w:color w:val="595959"/>
          <w:spacing w:val="3"/>
          <w:position w:val="-2"/>
          <w:sz w:val="19"/>
          <w:szCs w:val="19"/>
        </w:rPr>
        <w:t>2002</w:t>
      </w:r>
      <w:r>
        <w:rPr>
          <w:color w:val="595959"/>
          <w:spacing w:val="17"/>
          <w:position w:val="-2"/>
          <w:sz w:val="19"/>
          <w:szCs w:val="19"/>
        </w:rPr>
        <w:t xml:space="preserve">  </w:t>
      </w:r>
      <w:r>
        <w:rPr>
          <w:color w:val="595959"/>
          <w:spacing w:val="3"/>
          <w:position w:val="-2"/>
          <w:sz w:val="19"/>
          <w:szCs w:val="19"/>
        </w:rPr>
        <w:t>2009</w:t>
      </w:r>
      <w:r>
        <w:rPr>
          <w:color w:val="595959"/>
          <w:spacing w:val="16"/>
          <w:w w:val="101"/>
          <w:position w:val="-2"/>
          <w:sz w:val="19"/>
          <w:szCs w:val="19"/>
        </w:rPr>
        <w:t xml:space="preserve">  </w:t>
      </w:r>
      <w:r>
        <w:rPr>
          <w:color w:val="595959"/>
          <w:spacing w:val="3"/>
          <w:position w:val="-2"/>
          <w:sz w:val="19"/>
          <w:szCs w:val="19"/>
        </w:rPr>
        <w:t>2010</w:t>
      </w:r>
      <w:r>
        <w:rPr>
          <w:color w:val="595959"/>
          <w:spacing w:val="16"/>
          <w:w w:val="101"/>
          <w:position w:val="-2"/>
          <w:sz w:val="19"/>
          <w:szCs w:val="19"/>
        </w:rPr>
        <w:t xml:space="preserve">  </w:t>
      </w:r>
      <w:r>
        <w:rPr>
          <w:color w:val="595959"/>
          <w:spacing w:val="3"/>
          <w:position w:val="-2"/>
          <w:sz w:val="19"/>
          <w:szCs w:val="19"/>
        </w:rPr>
        <w:t>2013</w:t>
      </w:r>
      <w:r>
        <w:rPr>
          <w:color w:val="595959"/>
          <w:spacing w:val="17"/>
          <w:position w:val="-2"/>
          <w:sz w:val="19"/>
          <w:szCs w:val="19"/>
        </w:rPr>
        <w:t xml:space="preserve">  </w:t>
      </w:r>
      <w:r>
        <w:rPr>
          <w:color w:val="595959"/>
          <w:spacing w:val="3"/>
          <w:position w:val="-2"/>
          <w:sz w:val="19"/>
          <w:szCs w:val="19"/>
        </w:rPr>
        <w:t>2014</w:t>
      </w:r>
      <w:r>
        <w:rPr>
          <w:color w:val="595959"/>
          <w:spacing w:val="16"/>
          <w:w w:val="101"/>
          <w:position w:val="-2"/>
          <w:sz w:val="19"/>
          <w:szCs w:val="19"/>
        </w:rPr>
        <w:t xml:space="preserve">  </w:t>
      </w:r>
      <w:r>
        <w:rPr>
          <w:color w:val="595959"/>
          <w:spacing w:val="3"/>
          <w:position w:val="-2"/>
          <w:sz w:val="19"/>
          <w:szCs w:val="19"/>
        </w:rPr>
        <w:t>2015</w:t>
      </w:r>
      <w:r>
        <w:rPr>
          <w:color w:val="595959"/>
          <w:spacing w:val="17"/>
          <w:position w:val="-2"/>
          <w:sz w:val="19"/>
          <w:szCs w:val="19"/>
        </w:rPr>
        <w:t xml:space="preserve">  </w:t>
      </w:r>
      <w:r>
        <w:rPr>
          <w:color w:val="595959"/>
          <w:spacing w:val="3"/>
          <w:position w:val="-2"/>
          <w:sz w:val="19"/>
          <w:szCs w:val="19"/>
        </w:rPr>
        <w:t>201</w:t>
      </w:r>
      <w:r>
        <w:rPr>
          <w:color w:val="595959"/>
          <w:spacing w:val="2"/>
          <w:position w:val="-2"/>
          <w:sz w:val="19"/>
          <w:szCs w:val="19"/>
        </w:rPr>
        <w:t>6</w:t>
      </w:r>
      <w:r>
        <w:rPr>
          <w:color w:val="595959"/>
          <w:spacing w:val="16"/>
          <w:w w:val="101"/>
          <w:position w:val="-2"/>
          <w:sz w:val="19"/>
          <w:szCs w:val="19"/>
        </w:rPr>
        <w:t xml:space="preserve">  </w:t>
      </w:r>
      <w:r>
        <w:rPr>
          <w:color w:val="595959"/>
          <w:spacing w:val="2"/>
          <w:position w:val="-2"/>
          <w:sz w:val="19"/>
          <w:szCs w:val="19"/>
        </w:rPr>
        <w:t>2017</w:t>
      </w:r>
      <w:r>
        <w:rPr>
          <w:color w:val="595959"/>
          <w:spacing w:val="17"/>
          <w:position w:val="-2"/>
          <w:sz w:val="19"/>
          <w:szCs w:val="19"/>
        </w:rPr>
        <w:t xml:space="preserve">  </w:t>
      </w:r>
      <w:r>
        <w:rPr>
          <w:color w:val="595959"/>
          <w:spacing w:val="2"/>
          <w:position w:val="-2"/>
          <w:sz w:val="19"/>
          <w:szCs w:val="19"/>
        </w:rPr>
        <w:t>2018</w:t>
      </w:r>
      <w:r>
        <w:rPr>
          <w:color w:val="595959"/>
          <w:spacing w:val="16"/>
          <w:w w:val="101"/>
          <w:position w:val="-2"/>
          <w:sz w:val="19"/>
          <w:szCs w:val="19"/>
        </w:rPr>
        <w:t xml:space="preserve">  </w:t>
      </w:r>
      <w:r>
        <w:rPr>
          <w:color w:val="595959"/>
          <w:spacing w:val="2"/>
          <w:position w:val="-2"/>
          <w:sz w:val="19"/>
          <w:szCs w:val="19"/>
        </w:rPr>
        <w:t>2019</w:t>
      </w:r>
      <w:r>
        <w:rPr>
          <w:color w:val="595959"/>
          <w:spacing w:val="16"/>
          <w:w w:val="101"/>
          <w:position w:val="-2"/>
          <w:sz w:val="19"/>
          <w:szCs w:val="19"/>
        </w:rPr>
        <w:t xml:space="preserve">  </w:t>
      </w:r>
      <w:r>
        <w:rPr>
          <w:color w:val="595959"/>
          <w:spacing w:val="2"/>
          <w:position w:val="-2"/>
          <w:sz w:val="19"/>
          <w:szCs w:val="19"/>
        </w:rPr>
        <w:t>2020</w:t>
      </w:r>
      <w:r>
        <w:rPr>
          <w:color w:val="595959"/>
          <w:spacing w:val="17"/>
          <w:position w:val="-2"/>
          <w:sz w:val="19"/>
          <w:szCs w:val="19"/>
        </w:rPr>
        <w:t xml:space="preserve">  </w:t>
      </w:r>
      <w:r>
        <w:rPr>
          <w:color w:val="595959"/>
          <w:spacing w:val="2"/>
          <w:position w:val="-2"/>
          <w:sz w:val="19"/>
          <w:szCs w:val="19"/>
        </w:rPr>
        <w:t>2021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6" w:line="184" w:lineRule="auto"/>
        <w:ind w:left="1777"/>
      </w:pPr>
      <w:r>
        <w:rPr>
          <w:color w:val="595959"/>
          <w:spacing w:val="-1"/>
        </w:rPr>
        <w:t>管理规模TOP150资管机构的AUM集中度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pStyle w:val="BodyText"/>
        <w:spacing w:before="82" w:line="188" w:lineRule="auto"/>
        <w:rPr>
          <w:sz w:val="19"/>
          <w:szCs w:val="19"/>
        </w:rPr>
      </w:pPr>
      <w:r>
        <w:rPr>
          <w:color w:val="595959"/>
          <w:sz w:val="19"/>
          <w:szCs w:val="19"/>
        </w:rPr>
        <w:t>TOP</w:t>
      </w:r>
      <w:r>
        <w:rPr>
          <w:color w:val="595959"/>
          <w:spacing w:val="11"/>
          <w:sz w:val="19"/>
          <w:szCs w:val="19"/>
        </w:rPr>
        <w:t>40占比</w:t>
      </w:r>
    </w:p>
    <w:p>
      <w:pPr>
        <w:spacing w:line="330" w:lineRule="auto"/>
        <w:rPr>
          <w:rFonts w:ascii="Arial"/>
          <w:sz w:val="21"/>
        </w:rPr>
      </w:pPr>
    </w:p>
    <w:p>
      <w:pPr>
        <w:spacing w:line="330" w:lineRule="auto"/>
        <w:rPr>
          <w:rFonts w:ascii="Arial"/>
          <w:sz w:val="21"/>
        </w:rPr>
      </w:pPr>
    </w:p>
    <w:p>
      <w:pPr>
        <w:pStyle w:val="BodyText"/>
        <w:spacing w:before="82" w:line="188" w:lineRule="auto"/>
        <w:rPr>
          <w:sz w:val="19"/>
          <w:szCs w:val="19"/>
        </w:rPr>
      </w:pPr>
      <w:r>
        <w:rPr>
          <w:color w:val="595959"/>
          <w:sz w:val="19"/>
          <w:szCs w:val="19"/>
        </w:rPr>
        <w:t>TOP</w:t>
      </w:r>
      <w:r>
        <w:rPr>
          <w:color w:val="595959"/>
          <w:spacing w:val="11"/>
          <w:sz w:val="19"/>
          <w:szCs w:val="19"/>
        </w:rPr>
        <w:t>20占比</w:t>
      </w:r>
    </w:p>
    <w:p>
      <w:pPr>
        <w:spacing w:line="330" w:lineRule="auto"/>
        <w:rPr>
          <w:rFonts w:ascii="Arial"/>
          <w:sz w:val="21"/>
        </w:rPr>
      </w:pPr>
    </w:p>
    <w:p>
      <w:pPr>
        <w:spacing w:line="331" w:lineRule="auto"/>
        <w:rPr>
          <w:rFonts w:ascii="Arial"/>
          <w:sz w:val="21"/>
        </w:rPr>
      </w:pPr>
    </w:p>
    <w:p>
      <w:pPr>
        <w:pStyle w:val="BodyText"/>
        <w:spacing w:before="81" w:line="188" w:lineRule="auto"/>
        <w:rPr>
          <w:sz w:val="19"/>
          <w:szCs w:val="19"/>
        </w:rPr>
      </w:pPr>
      <w:r>
        <w:rPr>
          <w:color w:val="595959"/>
          <w:sz w:val="19"/>
          <w:szCs w:val="19"/>
        </w:rPr>
        <w:t>TOP</w:t>
      </w:r>
      <w:r>
        <w:rPr>
          <w:color w:val="595959"/>
          <w:spacing w:val="11"/>
          <w:sz w:val="19"/>
          <w:szCs w:val="19"/>
        </w:rPr>
        <w:t>10占比</w:t>
      </w:r>
    </w:p>
    <w:p>
      <w:pPr>
        <w:spacing w:line="431" w:lineRule="auto"/>
        <w:rPr>
          <w:rFonts w:ascii="Arial"/>
          <w:sz w:val="21"/>
        </w:rPr>
      </w:pPr>
    </w:p>
    <w:p>
      <w:pPr>
        <w:pStyle w:val="BodyText"/>
        <w:spacing w:before="82" w:line="179" w:lineRule="auto"/>
        <w:ind w:left="1110"/>
        <w:rPr>
          <w:sz w:val="19"/>
          <w:szCs w:val="19"/>
        </w:rPr>
      </w:pPr>
      <w:r>
        <w:rPr>
          <w:color w:val="595959"/>
          <w:spacing w:val="2"/>
          <w:sz w:val="19"/>
          <w:szCs w:val="19"/>
        </w:rPr>
        <w:t xml:space="preserve">0        0.1       0.2   </w:t>
      </w:r>
      <w:r>
        <w:rPr>
          <w:color w:val="595959"/>
          <w:spacing w:val="1"/>
          <w:sz w:val="19"/>
          <w:szCs w:val="19"/>
        </w:rPr>
        <w:t xml:space="preserve">    0.3       0.4       0.5</w:t>
      </w:r>
      <w:r>
        <w:rPr>
          <w:color w:val="595959"/>
          <w:sz w:val="19"/>
          <w:szCs w:val="19"/>
        </w:rPr>
        <w:t xml:space="preserve">       </w:t>
      </w:r>
      <w:r>
        <w:rPr>
          <w:color w:val="595959"/>
          <w:spacing w:val="1"/>
          <w:sz w:val="19"/>
          <w:szCs w:val="19"/>
        </w:rPr>
        <w:t>0.6       0.7</w:t>
      </w:r>
      <w:r>
        <w:rPr>
          <w:color w:val="595959"/>
          <w:sz w:val="19"/>
          <w:szCs w:val="19"/>
        </w:rPr>
        <w:t xml:space="preserve">       </w:t>
      </w:r>
      <w:r>
        <w:rPr>
          <w:color w:val="595959"/>
          <w:spacing w:val="1"/>
          <w:sz w:val="19"/>
          <w:szCs w:val="19"/>
        </w:rPr>
        <w:t>0.8</w:t>
      </w:r>
      <w:r>
        <w:rPr>
          <w:color w:val="595959"/>
          <w:sz w:val="19"/>
          <w:szCs w:val="19"/>
        </w:rPr>
        <w:t xml:space="preserve">       </w:t>
      </w:r>
      <w:r>
        <w:rPr>
          <w:color w:val="595959"/>
          <w:spacing w:val="1"/>
          <w:sz w:val="19"/>
          <w:szCs w:val="19"/>
        </w:rPr>
        <w:t>0.9        1</w:t>
      </w:r>
    </w:p>
    <w:p>
      <w:pPr>
        <w:pStyle w:val="BodyText"/>
        <w:spacing w:before="233" w:line="190" w:lineRule="exact"/>
        <w:ind w:left="3251"/>
        <w:rPr>
          <w:sz w:val="19"/>
          <w:szCs w:val="19"/>
        </w:rPr>
      </w:pPr>
      <w:r>
        <w:rPr>
          <w:color w:val="595959"/>
          <w:position w:val="-1"/>
          <w:sz w:val="19"/>
          <w:szCs w:val="19"/>
        </w:rPr>
        <w:drawing>
          <wp:inline distT="0" distB="0" distL="0" distR="0">
            <wp:extent cx="82550" cy="82550"/>
            <wp:effectExtent l="0" t="0" r="0" b="0"/>
            <wp:docPr id="144" name="IM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 144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82550" cy="8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595959"/>
          <w:spacing w:val="25"/>
          <w:position w:val="-2"/>
          <w:sz w:val="19"/>
          <w:szCs w:val="19"/>
        </w:rPr>
        <w:t xml:space="preserve"> </w:t>
      </w:r>
      <w:r>
        <w:rPr>
          <w:color w:val="595959"/>
          <w:spacing w:val="2"/>
          <w:position w:val="-2"/>
          <w:sz w:val="19"/>
          <w:szCs w:val="19"/>
        </w:rPr>
        <w:t>2002</w:t>
      </w:r>
      <w:r>
        <w:rPr>
          <w:color w:val="595959"/>
          <w:spacing w:val="10"/>
          <w:position w:val="-2"/>
          <w:sz w:val="19"/>
          <w:szCs w:val="19"/>
        </w:rPr>
        <w:t xml:space="preserve"> </w:t>
      </w:r>
      <w:r>
        <w:rPr>
          <w:position w:val="-1"/>
          <w:sz w:val="19"/>
          <w:szCs w:val="19"/>
        </w:rPr>
        <w:drawing>
          <wp:inline distT="0" distB="0" distL="0" distR="0">
            <wp:extent cx="82550" cy="82550"/>
            <wp:effectExtent l="0" t="0" r="0" b="0"/>
            <wp:docPr id="146" name="IM 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 146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82550" cy="8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595959"/>
          <w:spacing w:val="21"/>
          <w:w w:val="101"/>
          <w:position w:val="-2"/>
          <w:sz w:val="19"/>
          <w:szCs w:val="19"/>
        </w:rPr>
        <w:t xml:space="preserve"> </w:t>
      </w:r>
      <w:r>
        <w:rPr>
          <w:color w:val="595959"/>
          <w:spacing w:val="2"/>
          <w:position w:val="-2"/>
          <w:sz w:val="19"/>
          <w:szCs w:val="19"/>
        </w:rPr>
        <w:t>2021</w:t>
      </w:r>
    </w:p>
    <w:p>
      <w:pPr>
        <w:spacing w:line="190" w:lineRule="exact"/>
        <w:rPr>
          <w:sz w:val="19"/>
          <w:szCs w:val="19"/>
        </w:rPr>
        <w:sectPr>
          <w:footerReference w:type="default" r:id="rId65"/>
          <w:type w:val="nextPage"/>
          <w:pgSz w:w="19200" w:h="10800"/>
          <w:pgMar w:top="0" w:right="0" w:bottom="1" w:left="0" w:header="0" w:footer="0" w:gutter="0"/>
          <w:pgNumType w:start="19"/>
          <w:cols w:num="3" w:space="708" w:equalWidth="0">
            <w:col w:w="2083" w:space="50"/>
            <w:col w:w="7682" w:space="100"/>
            <w:col w:w="9286" w:space="0"/>
          </w:cols>
          <w:titlePg w:val="0"/>
        </w:sectPr>
      </w:pPr>
    </w:p>
    <w:p>
      <w:pPr>
        <w:spacing w:line="313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pStyle w:val="BodyText"/>
        <w:spacing w:before="1" w:line="518" w:lineRule="exact"/>
      </w:pPr>
      <w:r>
        <w:rPr>
          <w:position w:val="-11"/>
        </w:rPr>
        <w:pict>
          <v:group id="_x0000_i1109" style="width:959.75pt;height:26.45pt;mso-position-horizontal-relative:char;mso-position-vertical-relative:line" coordorigin="0,0" coordsize="19195,529" filled="f" stroked="f">
            <v:shape id="_x0000_s1110" type="#_x0000_t75" style="width:19195;height:529;position:absolute" filled="f" stroked="f">
              <v:imagedata r:id="rId10" o:title=""/>
            </v:shape>
            <v:shape id="_x0000_s1111" type="#_x0000_t202" style="width:19235;height:56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63" w:line="187" w:lineRule="auto"/>
                      <w:ind w:left="667"/>
                      <w:rPr>
                        <w:rFonts w:ascii="Arial" w:eastAsia="Arial" w:hAnsi="Arial" w:cs="Arial"/>
                        <w:sz w:val="31"/>
                        <w:szCs w:val="31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11"/>
                        <w:position w:val="2"/>
                        <w:sz w:val="19"/>
                        <w:szCs w:val="19"/>
                      </w:rPr>
                      <w:t>资料来源：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-34"/>
                        <w:position w:val="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1"/>
                        <w:position w:val="2"/>
                        <w:sz w:val="19"/>
                        <w:szCs w:val="19"/>
                      </w:rPr>
                      <w:t>P&amp;I 500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22"/>
                        <w:position w:val="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11"/>
                        <w:position w:val="2"/>
                        <w:sz w:val="19"/>
                        <w:szCs w:val="19"/>
                      </w:rPr>
                      <w:t>，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-35"/>
                        <w:position w:val="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11"/>
                        <w:position w:val="2"/>
                        <w:sz w:val="19"/>
                        <w:szCs w:val="19"/>
                      </w:rPr>
                      <w:t>国海证券研究所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position w:val="2"/>
                        <w:sz w:val="19"/>
                        <w:szCs w:val="19"/>
                      </w:rPr>
                      <w:t xml:space="preserve">                                                                                                                                                   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11"/>
                        <w:position w:val="-1"/>
                        <w:sz w:val="28"/>
                        <w:szCs w:val="28"/>
                      </w:rPr>
                      <w:t>请务必阅读报告附注中的风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10"/>
                        <w:position w:val="-1"/>
                        <w:sz w:val="28"/>
                        <w:szCs w:val="28"/>
                      </w:rPr>
                      <w:t xml:space="preserve">险提示和免责声明      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0"/>
                        <w:position w:val="-1"/>
                        <w:sz w:val="31"/>
                        <w:szCs w:val="31"/>
                      </w:rPr>
                      <w:t>6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518" w:lineRule="exact"/>
        <w:sectPr>
          <w:footerReference w:type="default" r:id="rId66"/>
          <w:type w:val="continuous"/>
          <w:pgSz w:w="19200" w:h="10800"/>
          <w:pgMar w:top="0" w:right="0" w:bottom="1" w:left="0" w:header="0" w:footer="0" w:gutter="0"/>
          <w:pgNumType w:start="20"/>
          <w:cols w:num="1" w:space="708" w:equalWidth="0">
            <w:col w:w="19200" w:space="0"/>
          </w:cols>
        </w:sectPr>
      </w:pPr>
    </w:p>
    <w:p>
      <w:pPr>
        <w:pStyle w:val="BodyText"/>
        <w:spacing w:before="307" w:line="186" w:lineRule="auto"/>
        <w:ind w:left="147"/>
        <w:rPr>
          <w:sz w:val="47"/>
          <w:szCs w:val="47"/>
        </w:rPr>
      </w:pPr>
      <w:r>
        <w:rPr>
          <w:b/>
          <w:bCs/>
          <w:spacing w:val="9"/>
          <w:sz w:val="47"/>
          <w:szCs w:val="47"/>
        </w:rPr>
        <w:t>美国资管机构发展经验借鉴</w:t>
      </w:r>
    </w:p>
    <w:p>
      <w:pPr>
        <w:spacing w:line="309" w:lineRule="auto"/>
        <w:rPr>
          <w:rFonts w:ascii="Arial"/>
          <w:sz w:val="21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pStyle w:val="BodyText"/>
        <w:spacing w:before="150" w:line="204" w:lineRule="auto"/>
        <w:ind w:left="673"/>
        <w:rPr>
          <w:sz w:val="35"/>
          <w:szCs w:val="35"/>
        </w:rPr>
      </w:pPr>
      <w:r>
        <w:rPr>
          <w:rFonts w:ascii="Wingdings" w:eastAsia="Wingdings" w:hAnsi="Wingdings" w:cs="Wingdings"/>
          <w:color w:val="DA0F2D"/>
          <w:spacing w:val="11"/>
          <w:sz w:val="35"/>
          <w:szCs w:val="35"/>
        </w:rPr>
        <w:t>p</w:t>
      </w:r>
      <w:r>
        <w:rPr>
          <w:spacing w:val="11"/>
          <w:sz w:val="35"/>
          <w:szCs w:val="35"/>
        </w:rPr>
        <w:t>复盘美国资管机构转型经验</w:t>
      </w:r>
      <w:r>
        <w:rPr>
          <w:spacing w:val="-37"/>
          <w:sz w:val="35"/>
          <w:szCs w:val="35"/>
        </w:rPr>
        <w:t xml:space="preserve"> </w:t>
      </w:r>
      <w:r>
        <w:rPr>
          <w:spacing w:val="11"/>
          <w:sz w:val="35"/>
          <w:szCs w:val="35"/>
        </w:rPr>
        <w:t>，可为未来资管机构发展提供经验参考</w:t>
      </w:r>
    </w:p>
    <w:p>
      <w:pPr>
        <w:pStyle w:val="BodyText"/>
        <w:spacing w:before="193" w:line="184" w:lineRule="auto"/>
        <w:ind w:left="1649" w:right="1033" w:hanging="343"/>
      </w:pPr>
      <w:r>
        <w:rPr>
          <w:rFonts w:ascii="Arial" w:eastAsia="Arial" w:hAnsi="Arial" w:cs="Arial"/>
          <w:spacing w:val="-1"/>
        </w:rPr>
        <w:t xml:space="preserve">●   </w:t>
      </w:r>
      <w:r>
        <w:rPr>
          <w:spacing w:val="-1"/>
        </w:rPr>
        <w:t>基于当前市场环境</w:t>
      </w:r>
      <w:r>
        <w:rPr>
          <w:spacing w:val="-34"/>
        </w:rPr>
        <w:t xml:space="preserve"> </w:t>
      </w:r>
      <w:r>
        <w:rPr>
          <w:spacing w:val="-1"/>
        </w:rPr>
        <w:t>，通过梳理美国在过去</w:t>
      </w:r>
      <w:r>
        <w:rPr>
          <w:rFonts w:ascii="Arial" w:eastAsia="Arial" w:hAnsi="Arial" w:cs="Arial"/>
          <w:spacing w:val="-1"/>
        </w:rPr>
        <w:t>20-30</w:t>
      </w:r>
      <w:r>
        <w:rPr>
          <w:spacing w:val="-1"/>
        </w:rPr>
        <w:t>年的市场格局变化和典型机构的发展变化路径</w:t>
      </w:r>
      <w:r>
        <w:rPr>
          <w:spacing w:val="-35"/>
        </w:rPr>
        <w:t xml:space="preserve"> </w:t>
      </w:r>
      <w:r>
        <w:rPr>
          <w:spacing w:val="-1"/>
        </w:rPr>
        <w:t>，可为未来资管机构的转型路径提供参考。我们</w:t>
      </w:r>
      <w:r>
        <w:rPr>
          <w:spacing w:val="-2"/>
        </w:rPr>
        <w:t>发现规模持续提</w:t>
      </w:r>
      <w:r>
        <w:t xml:space="preserve">  </w:t>
      </w:r>
      <w:r>
        <w:rPr>
          <w:spacing w:val="-1"/>
        </w:rPr>
        <w:t>升或增速下滑的机构各自有一定共性</w:t>
      </w:r>
      <w:r>
        <w:rPr>
          <w:spacing w:val="-35"/>
        </w:rPr>
        <w:t xml:space="preserve"> </w:t>
      </w:r>
      <w:r>
        <w:rPr>
          <w:spacing w:val="-1"/>
        </w:rPr>
        <w:t>，并以此划分出扩张稳定机构和扩张放缓机构两类。扩张稳定机构实</w:t>
      </w:r>
      <w:r>
        <w:rPr>
          <w:spacing w:val="-2"/>
        </w:rPr>
        <w:t>现规模稳定增长的主要原因是抓住了特定</w:t>
      </w:r>
      <w:r>
        <w:rPr>
          <w:rFonts w:ascii="Arial" w:eastAsia="Arial" w:hAnsi="Arial" w:cs="Arial"/>
          <w:spacing w:val="-2"/>
        </w:rPr>
        <w:t>Beta</w:t>
      </w:r>
      <w:r>
        <w:rPr>
          <w:spacing w:val="-2"/>
        </w:rPr>
        <w:t>机遇、</w:t>
      </w:r>
      <w:r>
        <w:t xml:space="preserve"> </w:t>
      </w:r>
      <w:r>
        <w:rPr>
          <w:spacing w:val="-1"/>
        </w:rPr>
        <w:t>开启多元转型以及打造客户驱动的解决方案。反之</w:t>
      </w:r>
      <w:r>
        <w:rPr>
          <w:spacing w:val="-35"/>
        </w:rPr>
        <w:t xml:space="preserve"> </w:t>
      </w:r>
      <w:r>
        <w:rPr>
          <w:spacing w:val="-1"/>
        </w:rPr>
        <w:t>，扩张放缓的资管机构普遍由于聚焦主动管理、产品销售主导等原因</w:t>
      </w:r>
      <w:r>
        <w:rPr>
          <w:spacing w:val="-34"/>
        </w:rPr>
        <w:t xml:space="preserve"> </w:t>
      </w:r>
      <w:r>
        <w:rPr>
          <w:spacing w:val="-1"/>
        </w:rPr>
        <w:t>，使其后续</w:t>
      </w:r>
      <w:r>
        <w:rPr>
          <w:spacing w:val="-2"/>
        </w:rPr>
        <w:t>发展相对滞后于成长较快</w:t>
      </w:r>
    </w:p>
    <w:p>
      <w:pPr>
        <w:pStyle w:val="BodyText"/>
        <w:spacing w:before="3" w:line="169" w:lineRule="auto"/>
        <w:ind w:left="1659"/>
      </w:pPr>
      <w:r>
        <w:rPr>
          <w:spacing w:val="-4"/>
        </w:rPr>
        <w:t>的机构。</w:t>
      </w:r>
    </w:p>
    <w:p>
      <w:pPr>
        <w:spacing w:line="169" w:lineRule="auto"/>
        <w:sectPr>
          <w:footerReference w:type="default" r:id="rId67"/>
          <w:pgSz w:w="19200" w:h="10800"/>
          <w:pgMar w:top="0" w:right="0" w:bottom="1" w:left="0" w:header="0" w:footer="0" w:gutter="0"/>
          <w:pgNumType w:start="21"/>
          <w:cols w:num="1" w:space="708" w:equalWidth="0">
            <w:col w:w="19200" w:space="0"/>
          </w:cols>
        </w:sectPr>
      </w:pPr>
    </w:p>
    <w:p>
      <w:pPr>
        <w:spacing w:before="63" w:line="346" w:lineRule="exact"/>
        <w:ind w:firstLine="2815"/>
      </w:pPr>
      <w:r>
        <w:rPr>
          <w:position w:val="-6"/>
        </w:rPr>
        <w:drawing>
          <wp:inline distT="0" distB="0" distL="0" distR="0">
            <wp:extent cx="3968495" cy="219455"/>
            <wp:effectExtent l="0" t="0" r="0" b="0"/>
            <wp:docPr id="150" name="IM 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 150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968495" cy="21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16" w:line="183" w:lineRule="auto"/>
        <w:ind w:left="5158"/>
        <w:rPr>
          <w:sz w:val="28"/>
          <w:szCs w:val="28"/>
        </w:rPr>
      </w:pPr>
      <w:r>
        <w:rPr>
          <w:b/>
          <w:bCs/>
          <w:color w:val="005ADC"/>
          <w:spacing w:val="-1"/>
          <w:sz w:val="28"/>
          <w:szCs w:val="28"/>
        </w:rPr>
        <w:t>稳定扩张机构</w:t>
      </w:r>
    </w:p>
    <w:p>
      <w:pPr>
        <w:pStyle w:val="BodyText"/>
        <w:spacing w:before="24" w:line="2374" w:lineRule="exact"/>
        <w:ind w:firstLine="722"/>
      </w:pPr>
      <w:r>
        <w:rPr>
          <w:position w:val="-47"/>
        </w:rPr>
        <w:pict>
          <v:group id="_x0000_i1112" style="width:404.5pt;height:118.7pt;mso-position-horizontal-relative:char;mso-position-vertical-relative:line" coordorigin="0,0" coordsize="8090,2373" filled="f" stroked="f">
            <v:shape id="_x0000_s1113" type="#_x0000_t75" style="width:7967;height:2373;position:absolute" filled="f" stroked="f">
              <v:imagedata r:id="rId69" o:title=""/>
            </v:shape>
            <v:shape id="_x0000_s1114" type="#_x0000_t202" style="width:5590;height:2003;left:2519;position:absolute;top:183" filled="f" stroked="f">
              <o:lock v:ext="edit" aspectratio="f"/>
              <v:textbox inset="0,0,0,0">
                <w:txbxContent>
                  <w:p>
                    <w:pPr>
                      <w:spacing w:before="21" w:line="194" w:lineRule="auto"/>
                      <w:ind w:left="278" w:right="20" w:hanging="259"/>
                      <w:rPr>
                        <w:rFonts w:ascii="Microsoft YaHei" w:eastAsia="Microsoft YaHei" w:hAnsi="Microsoft YaHei" w:cs="Microsoft YaHei"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spacing w:val="-1"/>
                        <w:sz w:val="24"/>
                        <w:szCs w:val="24"/>
                      </w:rPr>
                      <w:t>•</w:t>
                    </w:r>
                    <w:r>
                      <w:rPr>
                        <w:rFonts w:ascii="Arial" w:eastAsia="Arial" w:hAnsi="Arial" w:cs="Arial"/>
                        <w:spacing w:val="31"/>
                        <w:sz w:val="24"/>
                        <w:szCs w:val="24"/>
                      </w:rPr>
                      <w:t xml:space="preserve"> 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-1"/>
                        <w:sz w:val="24"/>
                        <w:szCs w:val="24"/>
                      </w:rPr>
                      <w:t>抓住机遇：</w:t>
                    </w:r>
                    <w:r>
                      <w:rPr>
                        <w:rFonts w:ascii="Microsoft YaHei" w:eastAsia="Microsoft YaHei" w:hAnsi="Microsoft YaHei" w:cs="Microsoft YaHei"/>
                        <w:spacing w:val="-1"/>
                        <w:sz w:val="24"/>
                        <w:szCs w:val="24"/>
                      </w:rPr>
                      <w:t>抓住某些特定</w:t>
                    </w:r>
                    <w:r>
                      <w:rPr>
                        <w:rFonts w:ascii="Arial" w:eastAsia="Arial" w:hAnsi="Arial" w:cs="Arial"/>
                        <w:spacing w:val="-1"/>
                        <w:sz w:val="24"/>
                        <w:szCs w:val="24"/>
                      </w:rPr>
                      <w:t>Beta</w:t>
                    </w:r>
                    <w:r>
                      <w:rPr>
                        <w:rFonts w:ascii="Microsoft YaHei" w:eastAsia="Microsoft YaHei" w:hAnsi="Microsoft YaHei" w:cs="Microsoft YaHei"/>
                        <w:spacing w:val="-1"/>
                        <w:sz w:val="24"/>
                        <w:szCs w:val="24"/>
                      </w:rPr>
                      <w:t>机遇（如指数、养老</w:t>
                    </w:r>
                    <w:r>
                      <w:rPr>
                        <w:rFonts w:ascii="Microsoft YaHei" w:eastAsia="Microsoft YaHei" w:hAnsi="Microsoft YaHei" w:cs="Microsoft YaHei"/>
                        <w:spacing w:val="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-1"/>
                        <w:sz w:val="24"/>
                        <w:szCs w:val="24"/>
                      </w:rPr>
                      <w:t>金）顺应市场趋势快速发展</w:t>
                    </w:r>
                  </w:p>
                  <w:p>
                    <w:pPr>
                      <w:spacing w:before="71" w:line="176" w:lineRule="auto"/>
                      <w:ind w:left="280" w:right="33" w:hanging="260"/>
                      <w:rPr>
                        <w:rFonts w:ascii="Microsoft YaHei" w:eastAsia="Microsoft YaHei" w:hAnsi="Microsoft YaHei" w:cs="Microsoft YaHei"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spacing w:val="-3"/>
                        <w:sz w:val="24"/>
                        <w:szCs w:val="24"/>
                      </w:rPr>
                      <w:t>•</w:t>
                    </w:r>
                    <w:r>
                      <w:rPr>
                        <w:rFonts w:ascii="Arial" w:eastAsia="Arial" w:hAnsi="Arial" w:cs="Arial"/>
                        <w:spacing w:val="35"/>
                        <w:w w:val="101"/>
                        <w:sz w:val="24"/>
                        <w:szCs w:val="24"/>
                      </w:rPr>
                      <w:t xml:space="preserve"> 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-3"/>
                        <w:sz w:val="24"/>
                        <w:szCs w:val="24"/>
                      </w:rPr>
                      <w:t>多元转型：</w:t>
                    </w:r>
                    <w:r>
                      <w:rPr>
                        <w:rFonts w:ascii="Microsoft YaHei" w:eastAsia="Microsoft YaHei" w:hAnsi="Microsoft YaHei" w:cs="Microsoft YaHei"/>
                        <w:spacing w:val="-3"/>
                        <w:sz w:val="24"/>
                        <w:szCs w:val="24"/>
                      </w:rPr>
                      <w:t>及早开启多元转型</w:t>
                    </w:r>
                    <w:r>
                      <w:rPr>
                        <w:rFonts w:ascii="Microsoft YaHei" w:eastAsia="Microsoft YaHei" w:hAnsi="Microsoft YaHei" w:cs="Microsoft YaHei"/>
                        <w:spacing w:val="-3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-3"/>
                        <w:sz w:val="24"/>
                        <w:szCs w:val="24"/>
                      </w:rPr>
                      <w:t>，包括产品和业务布</w:t>
                    </w:r>
                    <w:r>
                      <w:rPr>
                        <w:rFonts w:ascii="Microsoft YaHei" w:eastAsia="Microsoft YaHei" w:hAnsi="Microsoft YaHei" w:cs="Microsoft YaHei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-4"/>
                        <w:sz w:val="24"/>
                        <w:szCs w:val="24"/>
                      </w:rPr>
                      <w:t>局的多元化</w:t>
                    </w:r>
                    <w:r>
                      <w:rPr>
                        <w:rFonts w:ascii="Microsoft YaHei" w:eastAsia="Microsoft YaHei" w:hAnsi="Microsoft YaHei" w:cs="Microsoft YaHei"/>
                        <w:spacing w:val="-2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-4"/>
                        <w:sz w:val="24"/>
                        <w:szCs w:val="24"/>
                      </w:rPr>
                      <w:t>，以抵抗市场波动</w:t>
                    </w:r>
                  </w:p>
                  <w:p>
                    <w:pPr>
                      <w:spacing w:before="92" w:line="176" w:lineRule="auto"/>
                      <w:ind w:left="277" w:right="33" w:hanging="258"/>
                      <w:rPr>
                        <w:rFonts w:ascii="Microsoft YaHei" w:eastAsia="Microsoft YaHei" w:hAnsi="Microsoft YaHei" w:cs="Microsoft YaHei"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spacing w:val="-3"/>
                        <w:sz w:val="24"/>
                        <w:szCs w:val="24"/>
                      </w:rPr>
                      <w:t>•</w:t>
                    </w:r>
                    <w:r>
                      <w:rPr>
                        <w:rFonts w:ascii="Arial" w:eastAsia="Arial" w:hAnsi="Arial" w:cs="Arial"/>
                        <w:spacing w:val="35"/>
                        <w:w w:val="101"/>
                        <w:sz w:val="24"/>
                        <w:szCs w:val="24"/>
                      </w:rPr>
                      <w:t xml:space="preserve"> 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-3"/>
                        <w:sz w:val="24"/>
                        <w:szCs w:val="24"/>
                      </w:rPr>
                      <w:t>客户驱动：</w:t>
                    </w:r>
                    <w:r>
                      <w:rPr>
                        <w:rFonts w:ascii="Microsoft YaHei" w:eastAsia="Microsoft YaHei" w:hAnsi="Microsoft YaHei" w:cs="Microsoft YaHei"/>
                        <w:spacing w:val="-3"/>
                        <w:sz w:val="24"/>
                        <w:szCs w:val="24"/>
                      </w:rPr>
                      <w:t>将简单的产品组合解决方案化</w:t>
                    </w:r>
                    <w:r>
                      <w:rPr>
                        <w:rFonts w:ascii="Microsoft YaHei" w:eastAsia="Microsoft YaHei" w:hAnsi="Microsoft YaHei" w:cs="Microsoft YaHei"/>
                        <w:spacing w:val="-3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-3"/>
                        <w:sz w:val="24"/>
                        <w:szCs w:val="24"/>
                      </w:rPr>
                      <w:t>，并基于</w:t>
                    </w:r>
                    <w:r>
                      <w:rPr>
                        <w:rFonts w:ascii="Microsoft YaHei" w:eastAsia="Microsoft YaHei" w:hAnsi="Microsoft YaHei" w:cs="Microsoft YaHei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-1"/>
                        <w:sz w:val="24"/>
                        <w:szCs w:val="24"/>
                      </w:rPr>
                      <w:t>客户需求定制方案</w:t>
                    </w:r>
                  </w:p>
                </w:txbxContent>
              </v:textbox>
            </v:shape>
            <v:shape id="_x0000_s1115" type="#_x0000_t202" style="width:1244;height:317;left:261;position:absolute;top:1022" filled="f" stroked="f">
              <o:lock v:ext="edit" aspectratio="f"/>
              <v:textbox inset="0,0,0,0">
                <w:txbxContent>
                  <w:p>
                    <w:pPr>
                      <w:spacing w:before="19" w:line="179" w:lineRule="auto"/>
                      <w:ind w:left="20"/>
                      <w:rPr>
                        <w:rFonts w:ascii="Microsoft YaHei" w:eastAsia="Microsoft YaHei" w:hAnsi="Microsoft YaHei" w:cs="Microsoft YaHei"/>
                        <w:sz w:val="29"/>
                        <w:szCs w:val="2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i/>
                        <w:iCs/>
                        <w:color w:val="7F7F7F"/>
                        <w:spacing w:val="12"/>
                        <w:sz w:val="29"/>
                        <w:szCs w:val="29"/>
                      </w:rPr>
                      <w:t>驱动因素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54" w:line="2760" w:lineRule="exact"/>
        <w:ind w:firstLine="722"/>
      </w:pPr>
      <w:r>
        <w:rPr>
          <w:position w:val="-55"/>
        </w:rPr>
        <w:pict>
          <v:group id="_x0000_i1116" style="width:398.4pt;height:138pt;mso-position-horizontal-relative:char;mso-position-vertical-relative:line" coordorigin="0,0" coordsize="7967,2760" filled="f" stroked="f">
            <v:shape id="_x0000_s1117" type="#_x0000_t75" style="width:7967;height:2760;position:absolute" filled="f" stroked="f">
              <v:imagedata r:id="rId70" o:title=""/>
            </v:shape>
            <v:shape id="_x0000_s1118" type="#_x0000_t202" style="width:5359;height:2565;left:2498;position:absolute;top:152" filled="f" stroked="f">
              <o:lock v:ext="edit" aspectratio="f"/>
              <v:textbox inset="0,0,0,0">
                <w:txbxContent>
                  <w:p>
                    <w:pPr>
                      <w:spacing w:before="20" w:line="177" w:lineRule="auto"/>
                      <w:ind w:left="48"/>
                      <w:rPr>
                        <w:rFonts w:ascii="Microsoft YaHei" w:eastAsia="Microsoft YaHei" w:hAnsi="Microsoft YaHei" w:cs="Microsoft YaHei"/>
                        <w:sz w:val="24"/>
                        <w:szCs w:val="24"/>
                      </w:rPr>
                    </w:pPr>
                    <w:r>
                      <w:rPr>
                        <w:rFonts w:ascii="Wingdings" w:eastAsia="Wingdings" w:hAnsi="Wingdings" w:cs="Wingdings"/>
                        <w:color w:val="009BFB"/>
                        <w:spacing w:val="-3"/>
                        <w:sz w:val="24"/>
                        <w:szCs w:val="24"/>
                      </w:rPr>
                      <w:t>u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009BFB"/>
                        <w:spacing w:val="-3"/>
                        <w:sz w:val="24"/>
                        <w:szCs w:val="24"/>
                      </w:rPr>
                      <w:t>路径一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009BFB"/>
                        <w:spacing w:val="-2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009BFB"/>
                        <w:spacing w:val="-3"/>
                        <w:sz w:val="24"/>
                        <w:szCs w:val="24"/>
                      </w:rPr>
                      <w:t>：抓住养老金发展机遇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009BFB"/>
                        <w:spacing w:val="-40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009BFB"/>
                        <w:spacing w:val="-3"/>
                        <w:sz w:val="24"/>
                        <w:szCs w:val="24"/>
                      </w:rPr>
                      <w:t>，深耕养老金市场</w:t>
                    </w:r>
                  </w:p>
                  <w:p>
                    <w:pPr>
                      <w:spacing w:line="213" w:lineRule="auto"/>
                      <w:ind w:left="2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i/>
                        <w:iCs/>
                        <w:spacing w:val="1"/>
                        <w:sz w:val="25"/>
                        <w:szCs w:val="25"/>
                      </w:rPr>
                      <w:t>代表机构：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z w:val="24"/>
                        <w:szCs w:val="24"/>
                      </w:rPr>
                      <w:t>TRowe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pacing w:val="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z w:val="24"/>
                        <w:szCs w:val="24"/>
                      </w:rPr>
                      <w:t>Price</w:t>
                    </w:r>
                    <w:r>
                      <w:rPr>
                        <w:rFonts w:ascii="Microsoft YaHei" w:eastAsia="Microsoft YaHei" w:hAnsi="Microsoft YaHei" w:cs="Microsoft YaHei"/>
                        <w:i/>
                        <w:iCs/>
                        <w:spacing w:val="1"/>
                        <w:sz w:val="25"/>
                        <w:szCs w:val="25"/>
                      </w:rPr>
                      <w:t>、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z w:val="24"/>
                        <w:szCs w:val="24"/>
                      </w:rPr>
                      <w:t>Fidelity</w:t>
                    </w:r>
                    <w:r>
                      <w:rPr>
                        <w:rFonts w:ascii="Microsoft YaHei" w:eastAsia="Microsoft YaHei" w:hAnsi="Microsoft YaHei" w:cs="Microsoft YaHei"/>
                        <w:i/>
                        <w:iCs/>
                        <w:spacing w:val="1"/>
                        <w:sz w:val="25"/>
                        <w:szCs w:val="25"/>
                      </w:rPr>
                      <w:t>、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z w:val="24"/>
                        <w:szCs w:val="24"/>
                      </w:rPr>
                      <w:t>Vanguard</w:t>
                    </w:r>
                  </w:p>
                  <w:p>
                    <w:pPr>
                      <w:spacing w:before="122" w:line="177" w:lineRule="auto"/>
                      <w:ind w:left="48"/>
                      <w:rPr>
                        <w:rFonts w:ascii="Microsoft YaHei" w:eastAsia="Microsoft YaHei" w:hAnsi="Microsoft YaHei" w:cs="Microsoft YaHei"/>
                        <w:sz w:val="24"/>
                        <w:szCs w:val="24"/>
                      </w:rPr>
                    </w:pPr>
                    <w:r>
                      <w:rPr>
                        <w:rFonts w:ascii="Wingdings" w:eastAsia="Wingdings" w:hAnsi="Wingdings" w:cs="Wingdings"/>
                        <w:color w:val="009BFB"/>
                        <w:spacing w:val="-1"/>
                        <w:sz w:val="24"/>
                        <w:szCs w:val="24"/>
                      </w:rPr>
                      <w:t>u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009BFB"/>
                        <w:spacing w:val="-1"/>
                        <w:sz w:val="24"/>
                        <w:szCs w:val="24"/>
                      </w:rPr>
                      <w:t>路径二：顺应指数化浪潮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009BFB"/>
                        <w:spacing w:val="-39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009BFB"/>
                        <w:spacing w:val="-1"/>
                        <w:sz w:val="24"/>
                        <w:szCs w:val="24"/>
                      </w:rPr>
                      <w:t>，及时布局指数业务</w:t>
                    </w:r>
                  </w:p>
                  <w:p>
                    <w:pPr>
                      <w:spacing w:before="1" w:line="213" w:lineRule="auto"/>
                      <w:ind w:left="2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i/>
                        <w:iCs/>
                        <w:spacing w:val="-2"/>
                        <w:sz w:val="25"/>
                        <w:szCs w:val="25"/>
                      </w:rPr>
                      <w:t>代表机构：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pacing w:val="-2"/>
                        <w:sz w:val="24"/>
                        <w:szCs w:val="24"/>
                      </w:rPr>
                      <w:t>State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pacing w:val="17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pacing w:val="-2"/>
                        <w:sz w:val="24"/>
                        <w:szCs w:val="24"/>
                      </w:rPr>
                      <w:t>Street</w:t>
                    </w:r>
                    <w:r>
                      <w:rPr>
                        <w:rFonts w:ascii="Microsoft YaHei" w:eastAsia="Microsoft YaHei" w:hAnsi="Microsoft YaHei" w:cs="Microsoft YaHei"/>
                        <w:i/>
                        <w:iCs/>
                        <w:spacing w:val="-2"/>
                        <w:sz w:val="25"/>
                        <w:szCs w:val="25"/>
                      </w:rPr>
                      <w:t>、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pacing w:val="-2"/>
                        <w:sz w:val="24"/>
                        <w:szCs w:val="24"/>
                      </w:rPr>
                      <w:t>Vanguar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pacing w:val="-3"/>
                        <w:sz w:val="24"/>
                        <w:szCs w:val="24"/>
                      </w:rPr>
                      <w:t>d</w:t>
                    </w:r>
                    <w:r>
                      <w:rPr>
                        <w:rFonts w:ascii="Microsoft YaHei" w:eastAsia="Microsoft YaHei" w:hAnsi="Microsoft YaHei" w:cs="Microsoft YaHei"/>
                        <w:i/>
                        <w:iCs/>
                        <w:spacing w:val="-3"/>
                        <w:sz w:val="25"/>
                        <w:szCs w:val="25"/>
                      </w:rPr>
                      <w:t>、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pacing w:val="-3"/>
                        <w:sz w:val="24"/>
                        <w:szCs w:val="24"/>
                      </w:rPr>
                      <w:t>BlackRock</w:t>
                    </w:r>
                  </w:p>
                  <w:p>
                    <w:pPr>
                      <w:spacing w:before="122" w:line="177" w:lineRule="auto"/>
                      <w:ind w:left="48"/>
                      <w:rPr>
                        <w:rFonts w:ascii="Microsoft YaHei" w:eastAsia="Microsoft YaHei" w:hAnsi="Microsoft YaHei" w:cs="Microsoft YaHei"/>
                        <w:sz w:val="24"/>
                        <w:szCs w:val="24"/>
                      </w:rPr>
                    </w:pPr>
                    <w:r>
                      <w:rPr>
                        <w:rFonts w:ascii="Wingdings" w:eastAsia="Wingdings" w:hAnsi="Wingdings" w:cs="Wingdings"/>
                        <w:color w:val="009BFB"/>
                        <w:spacing w:val="-2"/>
                        <w:sz w:val="24"/>
                        <w:szCs w:val="24"/>
                      </w:rPr>
                      <w:t>u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009BFB"/>
                        <w:spacing w:val="-2"/>
                        <w:sz w:val="24"/>
                        <w:szCs w:val="24"/>
                      </w:rPr>
                      <w:t>路径三：转型买方投顾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009BFB"/>
                        <w:spacing w:val="-2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009BFB"/>
                        <w:spacing w:val="-2"/>
                        <w:sz w:val="24"/>
                        <w:szCs w:val="24"/>
                      </w:rPr>
                      <w:t>，定制解决方案</w:t>
                    </w:r>
                  </w:p>
                  <w:p>
                    <w:pPr>
                      <w:spacing w:before="2" w:line="192" w:lineRule="auto"/>
                      <w:ind w:left="37" w:right="393" w:hanging="18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i/>
                        <w:iCs/>
                        <w:spacing w:val="2"/>
                        <w:sz w:val="25"/>
                        <w:szCs w:val="25"/>
                      </w:rPr>
                      <w:t>代表机构：</w:t>
                    </w:r>
                    <w:r>
                      <w:rPr>
                        <w:rFonts w:ascii="Microsoft YaHei" w:eastAsia="Microsoft YaHei" w:hAnsi="Microsoft YaHei" w:cs="Microsoft YaHei"/>
                        <w:spacing w:val="-41"/>
                        <w:sz w:val="25"/>
                        <w:szCs w:val="25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z w:val="24"/>
                        <w:szCs w:val="24"/>
                      </w:rPr>
                      <w:t>State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pacing w:val="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z w:val="24"/>
                        <w:szCs w:val="24"/>
                      </w:rPr>
                      <w:t>Street</w:t>
                    </w:r>
                    <w:r>
                      <w:rPr>
                        <w:rFonts w:ascii="Microsoft YaHei" w:eastAsia="Microsoft YaHei" w:hAnsi="Microsoft YaHei" w:cs="Microsoft YaHei"/>
                        <w:i/>
                        <w:iCs/>
                        <w:spacing w:val="2"/>
                        <w:sz w:val="25"/>
                        <w:szCs w:val="25"/>
                      </w:rPr>
                      <w:t>、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z w:val="24"/>
                        <w:szCs w:val="24"/>
                      </w:rPr>
                      <w:t>Vanguard</w:t>
                    </w:r>
                    <w:r>
                      <w:rPr>
                        <w:rFonts w:ascii="Microsoft YaHei" w:eastAsia="Microsoft YaHei" w:hAnsi="Microsoft YaHei" w:cs="Microsoft YaHei"/>
                        <w:i/>
                        <w:iCs/>
                        <w:spacing w:val="2"/>
                        <w:sz w:val="25"/>
                        <w:szCs w:val="25"/>
                      </w:rPr>
                      <w:t>、</w:t>
                    </w:r>
                    <w:r>
                      <w:rPr>
                        <w:rFonts w:ascii="Microsoft YaHei" w:eastAsia="Microsoft YaHei" w:hAnsi="Microsoft YaHei" w:cs="Microsoft YaHei"/>
                        <w:spacing w:val="2"/>
                        <w:sz w:val="25"/>
                        <w:szCs w:val="25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z w:val="24"/>
                        <w:szCs w:val="24"/>
                      </w:rPr>
                      <w:t xml:space="preserve">TRowe 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pacing w:val="-1"/>
                        <w:sz w:val="24"/>
                        <w:szCs w:val="24"/>
                      </w:rPr>
                      <w:t>Price</w:t>
                    </w:r>
                    <w:r>
                      <w:rPr>
                        <w:rFonts w:ascii="Microsoft YaHei" w:eastAsia="Microsoft YaHei" w:hAnsi="Microsoft YaHei" w:cs="Microsoft YaHei"/>
                        <w:i/>
                        <w:iCs/>
                        <w:spacing w:val="-1"/>
                        <w:sz w:val="25"/>
                        <w:szCs w:val="25"/>
                      </w:rPr>
                      <w:t>、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pacing w:val="-1"/>
                        <w:sz w:val="24"/>
                        <w:szCs w:val="24"/>
                      </w:rPr>
                      <w:t>BlackRock</w:t>
                    </w:r>
                    <w:r>
                      <w:rPr>
                        <w:rFonts w:ascii="Microsoft YaHei" w:eastAsia="Microsoft YaHei" w:hAnsi="Microsoft YaHei" w:cs="Microsoft YaHei"/>
                        <w:i/>
                        <w:iCs/>
                        <w:spacing w:val="-1"/>
                        <w:sz w:val="25"/>
                        <w:szCs w:val="25"/>
                      </w:rPr>
                      <w:t>、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pacing w:val="-1"/>
                        <w:sz w:val="24"/>
                        <w:szCs w:val="24"/>
                      </w:rPr>
                      <w:t>NISA Investm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spacing w:val="-2"/>
                        <w:sz w:val="24"/>
                        <w:szCs w:val="24"/>
                      </w:rPr>
                      <w:t>ent</w:t>
                    </w:r>
                  </w:p>
                </w:txbxContent>
              </v:textbox>
            </v:shape>
            <v:shape id="_x0000_s1119" type="#_x0000_t202" style="width:1528;height:990;left:256;position:absolute;top:878" filled="f" stroked="f">
              <o:lock v:ext="edit" aspectratio="f"/>
              <v:textbox inset="0,0,0,0">
                <w:txbxContent>
                  <w:p>
                    <w:pPr>
                      <w:spacing w:before="20" w:line="162" w:lineRule="auto"/>
                      <w:ind w:left="22"/>
                      <w:rPr>
                        <w:rFonts w:ascii="Microsoft YaHei" w:eastAsia="Microsoft YaHei" w:hAnsi="Microsoft YaHei" w:cs="Microsoft YaHei"/>
                        <w:sz w:val="29"/>
                        <w:szCs w:val="2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i/>
                        <w:iCs/>
                        <w:color w:val="009BFB"/>
                        <w:spacing w:val="13"/>
                        <w:sz w:val="29"/>
                        <w:szCs w:val="29"/>
                      </w:rPr>
                      <w:t>发展路径</w:t>
                    </w:r>
                  </w:p>
                  <w:p>
                    <w:pPr>
                      <w:spacing w:before="1" w:line="170" w:lineRule="auto"/>
                      <w:ind w:left="20" w:right="20" w:hanging="1"/>
                      <w:rPr>
                        <w:rFonts w:ascii="Microsoft YaHei" w:eastAsia="Microsoft YaHei" w:hAnsi="Microsoft YaHei" w:cs="Microsoft YaHei"/>
                        <w:sz w:val="29"/>
                        <w:szCs w:val="2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i/>
                        <w:iCs/>
                        <w:color w:val="009BFB"/>
                        <w:spacing w:val="7"/>
                        <w:sz w:val="29"/>
                        <w:szCs w:val="29"/>
                      </w:rPr>
                      <w:t>及代表机构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009BFB"/>
                        <w:spacing w:val="1"/>
                        <w:sz w:val="29"/>
                        <w:szCs w:val="2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i/>
                        <w:iCs/>
                        <w:color w:val="009BFB"/>
                        <w:spacing w:val="37"/>
                        <w:sz w:val="29"/>
                        <w:szCs w:val="29"/>
                      </w:rPr>
                      <w:t>列举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182" w:lineRule="exact"/>
      </w:pPr>
    </w:p>
    <w:p>
      <w:pPr>
        <w:spacing w:line="14" w:lineRule="auto"/>
        <w:rPr>
          <w:rFonts w:ascii="Arial"/>
          <w:sz w:val="2"/>
        </w:rPr>
        <w:sectPr>
          <w:footerReference w:type="default" r:id="rId71"/>
          <w:type w:val="continuous"/>
          <w:pgSz w:w="19200" w:h="10800"/>
          <w:pgMar w:top="0" w:right="0" w:bottom="1" w:left="0" w:header="0" w:footer="0" w:gutter="0"/>
          <w:pgNumType w:start="22"/>
          <w:cols w:num="2" w:space="708" w:equalWidth="0">
            <w:col w:w="9769" w:space="100"/>
            <w:col w:w="9332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62" w:line="346" w:lineRule="exact"/>
        <w:ind w:firstLine="2107"/>
      </w:pPr>
      <w:r>
        <w:rPr>
          <w:position w:val="-6"/>
        </w:rPr>
        <w:drawing>
          <wp:inline distT="0" distB="0" distL="0" distR="0">
            <wp:extent cx="3916679" cy="219455"/>
            <wp:effectExtent l="0" t="0" r="0" b="0"/>
            <wp:docPr id="152" name="IM 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 152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916679" cy="21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14" w:line="184" w:lineRule="auto"/>
        <w:ind w:left="4366"/>
        <w:rPr>
          <w:sz w:val="28"/>
          <w:szCs w:val="28"/>
        </w:rPr>
      </w:pPr>
      <w:r>
        <w:rPr>
          <w:b/>
          <w:bCs/>
          <w:color w:val="005ADC"/>
          <w:spacing w:val="-1"/>
          <w:sz w:val="28"/>
          <w:szCs w:val="28"/>
        </w:rPr>
        <w:t>扩张放缓机构</w:t>
      </w:r>
    </w:p>
    <w:p>
      <w:pPr>
        <w:pStyle w:val="BodyText"/>
        <w:spacing w:before="24" w:line="2374" w:lineRule="exact"/>
        <w:ind w:firstLine="4"/>
      </w:pPr>
      <w:r>
        <w:rPr>
          <w:position w:val="-47"/>
        </w:rPr>
        <w:pict>
          <v:group id="_x0000_i1120" style="width:397.95pt;height:118.7pt;mso-position-horizontal-relative:char;mso-position-vertical-relative:line" coordorigin="0,0" coordsize="7959,2373" filled="f" stroked="f">
            <v:shape id="_x0000_s1121" type="#_x0000_t75" style="width:7959;height:2373;position:absolute" filled="f" stroked="f">
              <v:imagedata r:id="rId73" o:title=""/>
            </v:shape>
            <v:shape id="_x0000_s1122" type="#_x0000_t202" style="width:5577;height:1958;left:2379;position:absolute;top:237" filled="f" stroked="f">
              <o:lock v:ext="edit" aspectratio="f"/>
              <v:textbox inset="0,0,0,0">
                <w:txbxContent>
                  <w:p>
                    <w:pPr>
                      <w:spacing w:before="19" w:line="176" w:lineRule="auto"/>
                      <w:ind w:left="292" w:right="72" w:hanging="272"/>
                      <w:rPr>
                        <w:rFonts w:ascii="Microsoft YaHei" w:eastAsia="Microsoft YaHei" w:hAnsi="Microsoft YaHei" w:cs="Microsoft YaHei"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spacing w:val="-3"/>
                        <w:sz w:val="24"/>
                        <w:szCs w:val="24"/>
                      </w:rPr>
                      <w:t>•</w:t>
                    </w:r>
                    <w:r>
                      <w:rPr>
                        <w:rFonts w:ascii="Arial" w:eastAsia="Arial" w:hAnsi="Arial" w:cs="Arial"/>
                        <w:spacing w:val="28"/>
                        <w:w w:val="101"/>
                        <w:sz w:val="24"/>
                        <w:szCs w:val="24"/>
                      </w:rPr>
                      <w:t xml:space="preserve"> 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-3"/>
                        <w:sz w:val="24"/>
                        <w:szCs w:val="24"/>
                      </w:rPr>
                      <w:t>路径依赖：</w:t>
                    </w:r>
                    <w:r>
                      <w:rPr>
                        <w:rFonts w:ascii="Microsoft YaHei" w:eastAsia="Microsoft YaHei" w:hAnsi="Microsoft YaHei" w:cs="Microsoft YaHei"/>
                        <w:spacing w:val="-3"/>
                        <w:sz w:val="24"/>
                        <w:szCs w:val="24"/>
                      </w:rPr>
                      <w:t>依托自身或明星基金经理的管理能</w:t>
                    </w:r>
                    <w:r>
                      <w:rPr>
                        <w:rFonts w:ascii="Microsoft YaHei" w:eastAsia="Microsoft YaHei" w:hAnsi="Microsoft YaHei" w:cs="Microsoft YaHei"/>
                        <w:spacing w:val="-4"/>
                        <w:sz w:val="24"/>
                        <w:szCs w:val="24"/>
                      </w:rPr>
                      <w:t>力，</w:t>
                    </w:r>
                    <w:r>
                      <w:rPr>
                        <w:rFonts w:ascii="Microsoft YaHei" w:eastAsia="Microsoft YaHei" w:hAnsi="Microsoft YaHei" w:cs="Microsoft YaHei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-2"/>
                        <w:sz w:val="24"/>
                        <w:szCs w:val="24"/>
                      </w:rPr>
                      <w:t>降低了抵御重大业务风险的能力</w:t>
                    </w:r>
                  </w:p>
                  <w:p>
                    <w:pPr>
                      <w:spacing w:before="92" w:line="176" w:lineRule="auto"/>
                      <w:ind w:left="277" w:right="20" w:hanging="258"/>
                      <w:rPr>
                        <w:rFonts w:ascii="Microsoft YaHei" w:eastAsia="Microsoft YaHei" w:hAnsi="Microsoft YaHei" w:cs="Microsoft YaHei"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spacing w:val="-3"/>
                        <w:sz w:val="24"/>
                        <w:szCs w:val="24"/>
                      </w:rPr>
                      <w:t>•</w:t>
                    </w:r>
                    <w:r>
                      <w:rPr>
                        <w:rFonts w:ascii="Arial" w:eastAsia="Arial" w:hAnsi="Arial" w:cs="Arial"/>
                        <w:spacing w:val="35"/>
                        <w:w w:val="101"/>
                        <w:sz w:val="24"/>
                        <w:szCs w:val="24"/>
                      </w:rPr>
                      <w:t xml:space="preserve"> 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-3"/>
                        <w:sz w:val="24"/>
                        <w:szCs w:val="24"/>
                      </w:rPr>
                      <w:t>业务局限：</w:t>
                    </w:r>
                    <w:r>
                      <w:rPr>
                        <w:rFonts w:ascii="Microsoft YaHei" w:eastAsia="Microsoft YaHei" w:hAnsi="Microsoft YaHei" w:cs="Microsoft YaHei"/>
                        <w:spacing w:val="-3"/>
                        <w:sz w:val="24"/>
                        <w:szCs w:val="24"/>
                      </w:rPr>
                      <w:t>专注主动管理业务</w:t>
                    </w:r>
                    <w:r>
                      <w:rPr>
                        <w:rFonts w:ascii="Microsoft YaHei" w:eastAsia="Microsoft YaHei" w:hAnsi="Microsoft YaHei" w:cs="Microsoft YaHei"/>
                        <w:spacing w:val="-3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-3"/>
                        <w:sz w:val="24"/>
                        <w:szCs w:val="24"/>
                      </w:rPr>
                      <w:t>，忽视投顾或指数业</w:t>
                    </w:r>
                    <w:r>
                      <w:rPr>
                        <w:rFonts w:ascii="Microsoft YaHei" w:eastAsia="Microsoft YaHei" w:hAnsi="Microsoft YaHei" w:cs="Microsoft YaHei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-4"/>
                        <w:sz w:val="24"/>
                        <w:szCs w:val="24"/>
                      </w:rPr>
                      <w:t>务布局</w:t>
                    </w:r>
                    <w:r>
                      <w:rPr>
                        <w:rFonts w:ascii="Microsoft YaHei" w:eastAsia="Microsoft YaHei" w:hAnsi="Microsoft YaHei" w:cs="Microsoft YaHei"/>
                        <w:spacing w:val="-3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-4"/>
                        <w:sz w:val="24"/>
                        <w:szCs w:val="24"/>
                      </w:rPr>
                      <w:t>，错过关键机遇</w:t>
                    </w:r>
                  </w:p>
                  <w:p>
                    <w:pPr>
                      <w:spacing w:before="92" w:line="176" w:lineRule="auto"/>
                      <w:ind w:left="281" w:right="20" w:hanging="261"/>
                      <w:rPr>
                        <w:rFonts w:ascii="Microsoft YaHei" w:eastAsia="Microsoft YaHei" w:hAnsi="Microsoft YaHei" w:cs="Microsoft YaHei"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spacing w:val="-3"/>
                        <w:sz w:val="24"/>
                        <w:szCs w:val="24"/>
                      </w:rPr>
                      <w:t>•</w:t>
                    </w:r>
                    <w:r>
                      <w:rPr>
                        <w:rFonts w:ascii="Arial" w:eastAsia="Arial" w:hAnsi="Arial" w:cs="Arial"/>
                        <w:spacing w:val="35"/>
                        <w:w w:val="101"/>
                        <w:sz w:val="24"/>
                        <w:szCs w:val="24"/>
                      </w:rPr>
                      <w:t xml:space="preserve"> 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-3"/>
                        <w:sz w:val="24"/>
                        <w:szCs w:val="24"/>
                      </w:rPr>
                      <w:t>产品驱动：</w:t>
                    </w:r>
                    <w:r>
                      <w:rPr>
                        <w:rFonts w:ascii="Microsoft YaHei" w:eastAsia="Microsoft YaHei" w:hAnsi="Microsoft YaHei" w:cs="Microsoft YaHei"/>
                        <w:spacing w:val="-3"/>
                        <w:sz w:val="24"/>
                        <w:szCs w:val="24"/>
                      </w:rPr>
                      <w:t>产品销售思维主导规模拓展</w:t>
                    </w:r>
                    <w:r>
                      <w:rPr>
                        <w:rFonts w:ascii="Microsoft YaHei" w:eastAsia="Microsoft YaHei" w:hAnsi="Microsoft YaHei" w:cs="Microsoft YaHei"/>
                        <w:spacing w:val="-3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-3"/>
                        <w:sz w:val="24"/>
                        <w:szCs w:val="24"/>
                      </w:rPr>
                      <w:t>，客户体验</w:t>
                    </w:r>
                    <w:r>
                      <w:rPr>
                        <w:rFonts w:ascii="Microsoft YaHei" w:eastAsia="Microsoft YaHei" w:hAnsi="Microsoft YaHei" w:cs="Microsoft YaHei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-6"/>
                        <w:sz w:val="24"/>
                        <w:szCs w:val="24"/>
                      </w:rPr>
                      <w:t>一般</w:t>
                    </w:r>
                    <w:r>
                      <w:rPr>
                        <w:rFonts w:ascii="Microsoft YaHei" w:eastAsia="Microsoft YaHei" w:hAnsi="Microsoft YaHei" w:cs="Microsoft YaHei"/>
                        <w:spacing w:val="-3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-6"/>
                        <w:sz w:val="24"/>
                        <w:szCs w:val="24"/>
                      </w:rPr>
                      <w:t>，粘性不强</w:t>
                    </w:r>
                  </w:p>
                </w:txbxContent>
              </v:textbox>
            </v:shape>
            <v:shape id="_x0000_s1123" type="#_x0000_t202" style="width:1241;height:317;left:258;position:absolute;top:1021" filled="f" stroked="f">
              <o:lock v:ext="edit" aspectratio="f"/>
              <v:textbox inset="0,0,0,0">
                <w:txbxContent>
                  <w:p>
                    <w:pPr>
                      <w:spacing w:before="19" w:line="179" w:lineRule="auto"/>
                      <w:ind w:left="20"/>
                      <w:rPr>
                        <w:rFonts w:ascii="Microsoft YaHei" w:eastAsia="Microsoft YaHei" w:hAnsi="Microsoft YaHei" w:cs="Microsoft YaHei"/>
                        <w:sz w:val="29"/>
                        <w:szCs w:val="2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i/>
                        <w:iCs/>
                        <w:color w:val="7F7F7F"/>
                        <w:spacing w:val="12"/>
                        <w:sz w:val="29"/>
                        <w:szCs w:val="29"/>
                      </w:rPr>
                      <w:t>放缓原因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4" w:lineRule="auto"/>
        <w:rPr>
          <w:rFonts w:ascii="Arial"/>
          <w:sz w:val="21"/>
        </w:rPr>
      </w:pPr>
    </w:p>
    <w:p>
      <w:pPr>
        <w:pStyle w:val="BodyText"/>
        <w:spacing w:before="103" w:line="150" w:lineRule="auto"/>
        <w:ind w:left="2685" w:right="1608" w:hanging="252"/>
      </w:pPr>
      <w:r>
        <w:drawing>
          <wp:anchor distT="0" distB="0" distL="0" distR="0" simplePos="0" relativeHeight="25177190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-193500</wp:posOffset>
            </wp:positionV>
            <wp:extent cx="4942331" cy="1752600"/>
            <wp:effectExtent l="0" t="0" r="0" b="0"/>
            <wp:wrapNone/>
            <wp:docPr id="154" name="IM 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 154"/>
                    <pic:cNvPicPr/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942331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eastAsia="Wingdings" w:hAnsi="Wingdings" w:cs="Wingdings"/>
          <w:color w:val="DA0F2D"/>
          <w:spacing w:val="-3"/>
        </w:rPr>
        <w:t>u</w:t>
      </w:r>
      <w:r>
        <w:rPr>
          <w:b/>
          <w:bCs/>
          <w:color w:val="DA0F2D"/>
          <w:spacing w:val="-3"/>
        </w:rPr>
        <w:t>结局一</w:t>
      </w:r>
      <w:r>
        <w:rPr>
          <w:b/>
          <w:bCs/>
          <w:color w:val="DA0F2D"/>
          <w:spacing w:val="-25"/>
        </w:rPr>
        <w:t xml:space="preserve"> </w:t>
      </w:r>
      <w:r>
        <w:rPr>
          <w:b/>
          <w:bCs/>
          <w:color w:val="DA0F2D"/>
          <w:spacing w:val="-3"/>
        </w:rPr>
        <w:t>：规模增长受阻</w:t>
      </w:r>
      <w:r>
        <w:rPr>
          <w:b/>
          <w:bCs/>
          <w:color w:val="DA0F2D"/>
          <w:spacing w:val="-40"/>
        </w:rPr>
        <w:t xml:space="preserve"> </w:t>
      </w:r>
      <w:r>
        <w:rPr>
          <w:b/>
          <w:bCs/>
          <w:color w:val="DA0F2D"/>
          <w:spacing w:val="-3"/>
        </w:rPr>
        <w:t>，排名下滑甚至被其他机</w:t>
      </w:r>
      <w:r>
        <w:rPr>
          <w:b/>
          <w:bCs/>
          <w:color w:val="DA0F2D"/>
        </w:rPr>
        <w:t xml:space="preserve"> </w:t>
      </w:r>
      <w:r>
        <w:rPr>
          <w:b/>
          <w:bCs/>
          <w:color w:val="DA0F2D"/>
          <w:spacing w:val="-1"/>
        </w:rPr>
        <w:t>构收购</w:t>
      </w:r>
    </w:p>
    <w:p>
      <w:pPr>
        <w:pStyle w:val="BodyText"/>
        <w:spacing w:line="314" w:lineRule="exact"/>
        <w:ind w:left="279"/>
        <w:rPr>
          <w:sz w:val="29"/>
          <w:szCs w:val="29"/>
        </w:rPr>
      </w:pPr>
      <w:r>
        <w:rPr>
          <w:b/>
          <w:bCs/>
          <w:i/>
          <w:iCs/>
          <w:color w:val="DA0F2D"/>
          <w:spacing w:val="13"/>
          <w:position w:val="-1"/>
          <w:sz w:val="29"/>
          <w:szCs w:val="29"/>
        </w:rPr>
        <w:t>最终结局</w:t>
      </w:r>
    </w:p>
    <w:p>
      <w:pPr>
        <w:pStyle w:val="BodyText"/>
        <w:spacing w:line="321" w:lineRule="exact"/>
        <w:ind w:left="276"/>
        <w:rPr>
          <w:sz w:val="29"/>
          <w:szCs w:val="29"/>
        </w:rPr>
      </w:pPr>
      <w:r>
        <w:rPr>
          <w:b/>
          <w:bCs/>
          <w:i/>
          <w:iCs/>
          <w:color w:val="DA0F2D"/>
          <w:spacing w:val="9"/>
          <w:position w:val="2"/>
          <w:sz w:val="29"/>
          <w:szCs w:val="29"/>
        </w:rPr>
        <w:t>及代表机构</w:t>
      </w:r>
    </w:p>
    <w:p>
      <w:pPr>
        <w:pStyle w:val="BodyText"/>
        <w:spacing w:line="267" w:lineRule="exact"/>
        <w:ind w:left="278"/>
        <w:rPr>
          <w:sz w:val="29"/>
          <w:szCs w:val="29"/>
        </w:rPr>
      </w:pPr>
      <w:r>
        <w:rPr>
          <w:b/>
          <w:bCs/>
          <w:i/>
          <w:iCs/>
          <w:color w:val="DA0F2D"/>
          <w:spacing w:val="37"/>
          <w:position w:val="-2"/>
          <w:sz w:val="29"/>
          <w:szCs w:val="29"/>
        </w:rPr>
        <w:t>列举</w:t>
      </w:r>
    </w:p>
    <w:p>
      <w:pPr>
        <w:pStyle w:val="BodyText"/>
        <w:spacing w:line="185" w:lineRule="auto"/>
        <w:ind w:left="2433"/>
      </w:pPr>
      <w:r>
        <w:rPr>
          <w:rFonts w:ascii="Wingdings" w:eastAsia="Wingdings" w:hAnsi="Wingdings" w:cs="Wingdings"/>
          <w:color w:val="DA0F2D"/>
          <w:spacing w:val="-2"/>
        </w:rPr>
        <w:t>u</w:t>
      </w:r>
      <w:r>
        <w:rPr>
          <w:b/>
          <w:bCs/>
          <w:color w:val="DA0F2D"/>
          <w:spacing w:val="-2"/>
        </w:rPr>
        <w:t>结局二：业务收缩</w:t>
      </w:r>
      <w:r>
        <w:rPr>
          <w:b/>
          <w:bCs/>
          <w:color w:val="DA0F2D"/>
          <w:spacing w:val="-26"/>
        </w:rPr>
        <w:t xml:space="preserve"> </w:t>
      </w:r>
      <w:r>
        <w:rPr>
          <w:b/>
          <w:bCs/>
          <w:color w:val="DA0F2D"/>
          <w:spacing w:val="-2"/>
        </w:rPr>
        <w:t>，剥离非核心业务</w:t>
      </w:r>
    </w:p>
    <w:p>
      <w:pPr>
        <w:spacing w:line="185" w:lineRule="auto"/>
        <w:sectPr>
          <w:footerReference w:type="default" r:id="rId75"/>
          <w:type w:val="nextPage"/>
          <w:pgSz w:w="19200" w:h="10800"/>
          <w:pgMar w:top="0" w:right="0" w:bottom="1" w:left="0" w:header="0" w:footer="0" w:gutter="0"/>
          <w:pgNumType w:start="23"/>
          <w:cols w:num="2" w:space="708" w:equalWidth="0">
            <w:col w:w="9769" w:space="100"/>
            <w:col w:w="9332" w:space="0"/>
          </w:cols>
          <w:titlePg w:val="0"/>
        </w:sectPr>
      </w:pPr>
    </w:p>
    <w:p>
      <w:pPr>
        <w:pStyle w:val="BodyText"/>
        <w:spacing w:before="135" w:line="518" w:lineRule="exact"/>
      </w:pPr>
      <w:r>
        <w:rPr>
          <w:position w:val="-11"/>
        </w:rPr>
        <w:pict>
          <v:group id="_x0000_i1124" style="width:959.75pt;height:26.45pt;mso-position-horizontal-relative:char;mso-position-vertical-relative:line" coordorigin="0,0" coordsize="19195,529" filled="f" stroked="f">
            <v:shape id="_x0000_s1125" type="#_x0000_t75" style="width:19195;height:529;position:absolute" filled="f" stroked="f">
              <v:imagedata r:id="rId10" o:title=""/>
            </v:shape>
            <v:shape id="_x0000_s1126" type="#_x0000_t202" style="width:19235;height:56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63" w:line="187" w:lineRule="auto"/>
                      <w:ind w:left="665"/>
                      <w:rPr>
                        <w:rFonts w:ascii="Arial" w:eastAsia="Arial" w:hAnsi="Arial" w:cs="Arial"/>
                        <w:sz w:val="31"/>
                        <w:szCs w:val="31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9"/>
                        <w:position w:val="1"/>
                        <w:sz w:val="19"/>
                        <w:szCs w:val="19"/>
                      </w:rPr>
                      <w:t>数据来源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-18"/>
                        <w:position w:val="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9"/>
                        <w:position w:val="1"/>
                        <w:sz w:val="19"/>
                        <w:szCs w:val="19"/>
                      </w:rPr>
                      <w:t>：公司官网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-25"/>
                        <w:position w:val="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9"/>
                        <w:position w:val="1"/>
                        <w:sz w:val="19"/>
                        <w:szCs w:val="19"/>
                      </w:rPr>
                      <w:t>，公司年报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-25"/>
                        <w:position w:val="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9"/>
                        <w:position w:val="1"/>
                        <w:sz w:val="19"/>
                        <w:szCs w:val="19"/>
                      </w:rPr>
                      <w:t>，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-34"/>
                        <w:position w:val="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position w:val="1"/>
                        <w:sz w:val="19"/>
                        <w:szCs w:val="19"/>
                      </w:rPr>
                      <w:t>PR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9"/>
                        <w:position w:val="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position w:val="1"/>
                        <w:sz w:val="19"/>
                        <w:szCs w:val="19"/>
                      </w:rPr>
                      <w:t>Newswire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23"/>
                        <w:position w:val="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9"/>
                        <w:position w:val="1"/>
                        <w:sz w:val="19"/>
                        <w:szCs w:val="19"/>
                      </w:rPr>
                      <w:t>，</w:t>
                    </w:r>
                    <w:r>
                      <w:rPr>
                        <w:rFonts w:ascii="Arial" w:eastAsia="Arial" w:hAnsi="Arial" w:cs="Arial"/>
                        <w:color w:val="FFFFFF"/>
                        <w:position w:val="1"/>
                        <w:sz w:val="19"/>
                        <w:szCs w:val="19"/>
                      </w:rPr>
                      <w:t>CNBC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22"/>
                        <w:position w:val="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9"/>
                        <w:position w:val="1"/>
                        <w:sz w:val="19"/>
                        <w:szCs w:val="19"/>
                      </w:rPr>
                      <w:t>，</w:t>
                    </w:r>
                    <w:r>
                      <w:rPr>
                        <w:rFonts w:ascii="Arial" w:eastAsia="Arial" w:hAnsi="Arial" w:cs="Arial"/>
                        <w:color w:val="FFFFFF"/>
                        <w:position w:val="1"/>
                        <w:sz w:val="19"/>
                        <w:szCs w:val="19"/>
                      </w:rPr>
                      <w:t>Credit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8"/>
                        <w:w w:val="101"/>
                        <w:position w:val="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position w:val="1"/>
                        <w:sz w:val="19"/>
                        <w:szCs w:val="19"/>
                      </w:rPr>
                      <w:t>Loan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23"/>
                        <w:position w:val="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9"/>
                        <w:position w:val="1"/>
                        <w:sz w:val="19"/>
                        <w:szCs w:val="19"/>
                      </w:rPr>
                      <w:t>，</w:t>
                    </w:r>
                    <w:r>
                      <w:rPr>
                        <w:rFonts w:ascii="Arial" w:eastAsia="Arial" w:hAnsi="Arial" w:cs="Arial"/>
                        <w:color w:val="FFFFFF"/>
                        <w:position w:val="1"/>
                        <w:sz w:val="19"/>
                        <w:szCs w:val="19"/>
                      </w:rPr>
                      <w:t>Wealth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19"/>
                        <w:position w:val="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position w:val="1"/>
                        <w:sz w:val="19"/>
                        <w:szCs w:val="19"/>
                      </w:rPr>
                      <w:t>Management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22"/>
                        <w:position w:val="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9"/>
                        <w:position w:val="1"/>
                        <w:sz w:val="19"/>
                        <w:szCs w:val="19"/>
                      </w:rPr>
                      <w:t>，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-33"/>
                        <w:position w:val="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position w:val="1"/>
                        <w:sz w:val="19"/>
                        <w:szCs w:val="19"/>
                      </w:rPr>
                      <w:t>Forbes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22"/>
                        <w:position w:val="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9"/>
                        <w:position w:val="1"/>
                        <w:sz w:val="19"/>
                        <w:szCs w:val="19"/>
                      </w:rPr>
                      <w:t>，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-34"/>
                        <w:position w:val="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9"/>
                        <w:position w:val="1"/>
                        <w:sz w:val="19"/>
                        <w:szCs w:val="19"/>
                      </w:rPr>
                      <w:t>P&amp;I500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-22"/>
                        <w:position w:val="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9"/>
                        <w:position w:val="1"/>
                        <w:sz w:val="19"/>
                        <w:szCs w:val="19"/>
                      </w:rPr>
                      <w:t>，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-35"/>
                        <w:position w:val="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9"/>
                        <w:position w:val="1"/>
                        <w:sz w:val="19"/>
                        <w:szCs w:val="19"/>
                      </w:rPr>
                      <w:t xml:space="preserve">国海证券研究所 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9"/>
                        <w:position w:val="-2"/>
                        <w:sz w:val="28"/>
                        <w:szCs w:val="28"/>
                      </w:rPr>
                      <w:t xml:space="preserve">请务必阅读报告附注中的风险提示和免责声明       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9"/>
                        <w:position w:val="-2"/>
                        <w:sz w:val="31"/>
                        <w:szCs w:val="31"/>
                      </w:rPr>
                      <w:t>7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518" w:lineRule="exact"/>
        <w:sectPr>
          <w:footerReference w:type="default" r:id="rId76"/>
          <w:type w:val="continuous"/>
          <w:pgSz w:w="19200" w:h="10800"/>
          <w:pgMar w:top="0" w:right="0" w:bottom="1" w:left="0" w:header="0" w:footer="0" w:gutter="0"/>
          <w:pgNumType w:start="24"/>
          <w:cols w:num="1" w:space="708" w:equalWidth="0">
            <w:col w:w="19200" w:space="0"/>
          </w:cols>
        </w:sectPr>
      </w:pPr>
    </w:p>
    <w:p>
      <w:pPr>
        <w:spacing w:before="12"/>
      </w:pPr>
    </w:p>
    <w:p>
      <w:pPr>
        <w:spacing w:before="12"/>
      </w:pPr>
    </w:p>
    <w:p>
      <w:pPr>
        <w:spacing w:before="12"/>
      </w:pPr>
    </w:p>
    <w:p>
      <w:pPr>
        <w:spacing w:before="12"/>
      </w:pP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https://d.book118.com/125342222331011034</w:t>
        </w:r>
      </w:hyperlink>
    </w:p>
    <w:p/>
    <w:sectPr>
      <w:footerReference w:type="default" r:id="rId78"/>
      <w:pgSz w:w="19200" w:h="10800"/>
      <w:pgMar w:top="0" w:right="0" w:bottom="101" w:left="0" w:header="0" w:footer="0" w:gutter="0"/>
      <w:pgNumType w:start="25"/>
      <w:cols w:num="1" w:space="708" w:equalWidth="0">
        <w:col w:w="1920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71" w:lineRule="auto"/>
      <w:ind w:left="17991"/>
      <w:rPr>
        <w:rFonts w:ascii="Microsoft YaHei" w:eastAsia="Microsoft YaHei" w:hAnsi="Microsoft YaHei" w:cs="Microsoft YaHei"/>
        <w:sz w:val="19"/>
        <w:szCs w:val="19"/>
      </w:rPr>
    </w:pPr>
    <w:r>
      <w:rPr>
        <w:rFonts w:ascii="Microsoft YaHei" w:eastAsia="Microsoft YaHei" w:hAnsi="Microsoft YaHei" w:cs="Microsoft YaHei"/>
        <w:color w:val="898989"/>
        <w:sz w:val="19"/>
        <w:szCs w:val="19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71" w:lineRule="auto"/>
      <w:ind w:left="17991"/>
      <w:rPr>
        <w:rFonts w:ascii="Microsoft YaHei" w:eastAsia="Microsoft YaHei" w:hAnsi="Microsoft YaHei" w:cs="Microsoft YaHei"/>
        <w:sz w:val="19"/>
        <w:szCs w:val="19"/>
      </w:rPr>
    </w:pPr>
    <w:r>
      <w:rPr>
        <w:rFonts w:ascii="Microsoft YaHei" w:eastAsia="Microsoft YaHei" w:hAnsi="Microsoft YaHei" w:cs="Microsoft YaHei"/>
        <w:color w:val="898989"/>
        <w:sz w:val="19"/>
        <w:szCs w:val="19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71" w:lineRule="auto"/>
      <w:ind w:left="17991"/>
      <w:rPr>
        <w:rFonts w:ascii="Microsoft YaHei" w:eastAsia="Microsoft YaHei" w:hAnsi="Microsoft YaHei" w:cs="Microsoft YaHei"/>
        <w:sz w:val="19"/>
        <w:szCs w:val="19"/>
      </w:rPr>
    </w:pPr>
    <w:r>
      <w:rPr>
        <w:rFonts w:ascii="Microsoft YaHei" w:eastAsia="Microsoft YaHei" w:hAnsi="Microsoft YaHei" w:cs="Microsoft YaHei"/>
        <w:color w:val="898989"/>
        <w:sz w:val="19"/>
        <w:szCs w:val="19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20617283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172834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97322499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3224996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722889169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2889169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22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869172125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9172125" name="IM 2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693332675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332675" name="IM 2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217937307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7937307" name="IM 2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16" name="IM 1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" name="IM 1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987283417" name="IM 1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283417" name="IM 1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950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2134509540" name="IM 1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509540" name="IM 1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052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389103241" name="IM 1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103241" name="IM 1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155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34" name="IM 1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" name="IM 13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257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578161733" name="IM 1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8161733" name="IM 13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360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277320915" name="IM 1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7320915" name="IM 13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462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485312434" name="IM 1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5312434" name="IM 13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564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48" name="IM 1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" name="IM 14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667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133950417" name="IM 1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950417" name="IM 14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769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44025667" name="IM 1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025667" name="IM 14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872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478590041" name="IM 1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8590041" name="IM 14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974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56" name="IM 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" name="IM 15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Microsoft YaHei" w:eastAsia="Microsoft YaHei" w:hAnsi="Microsoft YaHei" w:cs="Microsoft YaHei"/>
      <w:sz w:val="24"/>
      <w:szCs w:val="24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Microsoft YaHei" w:eastAsia="Microsoft YaHei" w:hAnsi="Microsoft YaHei" w:cs="Microsoft YaHei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footer" Target="footer5.xml" /><Relationship Id="rId12" Type="http://schemas.openxmlformats.org/officeDocument/2006/relationships/footer" Target="footer6.xml" /><Relationship Id="rId13" Type="http://schemas.openxmlformats.org/officeDocument/2006/relationships/image" Target="media/image6.png" /><Relationship Id="rId14" Type="http://schemas.openxmlformats.org/officeDocument/2006/relationships/image" Target="media/image7.png" /><Relationship Id="rId15" Type="http://schemas.openxmlformats.org/officeDocument/2006/relationships/image" Target="media/image8.png" /><Relationship Id="rId16" Type="http://schemas.openxmlformats.org/officeDocument/2006/relationships/image" Target="media/image9.png" /><Relationship Id="rId17" Type="http://schemas.openxmlformats.org/officeDocument/2006/relationships/image" Target="media/image10.png" /><Relationship Id="rId18" Type="http://schemas.openxmlformats.org/officeDocument/2006/relationships/image" Target="media/image11.png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image" Target="media/image12.png" /><Relationship Id="rId22" Type="http://schemas.openxmlformats.org/officeDocument/2006/relationships/image" Target="media/image13.png" /><Relationship Id="rId23" Type="http://schemas.openxmlformats.org/officeDocument/2006/relationships/image" Target="media/image14.png" /><Relationship Id="rId24" Type="http://schemas.openxmlformats.org/officeDocument/2006/relationships/image" Target="media/image15.png" /><Relationship Id="rId25" Type="http://schemas.openxmlformats.org/officeDocument/2006/relationships/image" Target="media/image16.png" /><Relationship Id="rId26" Type="http://schemas.openxmlformats.org/officeDocument/2006/relationships/image" Target="media/image17.png" /><Relationship Id="rId27" Type="http://schemas.openxmlformats.org/officeDocument/2006/relationships/image" Target="media/image18.png" /><Relationship Id="rId28" Type="http://schemas.openxmlformats.org/officeDocument/2006/relationships/image" Target="media/image19.png" /><Relationship Id="rId29" Type="http://schemas.openxmlformats.org/officeDocument/2006/relationships/image" Target="media/image20.png" /><Relationship Id="rId3" Type="http://schemas.openxmlformats.org/officeDocument/2006/relationships/fontTable" Target="fontTable.xml" /><Relationship Id="rId30" Type="http://schemas.openxmlformats.org/officeDocument/2006/relationships/image" Target="media/image21.png" /><Relationship Id="rId31" Type="http://schemas.openxmlformats.org/officeDocument/2006/relationships/image" Target="media/image22.png" /><Relationship Id="rId32" Type="http://schemas.openxmlformats.org/officeDocument/2006/relationships/image" Target="media/image23.png" /><Relationship Id="rId33" Type="http://schemas.openxmlformats.org/officeDocument/2006/relationships/image" Target="media/image24.png" /><Relationship Id="rId34" Type="http://schemas.openxmlformats.org/officeDocument/2006/relationships/image" Target="media/image25.png" /><Relationship Id="rId35" Type="http://schemas.openxmlformats.org/officeDocument/2006/relationships/image" Target="media/image26.png" /><Relationship Id="rId36" Type="http://schemas.openxmlformats.org/officeDocument/2006/relationships/image" Target="media/image27.png" /><Relationship Id="rId37" Type="http://schemas.openxmlformats.org/officeDocument/2006/relationships/image" Target="media/image28.png" /><Relationship Id="rId38" Type="http://schemas.openxmlformats.org/officeDocument/2006/relationships/image" Target="media/image29.png" /><Relationship Id="rId39" Type="http://schemas.openxmlformats.org/officeDocument/2006/relationships/image" Target="media/image30.png" /><Relationship Id="rId4" Type="http://schemas.openxmlformats.org/officeDocument/2006/relationships/image" Target="media/image1.png" /><Relationship Id="rId40" Type="http://schemas.openxmlformats.org/officeDocument/2006/relationships/image" Target="media/image31.png" /><Relationship Id="rId41" Type="http://schemas.openxmlformats.org/officeDocument/2006/relationships/image" Target="media/image32.png" /><Relationship Id="rId42" Type="http://schemas.openxmlformats.org/officeDocument/2006/relationships/image" Target="media/image33.png" /><Relationship Id="rId43" Type="http://schemas.openxmlformats.org/officeDocument/2006/relationships/footer" Target="footer9.xml" /><Relationship Id="rId44" Type="http://schemas.openxmlformats.org/officeDocument/2006/relationships/footer" Target="footer10.xml" /><Relationship Id="rId45" Type="http://schemas.openxmlformats.org/officeDocument/2006/relationships/footer" Target="footer11.xml" /><Relationship Id="rId46" Type="http://schemas.openxmlformats.org/officeDocument/2006/relationships/footer" Target="footer12.xml" /><Relationship Id="rId47" Type="http://schemas.openxmlformats.org/officeDocument/2006/relationships/image" Target="media/image34.png" /><Relationship Id="rId48" Type="http://schemas.openxmlformats.org/officeDocument/2006/relationships/image" Target="media/image35.png" /><Relationship Id="rId49" Type="http://schemas.openxmlformats.org/officeDocument/2006/relationships/image" Target="media/image36.png" /><Relationship Id="rId5" Type="http://schemas.openxmlformats.org/officeDocument/2006/relationships/image" Target="media/image2.png" /><Relationship Id="rId50" Type="http://schemas.openxmlformats.org/officeDocument/2006/relationships/image" Target="media/image37.png" /><Relationship Id="rId51" Type="http://schemas.openxmlformats.org/officeDocument/2006/relationships/image" Target="media/image38.png" /><Relationship Id="rId52" Type="http://schemas.openxmlformats.org/officeDocument/2006/relationships/image" Target="media/image39.png" /><Relationship Id="rId53" Type="http://schemas.openxmlformats.org/officeDocument/2006/relationships/footer" Target="footer13.xml" /><Relationship Id="rId54" Type="http://schemas.openxmlformats.org/officeDocument/2006/relationships/image" Target="media/image40.png" /><Relationship Id="rId55" Type="http://schemas.openxmlformats.org/officeDocument/2006/relationships/image" Target="media/image41.png" /><Relationship Id="rId56" Type="http://schemas.openxmlformats.org/officeDocument/2006/relationships/footer" Target="footer14.xml" /><Relationship Id="rId57" Type="http://schemas.openxmlformats.org/officeDocument/2006/relationships/footer" Target="footer15.xml" /><Relationship Id="rId58" Type="http://schemas.openxmlformats.org/officeDocument/2006/relationships/footer" Target="footer16.xml" /><Relationship Id="rId59" Type="http://schemas.openxmlformats.org/officeDocument/2006/relationships/image" Target="media/image42.png" /><Relationship Id="rId6" Type="http://schemas.openxmlformats.org/officeDocument/2006/relationships/footer" Target="footer1.xml" /><Relationship Id="rId60" Type="http://schemas.openxmlformats.org/officeDocument/2006/relationships/footer" Target="footer17.xml" /><Relationship Id="rId61" Type="http://schemas.openxmlformats.org/officeDocument/2006/relationships/footer" Target="footer18.xml" /><Relationship Id="rId62" Type="http://schemas.openxmlformats.org/officeDocument/2006/relationships/image" Target="media/image43.png" /><Relationship Id="rId63" Type="http://schemas.openxmlformats.org/officeDocument/2006/relationships/image" Target="media/image44.png" /><Relationship Id="rId64" Type="http://schemas.openxmlformats.org/officeDocument/2006/relationships/image" Target="media/image45.png" /><Relationship Id="rId65" Type="http://schemas.openxmlformats.org/officeDocument/2006/relationships/footer" Target="footer19.xml" /><Relationship Id="rId66" Type="http://schemas.openxmlformats.org/officeDocument/2006/relationships/footer" Target="footer20.xml" /><Relationship Id="rId67" Type="http://schemas.openxmlformats.org/officeDocument/2006/relationships/footer" Target="footer21.xml" /><Relationship Id="rId68" Type="http://schemas.openxmlformats.org/officeDocument/2006/relationships/image" Target="media/image46.png" /><Relationship Id="rId69" Type="http://schemas.openxmlformats.org/officeDocument/2006/relationships/image" Target="media/image47.png" /><Relationship Id="rId7" Type="http://schemas.openxmlformats.org/officeDocument/2006/relationships/footer" Target="footer2.xml" /><Relationship Id="rId70" Type="http://schemas.openxmlformats.org/officeDocument/2006/relationships/image" Target="media/image48.png" /><Relationship Id="rId71" Type="http://schemas.openxmlformats.org/officeDocument/2006/relationships/footer" Target="footer22.xml" /><Relationship Id="rId72" Type="http://schemas.openxmlformats.org/officeDocument/2006/relationships/image" Target="media/image49.jpeg" /><Relationship Id="rId73" Type="http://schemas.openxmlformats.org/officeDocument/2006/relationships/image" Target="media/image50.png" /><Relationship Id="rId74" Type="http://schemas.openxmlformats.org/officeDocument/2006/relationships/image" Target="media/image51.png" /><Relationship Id="rId75" Type="http://schemas.openxmlformats.org/officeDocument/2006/relationships/footer" Target="footer23.xml" /><Relationship Id="rId76" Type="http://schemas.openxmlformats.org/officeDocument/2006/relationships/footer" Target="footer24.xml" /><Relationship Id="rId77" Type="http://schemas.openxmlformats.org/officeDocument/2006/relationships/hyperlink" Target="https://d.book118.com/125342222331011034" TargetMode="External" /><Relationship Id="rId78" Type="http://schemas.openxmlformats.org/officeDocument/2006/relationships/footer" Target="footer25.xml" /><Relationship Id="rId79" Type="http://schemas.openxmlformats.org/officeDocument/2006/relationships/theme" Target="theme/theme1.xml" /><Relationship Id="rId8" Type="http://schemas.openxmlformats.org/officeDocument/2006/relationships/footer" Target="footer3.xml" /><Relationship Id="rId80" Type="http://schemas.openxmlformats.org/officeDocument/2006/relationships/styles" Target="styles.xml" /><Relationship Id="rId9" Type="http://schemas.openxmlformats.org/officeDocument/2006/relationships/footer" Target="footer4.xml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0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1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2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3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4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5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6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7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8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9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20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21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22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23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24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25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2024-01-06T13:25:41Z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2024-01-06T13:35:28Z</vt:filetime>
  </property>
  <property fmtid="{D5CDD505-2E9C-101B-9397-08002B2CF9AE}" pid="3" name="CRO">
    <vt:lpwstr>wqlLaW5nc29mdCBQREYgdG8gV1BTIDkw</vt:lpwstr>
  </property>
</Properties>
</file>