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细微射频同轴电缆行业相关公司筹备报告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3" w:history="1">
        <w:r>
          <w:rPr>
            <w:rFonts w:ascii="仿宋" w:eastAsia="仿宋" w:hAnsi="仿宋" w:cs="仿宋" w:hint="eastAsia"/>
            <w:lang w:eastAsia="zh-CN"/>
          </w:rPr>
          <w:t>三、细微射频同轴电缆项目概况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" w:history="1">
        <w:r>
          <w:rPr>
            <w:rFonts w:ascii="仿宋" w:eastAsia="仿宋" w:hAnsi="仿宋" w:cs="仿宋" w:hint="eastAsia"/>
            <w:lang w:eastAsia="zh-CN"/>
          </w:rPr>
          <w:t>(二)、细微射频同轴电缆项目提出的理由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(三)、细微射频同轴电缆项目选址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_Toc5582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(六)、细微射频同轴电缆项目投资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eastAsia="zh-CN"/>
          </w:rPr>
          <w:t>(七)、细微射频同轴电缆项目进度规划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(九)、细微射频同轴电缆项目综合评价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(七)、细微射频同轴电缆项目建设必要性分析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六、细微射频同轴电缆项目风险分析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(一)、细微射频同轴电缆项目风险分析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(二)、细微射频同轴电缆项目风险对策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(一)、细微射频同轴电缆项目背景分析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(二)、细微射频同轴电缆项目建设必要性分析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(五)、细微射频同轴电缆项目总投资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_Toc11127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十三、细微射频同轴电缆项目总结分析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(二)、合作细微射频同轴电缆项目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8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7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1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https://d.book118.com/126023231231010035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细微射频同轴电缆行业相关公司筹备报告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细微射频同轴电缆行业相关公司筹备报告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细微射频同轴电缆行业相关公司筹备报告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细微射频同轴电缆行业相关公司筹备报告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细微射频同轴电缆行业相关公司筹备报告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02323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2023-12-31T19:23:00Z</dcterms:created>
  <dcterms:modified xsi:type="dcterms:W3CDTF">2023-12-31T19:24:08Z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DD3548C8BB3D4A30B1D6D07802785FEA_11</vt:lpwstr>
  </property>
  <property fmtid="{D5CDD505-2E9C-101B-9397-08002B2CF9AE}" pid="3" name="KSOProductBuildVer">
    <vt:lpwstr>2052-12.1.0.16120</vt:lpwstr>
  </property>
</Properties>
</file>