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2018-2023年运城师范高等专科学校高职单招（数学／语文／英语）历年常考试题库含答案解析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在下列诗句中，使用了“赋”的表现手法的是（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A.于嗟鸠兮，无食桑葚。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B.淇则有岸，隰则有泮。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C.总角之宴，言笑晏晏。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D.桑之未落，其叶沃若。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下列各组句子中加点的字，字义相同的一组是（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3048320" cy="217192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320" cy="2171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《灯下漫笔》选自鲁迅著名的杂文集（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A.《热风》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B.《南腔北调集》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D.《华盖集》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4.</w:t>
      </w:r>
      <w:r>
        <w:rPr>
          <w:rFonts w:ascii="黑体" w:eastAsia="黑体" w:hAnsi="黑体" w:cs="Times New Roman"/>
          <w:sz w:val="24"/>
          <w:lang w:val="en-US" w:eastAsia="ja-JP" w:bidi="ar-SA"/>
        </w:rPr>
        <w:t>《郑伯克段于鄢》中详写的是（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A.战争所以成败的原因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B.战争的场面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C.置姜氏于城颍的原因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D.郑伯克段于鄢的经过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3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我国诗歌史上被称为“诗圣”的是（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梁启超《论毅力》一文的中心论点是（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A.有毅力者成，反是者败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B.人生历程，大抵逆境居十六七，顺境亦居十三四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C.小逆之后，必有小顺；大逆之后，必有大顺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D.成败之数，视此而已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下列各句中，“数”字作“计算”义解的是（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A.此其过江河之流，不可为量数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B.成败之数，视此而已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C.必有数次乃至十数次之阻力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D.数罟不入洿池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中国现代小说的奠基人是（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A.沈从文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关于艾青《我爱这土地》一诗，下列表述错误的是（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A.此诗写作于抗日战争临近胜利之时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B.此诗抒发了诗人深沉炽烈的爱国主义情感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C.“被暴风雨所打击着的土地”，象征着敌人对祖国的侵略和践踏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D.“激怒的风”象征着中国人民的愤怒与反抗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“人与马对话”的感人情节是契诃夫哪部小说中所描写的情节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A.《万卡》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B.《渴睡》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D.《醋栗》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孔子所说的“小康”社会指的是（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B.商周时代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C.“三代之英”时代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D.春秋时代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提出“文章合为时而著，歌诗合为事而作”创作主张的诗人是（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https://d.book118.com/126030020233010052</w:t>
        </w:r>
      </w:hyperlink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126030020233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