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44" w:line="221" w:lineRule="auto"/>
        <w:ind w:left="1298"/>
        <w:outlineLvl w:val="0"/>
        <w:rPr>
          <w:rFonts w:ascii="SimHei" w:eastAsia="SimHei" w:hAnsi="SimHei" w:cs="SimHei"/>
          <w:sz w:val="32"/>
          <w:szCs w:val="32"/>
        </w:rPr>
      </w:pPr>
      <w:r>
        <w:rPr>
          <w:rFonts w:ascii="SimHei" w:eastAsia="SimHei" w:hAnsi="SimHei" w:cs="SimHei"/>
          <w:b/>
          <w:bCs/>
          <w:spacing w:val="-7"/>
          <w:sz w:val="32"/>
          <w:szCs w:val="32"/>
        </w:rPr>
        <w:t>《城市轨道交通噪声排放标准》编制说明</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88" w:line="221" w:lineRule="auto"/>
        <w:ind w:left="17"/>
        <w:rPr>
          <w:rFonts w:ascii="SimHei" w:eastAsia="SimHei" w:hAnsi="SimHei" w:cs="SimHei"/>
          <w:sz w:val="27"/>
          <w:szCs w:val="27"/>
        </w:rPr>
      </w:pPr>
      <w:r>
        <w:rPr>
          <w:rFonts w:ascii="SimHei" w:eastAsia="SimHei" w:hAnsi="SimHei" w:cs="SimHei"/>
          <w:b/>
          <w:bCs/>
          <w:spacing w:val="-10"/>
          <w:sz w:val="27"/>
          <w:szCs w:val="27"/>
        </w:rPr>
        <w:t>1</w:t>
      </w:r>
      <w:r>
        <w:rPr>
          <w:rFonts w:ascii="SimHei" w:eastAsia="SimHei" w:hAnsi="SimHei" w:cs="SimHei"/>
          <w:spacing w:val="26"/>
          <w:sz w:val="27"/>
          <w:szCs w:val="27"/>
        </w:rPr>
        <w:t xml:space="preserve"> </w:t>
      </w:r>
      <w:r>
        <w:rPr>
          <w:rFonts w:ascii="SimHei" w:eastAsia="SimHei" w:hAnsi="SimHei" w:cs="SimHei"/>
          <w:b/>
          <w:bCs/>
          <w:spacing w:val="-10"/>
          <w:sz w:val="27"/>
          <w:szCs w:val="27"/>
        </w:rPr>
        <w:t>项目背景</w:t>
      </w:r>
    </w:p>
    <w:p>
      <w:pPr>
        <w:spacing w:before="235" w:line="221" w:lineRule="auto"/>
        <w:ind w:left="16"/>
        <w:rPr>
          <w:rFonts w:ascii="SimHei" w:eastAsia="SimHei" w:hAnsi="SimHei" w:cs="SimHei"/>
          <w:sz w:val="21"/>
          <w:szCs w:val="21"/>
        </w:rPr>
      </w:pPr>
      <w:r>
        <w:rPr>
          <w:rFonts w:ascii="SimHei" w:eastAsia="SimHei" w:hAnsi="SimHei" w:cs="SimHei"/>
          <w:b/>
          <w:bCs/>
          <w:spacing w:val="6"/>
          <w:sz w:val="21"/>
          <w:szCs w:val="21"/>
        </w:rPr>
        <w:t>1.1</w:t>
      </w:r>
      <w:r>
        <w:rPr>
          <w:rFonts w:ascii="SimHei" w:eastAsia="SimHei" w:hAnsi="SimHei" w:cs="SimHei"/>
          <w:spacing w:val="6"/>
          <w:sz w:val="21"/>
          <w:szCs w:val="21"/>
        </w:rPr>
        <w:t xml:space="preserve"> </w:t>
      </w:r>
      <w:r>
        <w:rPr>
          <w:rFonts w:ascii="SimHei" w:eastAsia="SimHei" w:hAnsi="SimHei" w:cs="SimHei"/>
          <w:b/>
          <w:bCs/>
          <w:spacing w:val="6"/>
          <w:sz w:val="21"/>
          <w:szCs w:val="21"/>
        </w:rPr>
        <w:t>任务来源</w:t>
      </w:r>
    </w:p>
    <w:p>
      <w:pPr>
        <w:pStyle w:val="BodyText"/>
        <w:spacing w:before="141" w:line="343" w:lineRule="auto"/>
        <w:ind w:left="13" w:right="6" w:firstLine="430"/>
        <w:jc w:val="both"/>
      </w:pPr>
      <w:r>
        <w:rPr>
          <w:spacing w:val="-3"/>
        </w:rPr>
        <w:t>根据《关于开展2022年度第一批国家生态环境标准项目实</w:t>
      </w:r>
      <w:r>
        <w:rPr>
          <w:spacing w:val="-4"/>
        </w:rPr>
        <w:t xml:space="preserve">施工作的通知》, 《城市轨道 </w:t>
      </w:r>
      <w:r>
        <w:rPr>
          <w:spacing w:val="-5"/>
        </w:rPr>
        <w:t>交通(边界)环境噪声排放控制标准》列入2022年标准</w:t>
      </w:r>
      <w:r>
        <w:rPr>
          <w:spacing w:val="-6"/>
        </w:rPr>
        <w:t>制定项目计划，项目统一编号为2022-1。</w:t>
      </w:r>
      <w:r>
        <w:t xml:space="preserve"> </w:t>
      </w:r>
      <w:r>
        <w:rPr>
          <w:spacing w:val="2"/>
        </w:rPr>
        <w:t>本标准为落实《中华人民共和国噪声污染防治法》(以下简称《噪声法》)中对城市轨</w:t>
      </w:r>
      <w:r>
        <w:rPr>
          <w:spacing w:val="1"/>
        </w:rPr>
        <w:t xml:space="preserve">道交 </w:t>
      </w:r>
      <w:r>
        <w:rPr>
          <w:spacing w:val="-3"/>
        </w:rPr>
        <w:t>通噪声污染的管理要求，生态环境部大气环境司提出标准立项建议并进行归</w:t>
      </w:r>
      <w:r>
        <w:rPr>
          <w:spacing w:val="-4"/>
        </w:rPr>
        <w:t xml:space="preserve">口管理，由北京 </w:t>
      </w:r>
      <w:r>
        <w:rPr>
          <w:spacing w:val="-1"/>
        </w:rPr>
        <w:t>市科学技术研究院城市安全与环境科学研究所(原北京市劳动保护科学研究所，简称北京城</w:t>
      </w:r>
      <w:r>
        <w:rPr>
          <w:spacing w:val="1"/>
        </w:rPr>
        <w:t xml:space="preserve">  </w:t>
      </w:r>
      <w:r>
        <w:t>安所)承担制定任务，合作单位为中国环境监测总站、生态</w:t>
      </w:r>
      <w:r>
        <w:rPr>
          <w:spacing w:val="-1"/>
        </w:rPr>
        <w:t>环境部核与辐射安全中心、北京</w:t>
      </w:r>
    </w:p>
    <w:p>
      <w:pPr>
        <w:pStyle w:val="BodyText"/>
        <w:spacing w:line="218" w:lineRule="auto"/>
        <w:jc w:val="right"/>
      </w:pPr>
      <w:r>
        <w:rPr>
          <w:spacing w:val="-1"/>
        </w:rPr>
        <w:t>城建设计发展集团股份有限公司、杭州市生态环境科学研究院和天津市生态环境监测中心。</w:t>
      </w:r>
    </w:p>
    <w:p>
      <w:pPr>
        <w:spacing w:before="178" w:line="222" w:lineRule="auto"/>
        <w:ind w:left="15"/>
        <w:rPr>
          <w:rFonts w:ascii="SimHei" w:eastAsia="SimHei" w:hAnsi="SimHei" w:cs="SimHei"/>
          <w:sz w:val="21"/>
          <w:szCs w:val="21"/>
        </w:rPr>
      </w:pPr>
      <w:r>
        <w:rPr>
          <w:rFonts w:ascii="SimHei" w:eastAsia="SimHei" w:hAnsi="SimHei" w:cs="SimHei"/>
          <w:b/>
          <w:bCs/>
          <w:spacing w:val="2"/>
          <w:sz w:val="21"/>
          <w:szCs w:val="21"/>
        </w:rPr>
        <w:t>1.2</w:t>
      </w:r>
      <w:r>
        <w:rPr>
          <w:rFonts w:ascii="SimHei" w:eastAsia="SimHei" w:hAnsi="SimHei" w:cs="SimHei"/>
          <w:spacing w:val="41"/>
          <w:sz w:val="21"/>
          <w:szCs w:val="21"/>
        </w:rPr>
        <w:t xml:space="preserve"> </w:t>
      </w:r>
      <w:r>
        <w:rPr>
          <w:rFonts w:ascii="SimHei" w:eastAsia="SimHei" w:hAnsi="SimHei" w:cs="SimHei"/>
          <w:b/>
          <w:bCs/>
          <w:spacing w:val="2"/>
          <w:sz w:val="21"/>
          <w:szCs w:val="21"/>
        </w:rPr>
        <w:t>工作过程</w:t>
      </w:r>
    </w:p>
    <w:p>
      <w:pPr>
        <w:pStyle w:val="BodyText"/>
        <w:spacing w:before="152" w:line="219" w:lineRule="auto"/>
        <w:ind w:left="443"/>
      </w:pPr>
      <w:r>
        <w:rPr>
          <w:spacing w:val="-3"/>
        </w:rPr>
        <w:t>任务下达后，标准编制组主要开展了以下工作：</w:t>
      </w:r>
    </w:p>
    <w:p>
      <w:pPr>
        <w:pStyle w:val="BodyText"/>
        <w:spacing w:before="131" w:line="390" w:lineRule="exact"/>
        <w:ind w:left="543"/>
      </w:pPr>
      <w:r>
        <w:rPr>
          <w:spacing w:val="5"/>
          <w:position w:val="13"/>
        </w:rPr>
        <w:t>(1)成立标准编制组。2022年1月，接到生态环</w:t>
      </w:r>
      <w:r>
        <w:rPr>
          <w:spacing w:val="4"/>
          <w:position w:val="13"/>
        </w:rPr>
        <w:t>境部编制《城市轨道交通(边界)环境</w:t>
      </w:r>
    </w:p>
    <w:p>
      <w:pPr>
        <w:pStyle w:val="BodyText"/>
        <w:spacing w:line="219" w:lineRule="auto"/>
        <w:ind w:left="13"/>
      </w:pPr>
      <w:r>
        <w:rPr>
          <w:spacing w:val="-2"/>
        </w:rPr>
        <w:t>噪声排放控制标准》任务，并联合相关单位成立标准编制组。</w:t>
      </w:r>
    </w:p>
    <w:p>
      <w:pPr>
        <w:pStyle w:val="BodyText"/>
        <w:spacing w:before="138" w:line="341" w:lineRule="auto"/>
        <w:ind w:left="13" w:right="79" w:firstLine="529"/>
      </w:pPr>
      <w:r>
        <w:t>(2)查询相关资料及座谈研讨。根据《国家生态环境标准制修订工作规则》</w:t>
      </w:r>
      <w:r>
        <w:rPr>
          <w:spacing w:val="86"/>
        </w:rPr>
        <w:t xml:space="preserve"> </w:t>
      </w:r>
      <w:r>
        <w:t>(</w:t>
      </w:r>
      <w:r>
        <w:rPr>
          <w:spacing w:val="-1"/>
        </w:rPr>
        <w:t>国环规</w:t>
      </w:r>
      <w:r>
        <w:t xml:space="preserve"> </w:t>
      </w:r>
      <w:r>
        <w:rPr>
          <w:spacing w:val="5"/>
        </w:rPr>
        <w:t>法规(2020)4 号)的相关规定，检索、查询</w:t>
      </w:r>
      <w:r>
        <w:rPr>
          <w:spacing w:val="4"/>
        </w:rPr>
        <w:t>和收集国内外城市轨道交通噪声标准规范、管</w:t>
      </w:r>
      <w:r>
        <w:t xml:space="preserve"> </w:t>
      </w:r>
      <w:r>
        <w:rPr>
          <w:spacing w:val="-3"/>
        </w:rPr>
        <w:t>理方法等相关文献资料，对国内城市轨道交通噪声排放情况开展调查研究，提出初步</w:t>
      </w:r>
      <w:r>
        <w:rPr>
          <w:spacing w:val="-4"/>
        </w:rPr>
        <w:t>工作方</w:t>
      </w:r>
      <w:r>
        <w:t xml:space="preserve"> </w:t>
      </w:r>
      <w:r>
        <w:rPr>
          <w:spacing w:val="-1"/>
        </w:rPr>
        <w:t>案和标准研究技术路线。2022年2月24日，参加大气环境司组织的交通运输噪声污染防治座</w:t>
      </w:r>
    </w:p>
    <w:p>
      <w:pPr>
        <w:pStyle w:val="BodyText"/>
        <w:spacing w:before="1" w:line="218" w:lineRule="auto"/>
        <w:ind w:left="13"/>
      </w:pPr>
      <w:r>
        <w:rPr>
          <w:spacing w:val="-2"/>
        </w:rPr>
        <w:t>谈会，就本标准的制订思路和内容进行了汇报。</w:t>
      </w:r>
    </w:p>
    <w:p>
      <w:pPr>
        <w:pStyle w:val="BodyText"/>
        <w:spacing w:before="141" w:line="352" w:lineRule="auto"/>
        <w:ind w:left="113" w:right="77" w:firstLine="429"/>
      </w:pPr>
      <w:r>
        <w:rPr>
          <w:spacing w:val="5"/>
        </w:rPr>
        <w:t>(3)编制标准草稿和开题论证报告。2022年3月编制《城市</w:t>
      </w:r>
      <w:r>
        <w:rPr>
          <w:spacing w:val="4"/>
        </w:rPr>
        <w:t>轨道交通(边界)环境噪声</w:t>
      </w:r>
      <w:r>
        <w:t xml:space="preserve"> </w:t>
      </w:r>
      <w:r>
        <w:rPr>
          <w:spacing w:val="-5"/>
        </w:rPr>
        <w:t>排放控制标准》草稿和开题论证报告，并与住建、</w:t>
      </w:r>
      <w:r>
        <w:rPr>
          <w:spacing w:val="-6"/>
        </w:rPr>
        <w:t>交通等相关部门开展对接、交流，完善标</w:t>
      </w:r>
    </w:p>
    <w:p>
      <w:pPr>
        <w:pStyle w:val="BodyText"/>
        <w:spacing w:line="219" w:lineRule="auto"/>
        <w:ind w:left="13"/>
      </w:pPr>
      <w:r>
        <w:rPr>
          <w:spacing w:val="-8"/>
        </w:rPr>
        <w:t>准草稿。</w:t>
      </w:r>
    </w:p>
    <w:p>
      <w:pPr>
        <w:pStyle w:val="BodyText"/>
        <w:spacing w:before="120" w:line="343" w:lineRule="auto"/>
        <w:ind w:left="13" w:right="16" w:firstLine="529"/>
      </w:pPr>
      <w:r>
        <w:rPr>
          <w:spacing w:val="2"/>
        </w:rPr>
        <w:t>(4)标准开题论证。2022年5月9日，生</w:t>
      </w:r>
      <w:r>
        <w:rPr>
          <w:spacing w:val="1"/>
        </w:rPr>
        <w:t xml:space="preserve">态环境部大气环境司在北京主持召开了标准开 </w:t>
      </w:r>
      <w:r>
        <w:rPr>
          <w:spacing w:val="-1"/>
        </w:rPr>
        <w:t>题论证会，并获得通过。专家建议：进一步完善列车</w:t>
      </w:r>
      <w:r>
        <w:rPr>
          <w:spacing w:val="-2"/>
        </w:rPr>
        <w:t>通过噪声的评价方法，建议结合实测，</w:t>
      </w:r>
      <w:r>
        <w:t xml:space="preserve"> </w:t>
      </w:r>
      <w:r>
        <w:rPr>
          <w:spacing w:val="-3"/>
        </w:rPr>
        <w:t>补充列车通过噪声限值的依据和合理性；进一步完善测量方法，充分考虑各种制式及各种线</w:t>
      </w:r>
    </w:p>
    <w:p>
      <w:pPr>
        <w:pStyle w:val="BodyText"/>
        <w:spacing w:before="1" w:line="219" w:lineRule="auto"/>
        <w:ind w:left="13"/>
        <w:sectPr>
          <w:footerReference w:type="default" r:id="rId4"/>
          <w:pgSz w:w="11910" w:h="16840"/>
          <w:pgMar w:top="1431" w:right="1748" w:bottom="1113" w:left="1786" w:header="0" w:footer="1023" w:gutter="0"/>
          <w:cols w:space="708"/>
        </w:sectPr>
      </w:pPr>
      <w:r>
        <w:rPr>
          <w:spacing w:val="-3"/>
        </w:rPr>
        <w:t>路情况，便于标准监测与执行。</w:t>
      </w:r>
    </w:p>
    <w:p>
      <w:pPr>
        <w:pStyle w:val="BodyText"/>
        <w:spacing w:before="160" w:line="343" w:lineRule="auto"/>
        <w:ind w:left="13" w:right="77" w:firstLine="529"/>
      </w:pPr>
      <w:r>
        <w:rPr>
          <w:spacing w:val="2"/>
        </w:rPr>
        <w:t>(5)开展关键技术问题研究和论证。通过标准开题论证会之后，根据开题会意见，结</w:t>
      </w:r>
      <w:r>
        <w:rPr>
          <w:spacing w:val="10"/>
        </w:rPr>
        <w:t xml:space="preserve"> </w:t>
      </w:r>
      <w:r>
        <w:rPr>
          <w:spacing w:val="-3"/>
        </w:rPr>
        <w:t>合实测数据开展评价方法、测量方法、噪声限值等关键问题研究，进一步补充列车通过噪声</w:t>
      </w:r>
      <w:r>
        <w:rPr>
          <w:spacing w:val="2"/>
        </w:rPr>
        <w:t xml:space="preserve"> </w:t>
      </w:r>
      <w:r>
        <w:rPr>
          <w:spacing w:val="-3"/>
        </w:rPr>
        <w:t>数据进行论证，积极与专家交流、研讨，与城市轨道交通相关单位、相关标准规范编制单位</w:t>
      </w:r>
    </w:p>
    <w:p>
      <w:pPr>
        <w:pStyle w:val="BodyText"/>
        <w:spacing w:line="219" w:lineRule="auto"/>
        <w:ind w:left="13"/>
      </w:pPr>
      <w:r>
        <w:rPr>
          <w:spacing w:val="-4"/>
        </w:rPr>
        <w:t>对接、调研，筹备标准征求意见稿的编制。</w:t>
      </w:r>
    </w:p>
    <w:p>
      <w:pPr>
        <w:pStyle w:val="BodyText"/>
        <w:spacing w:before="131" w:line="389" w:lineRule="exact"/>
        <w:ind w:left="543"/>
      </w:pPr>
      <w:r>
        <w:rPr>
          <w:spacing w:val="2"/>
          <w:position w:val="13"/>
        </w:rPr>
        <w:t>(6)编写标准草案征求意见稿和征求意见稿编制说明。2022年12月~2023</w:t>
      </w:r>
      <w:r>
        <w:rPr>
          <w:spacing w:val="1"/>
          <w:position w:val="13"/>
        </w:rPr>
        <w:t>年3月，在上</w:t>
      </w:r>
    </w:p>
    <w:p>
      <w:pPr>
        <w:pStyle w:val="BodyText"/>
        <w:spacing w:before="1" w:line="218" w:lineRule="auto"/>
        <w:ind w:left="13"/>
      </w:pPr>
      <w:r>
        <w:rPr>
          <w:spacing w:val="-3"/>
        </w:rPr>
        <w:t>述研究和分析工作的基础上，标准编制组完成标准草案征求意见稿的编写，并撰写了征求意</w:t>
      </w:r>
    </w:p>
    <w:p>
      <w:pPr>
        <w:spacing w:line="218" w:lineRule="auto"/>
        <w:sectPr>
          <w:footerReference w:type="default" r:id="rId5"/>
          <w:type w:val="nextPage"/>
          <w:pgSz w:w="11910" w:h="16840"/>
          <w:pgMar w:top="1431" w:right="1748" w:bottom="1113" w:left="1786" w:header="0" w:footer="1023" w:gutter="0"/>
          <w:pgNumType w:start="2"/>
          <w:cols w:space="708"/>
          <w:titlePg w:val="0"/>
        </w:sectPr>
      </w:pPr>
    </w:p>
    <w:p>
      <w:pPr>
        <w:pStyle w:val="BodyText"/>
        <w:spacing w:before="76" w:line="410" w:lineRule="exact"/>
        <w:ind w:left="13"/>
      </w:pPr>
      <w:r>
        <w:rPr>
          <w:spacing w:val="1"/>
          <w:position w:val="15"/>
        </w:rPr>
        <w:t>见稿编制说明。2023年4月，针对草案邀请专家进行咨询，进一步完善《城市轨道交通(边</w:t>
      </w:r>
    </w:p>
    <w:p>
      <w:pPr>
        <w:pStyle w:val="BodyText"/>
        <w:spacing w:line="219" w:lineRule="auto"/>
        <w:ind w:left="13"/>
      </w:pPr>
      <w:r>
        <w:rPr>
          <w:spacing w:val="2"/>
        </w:rPr>
        <w:t>界)环境噪声排放控制标准》征求意见稿和编制说明。</w:t>
      </w:r>
    </w:p>
    <w:p>
      <w:pPr>
        <w:pStyle w:val="BodyText"/>
        <w:spacing w:before="138" w:line="343" w:lineRule="auto"/>
        <w:ind w:left="13" w:right="26" w:firstLine="519"/>
        <w:jc w:val="both"/>
      </w:pPr>
      <w:r>
        <w:t>(7)征求意见稿技术审查会。  2023年4月12日，生态环境部大气环境司在北京主持召</w:t>
      </w:r>
      <w:r>
        <w:rPr>
          <w:spacing w:val="6"/>
        </w:rPr>
        <w:t xml:space="preserve"> </w:t>
      </w:r>
      <w:r>
        <w:rPr>
          <w:spacing w:val="-3"/>
        </w:rPr>
        <w:t>开了征求意见稿技术审查会，并获得通过。专家建议：标准名称建议修改为“城市轨</w:t>
      </w:r>
      <w:r>
        <w:rPr>
          <w:spacing w:val="-4"/>
        </w:rPr>
        <w:t>道交通</w:t>
      </w:r>
      <w:r>
        <w:t xml:space="preserve"> </w:t>
      </w:r>
      <w:r>
        <w:t>噪声排放标准”;建议进一步规范表述术语定</w:t>
      </w:r>
      <w:r>
        <w:rPr>
          <w:spacing w:val="-1"/>
        </w:rPr>
        <w:t>义，便于确定边界监测位置以及明确区分三个</w:t>
      </w:r>
    </w:p>
    <w:p>
      <w:pPr>
        <w:pStyle w:val="BodyText"/>
        <w:spacing w:before="1" w:line="217" w:lineRule="auto"/>
        <w:ind w:left="13"/>
      </w:pPr>
      <w:r>
        <w:rPr>
          <w:spacing w:val="-1"/>
        </w:rPr>
        <w:t>评价量；建议合理考虑噪声敏感建筑物集中区域外的敏</w:t>
      </w:r>
      <w:r>
        <w:rPr>
          <w:spacing w:val="-2"/>
        </w:rPr>
        <w:t>感点控制要求。</w:t>
      </w:r>
    </w:p>
    <w:p>
      <w:pPr>
        <w:pStyle w:val="BodyText"/>
        <w:spacing w:before="143" w:line="334" w:lineRule="auto"/>
        <w:ind w:left="13" w:right="22" w:firstLine="529"/>
        <w:jc w:val="both"/>
      </w:pPr>
      <w:r>
        <w:t>(8)修改和完善征求意见稿。2023年5</w:t>
      </w:r>
      <w:r>
        <w:rPr>
          <w:spacing w:val="-1"/>
        </w:rPr>
        <w:t>月～2023年11月，根据技术审查会意见，多次组</w:t>
      </w:r>
      <w:r>
        <w:t xml:space="preserve"> </w:t>
      </w:r>
      <w:r>
        <w:rPr>
          <w:spacing w:val="-3"/>
        </w:rPr>
        <w:t>织专家针对多套技术方案进行论证，针对重点问题进行研讨。在北京、深圳、上海、南</w:t>
      </w:r>
      <w:r>
        <w:rPr>
          <w:spacing w:val="-4"/>
        </w:rPr>
        <w:t>京等</w:t>
      </w:r>
      <w:r>
        <w:t xml:space="preserve"> </w:t>
      </w:r>
      <w:r>
        <w:rPr>
          <w:spacing w:val="-2"/>
        </w:rPr>
        <w:t>17个城市针对70条线路开展城市轨道交通噪声测试，</w:t>
      </w:r>
      <w:r>
        <w:rPr>
          <w:spacing w:val="-3"/>
        </w:rPr>
        <w:t>获得大量实测数据。在此基础上修改完</w:t>
      </w:r>
    </w:p>
    <w:p>
      <w:pPr>
        <w:pStyle w:val="BodyText"/>
        <w:spacing w:before="1" w:line="219" w:lineRule="auto"/>
        <w:ind w:left="13"/>
      </w:pPr>
      <w:r>
        <w:rPr>
          <w:spacing w:val="-5"/>
        </w:rPr>
        <w:t>善征求意见稿。</w:t>
      </w:r>
    </w:p>
    <w:p>
      <w:pPr>
        <w:spacing w:line="219" w:lineRule="auto"/>
        <w:sectPr>
          <w:footerReference w:type="default" r:id="rId6"/>
          <w:pgSz w:w="11910" w:h="16840"/>
          <w:pgMar w:top="1431" w:right="1786" w:bottom="1152" w:left="1786" w:header="0" w:footer="993" w:gutter="0"/>
          <w:pgNumType w:start="3"/>
          <w:cols w:space="708"/>
        </w:sectPr>
      </w:pPr>
    </w:p>
    <w:p>
      <w:pPr>
        <w:spacing w:before="226" w:line="222" w:lineRule="auto"/>
        <w:ind w:left="7"/>
        <w:rPr>
          <w:rFonts w:ascii="SimHei" w:eastAsia="SimHei" w:hAnsi="SimHei" w:cs="SimHei"/>
          <w:sz w:val="28"/>
          <w:szCs w:val="28"/>
        </w:rPr>
      </w:pPr>
      <w:r>
        <w:rPr>
          <w:rFonts w:ascii="SimHei" w:eastAsia="SimHei" w:hAnsi="SimHei" w:cs="SimHei"/>
          <w:b/>
          <w:bCs/>
          <w:spacing w:val="-4"/>
          <w:sz w:val="28"/>
          <w:szCs w:val="28"/>
        </w:rPr>
        <w:t>2</w:t>
      </w:r>
      <w:r>
        <w:rPr>
          <w:rFonts w:ascii="SimHei" w:eastAsia="SimHei" w:hAnsi="SimHei" w:cs="SimHei"/>
          <w:spacing w:val="-4"/>
          <w:sz w:val="28"/>
          <w:szCs w:val="28"/>
        </w:rPr>
        <w:t xml:space="preserve"> </w:t>
      </w:r>
      <w:r>
        <w:rPr>
          <w:rFonts w:ascii="SimHei" w:eastAsia="SimHei" w:hAnsi="SimHei" w:cs="SimHei"/>
          <w:b/>
          <w:bCs/>
          <w:spacing w:val="-4"/>
          <w:sz w:val="28"/>
          <w:szCs w:val="28"/>
        </w:rPr>
        <w:t>标准制订必要性分析</w:t>
      </w:r>
    </w:p>
    <w:p>
      <w:pPr>
        <w:spacing w:before="249" w:line="222" w:lineRule="auto"/>
        <w:ind w:left="6"/>
        <w:outlineLvl w:val="0"/>
        <w:rPr>
          <w:rFonts w:ascii="SimHei" w:eastAsia="SimHei" w:hAnsi="SimHei" w:cs="SimHei"/>
          <w:sz w:val="21"/>
          <w:szCs w:val="21"/>
        </w:rPr>
      </w:pPr>
      <w:r>
        <w:rPr>
          <w:rFonts w:ascii="SimHei" w:eastAsia="SimHei" w:hAnsi="SimHei" w:cs="SimHei"/>
          <w:b/>
          <w:bCs/>
          <w:spacing w:val="15"/>
          <w:sz w:val="21"/>
          <w:szCs w:val="21"/>
        </w:rPr>
        <w:t>2.1</w:t>
      </w:r>
      <w:r>
        <w:rPr>
          <w:rFonts w:ascii="SimHei" w:eastAsia="SimHei" w:hAnsi="SimHei" w:cs="SimHei"/>
          <w:spacing w:val="15"/>
          <w:sz w:val="21"/>
          <w:szCs w:val="21"/>
        </w:rPr>
        <w:t xml:space="preserve"> </w:t>
      </w:r>
      <w:r>
        <w:rPr>
          <w:rFonts w:ascii="SimHei" w:eastAsia="SimHei" w:hAnsi="SimHei" w:cs="SimHei"/>
          <w:b/>
          <w:bCs/>
          <w:spacing w:val="15"/>
          <w:sz w:val="21"/>
          <w:szCs w:val="21"/>
        </w:rPr>
        <w:t>落实《噪声法》要求</w:t>
      </w:r>
    </w:p>
    <w:p>
      <w:pPr>
        <w:pStyle w:val="BodyText"/>
        <w:spacing w:before="152" w:line="334" w:lineRule="auto"/>
        <w:ind w:left="3" w:right="326" w:firstLine="440"/>
      </w:pPr>
      <w:r>
        <w:rPr>
          <w:spacing w:val="-4"/>
        </w:rPr>
        <w:t>为了推进噪声污染防治标准体系建设，防治城市轨道交通噪声污染，落实城市轨道交通</w:t>
      </w:r>
      <w:r>
        <w:rPr>
          <w:spacing w:val="9"/>
        </w:rPr>
        <w:t xml:space="preserve"> </w:t>
      </w:r>
      <w:r>
        <w:rPr>
          <w:spacing w:val="-3"/>
        </w:rPr>
        <w:t>管理部门对线路运营噪声的管理职责，《噪声法》提出了对城市轨道交通噪声污染防治的相</w:t>
      </w:r>
    </w:p>
    <w:p>
      <w:pPr>
        <w:pStyle w:val="BodyText"/>
        <w:spacing w:line="220" w:lineRule="auto"/>
        <w:ind w:left="3"/>
      </w:pPr>
      <w:r>
        <w:rPr>
          <w:spacing w:val="-8"/>
        </w:rPr>
        <w:t>关要求。</w:t>
      </w:r>
    </w:p>
    <w:p>
      <w:pPr>
        <w:pStyle w:val="BodyText"/>
        <w:spacing w:before="147" w:line="343" w:lineRule="auto"/>
        <w:ind w:left="3" w:right="322" w:firstLine="434"/>
      </w:pPr>
      <w:r>
        <w:rPr>
          <w:spacing w:val="-9"/>
        </w:rPr>
        <w:t>《噪声法》在总则章节提到了噪声排放标准对噪声污染认定的重要作用，第二</w:t>
      </w:r>
      <w:r>
        <w:rPr>
          <w:spacing w:val="-10"/>
        </w:rPr>
        <w:t>条规定“本</w:t>
      </w:r>
      <w:r>
        <w:t xml:space="preserve"> </w:t>
      </w:r>
      <w:r>
        <w:rPr>
          <w:spacing w:val="-3"/>
        </w:rPr>
        <w:t>法所称噪声污染，是指超过噪声排放标准或者未依法采取防护措施产生噪声，并干扰他人正</w:t>
      </w:r>
      <w:r>
        <w:rPr>
          <w:spacing w:val="1"/>
        </w:rPr>
        <w:t xml:space="preserve"> </w:t>
      </w:r>
      <w:r>
        <w:rPr>
          <w:spacing w:val="-3"/>
        </w:rPr>
        <w:t>常生活、工作和学习的现象。”在噪声污染防治标准和规划章节中提出了对标准体系建设的</w:t>
      </w:r>
      <w:r>
        <w:rPr>
          <w:spacing w:val="5"/>
        </w:rPr>
        <w:t xml:space="preserve"> </w:t>
      </w:r>
      <w:r>
        <w:rPr>
          <w:spacing w:val="-3"/>
        </w:rPr>
        <w:t>要求，第十三条规定“国家推进噪声污染防治标准体系建设。国务院生态环境主管部门和国</w:t>
      </w:r>
      <w:r>
        <w:rPr>
          <w:spacing w:val="10"/>
        </w:rPr>
        <w:t xml:space="preserve"> </w:t>
      </w:r>
      <w:r>
        <w:rPr>
          <w:spacing w:val="-3"/>
        </w:rPr>
        <w:t>务院其他有关部门，在各自职责范围内，制定和完善噪声污染防治相关标准，加强标准之间</w:t>
      </w:r>
      <w:r>
        <w:rPr>
          <w:spacing w:val="9"/>
        </w:rPr>
        <w:t xml:space="preserve"> </w:t>
      </w:r>
      <w:r>
        <w:rPr>
          <w:spacing w:val="-3"/>
        </w:rPr>
        <w:t>的衔接协调。”在噪声污染防治的监督管理章节中提出不符合噪声排放标准要明确责任的要</w:t>
      </w:r>
      <w:r>
        <w:t xml:space="preserve"> </w:t>
      </w:r>
      <w:r>
        <w:rPr>
          <w:spacing w:val="-3"/>
        </w:rPr>
        <w:t>求，第二十二条规定“排放噪声、产生振动，应当符合噪声排放标准以及相关的环境</w:t>
      </w:r>
      <w:r>
        <w:rPr>
          <w:spacing w:val="-4"/>
        </w:rPr>
        <w:t>振动控</w:t>
      </w:r>
      <w:r>
        <w:t xml:space="preserve"> </w:t>
      </w:r>
      <w:r>
        <w:rPr>
          <w:spacing w:val="-3"/>
        </w:rPr>
        <w:t>制标准和有关法律、法规、规章的要求。排放噪声的单位和公共场所管理者，应当建立噪声</w:t>
      </w:r>
    </w:p>
    <w:p>
      <w:pPr>
        <w:pStyle w:val="BodyText"/>
        <w:spacing w:line="219" w:lineRule="auto"/>
        <w:ind w:left="3"/>
      </w:pPr>
      <w:r>
        <w:rPr>
          <w:spacing w:val="4"/>
        </w:rPr>
        <w:t>污染防治责任制度，明确负责人和相关人员的责任</w:t>
      </w:r>
      <w:r>
        <w:rPr>
          <w:spacing w:val="3"/>
        </w:rPr>
        <w:t>。”</w:t>
      </w:r>
    </w:p>
    <w:p>
      <w:pPr>
        <w:pStyle w:val="BodyText"/>
        <w:spacing w:before="140" w:line="219" w:lineRule="auto"/>
        <w:ind w:left="438"/>
      </w:pPr>
      <w:r>
        <w:rPr>
          <w:spacing w:val="-1"/>
        </w:rPr>
        <w:t>《噪声法》在交通运输噪声污染防治章节提出</w:t>
      </w:r>
      <w:r>
        <w:rPr>
          <w:spacing w:val="-2"/>
        </w:rPr>
        <w:t>了对城市轨道交通运行排放噪声的要求，</w:t>
      </w:r>
    </w:p>
    <w:p>
      <w:pPr>
        <w:pStyle w:val="BodyText"/>
        <w:spacing w:before="142" w:line="219" w:lineRule="auto"/>
        <w:ind w:left="3"/>
      </w:pPr>
      <w:r>
        <w:rPr>
          <w:spacing w:val="-1"/>
        </w:rPr>
        <w:t>第四十六条规定“新建、改建、扩建经过噪声敏感建筑物集中区域的高速公路、城市高架、</w:t>
      </w:r>
    </w:p>
    <w:p>
      <w:pPr>
        <w:pStyle w:val="BodyText"/>
        <w:spacing w:before="141" w:line="219" w:lineRule="auto"/>
        <w:ind w:left="3"/>
      </w:pPr>
      <w:r>
        <w:rPr>
          <w:spacing w:val="-2"/>
        </w:rPr>
        <w:t>铁路和城市轨道交通线路等的，建设单位应当在</w:t>
      </w:r>
      <w:r>
        <w:rPr>
          <w:spacing w:val="-3"/>
        </w:rPr>
        <w:t>可能造成噪声污染的重点路段设置声屏障或</w:t>
      </w:r>
    </w:p>
    <w:p>
      <w:pPr>
        <w:pStyle w:val="BodyText"/>
        <w:spacing w:before="140" w:line="410" w:lineRule="exact"/>
        <w:jc w:val="right"/>
      </w:pPr>
      <w:r>
        <w:rPr>
          <w:spacing w:val="-5"/>
          <w:position w:val="15"/>
        </w:rPr>
        <w:t>者采取其他减少振动、降低噪声的措施，符合有关交通基础设施工程技术规范以及标准要求。”</w:t>
      </w:r>
    </w:p>
    <w:p>
      <w:pPr>
        <w:pStyle w:val="BodyText"/>
        <w:spacing w:before="1" w:line="219" w:lineRule="auto"/>
        <w:ind w:left="3"/>
      </w:pPr>
      <w:r>
        <w:rPr>
          <w:spacing w:val="-3"/>
        </w:rPr>
        <w:t>第五十一条规定：“城市轨道交通运营单位、铁路运输企业应当加强对城市轨道交通线路和</w:t>
      </w:r>
    </w:p>
    <w:p>
      <w:pPr>
        <w:pStyle w:val="BodyText"/>
        <w:spacing w:before="129" w:line="341" w:lineRule="auto"/>
        <w:ind w:left="3" w:right="308"/>
      </w:pPr>
      <w:r>
        <w:rPr>
          <w:spacing w:val="-3"/>
        </w:rPr>
        <w:t>城市轨道交通车辆、铁路线路和铁路机车车辆的维护和保养，保持减少振动、降低噪声</w:t>
      </w:r>
      <w:r>
        <w:rPr>
          <w:spacing w:val="-4"/>
        </w:rPr>
        <w:t>设施</w:t>
      </w:r>
      <w:r>
        <w:t xml:space="preserve"> </w:t>
      </w:r>
      <w:r>
        <w:rPr>
          <w:spacing w:val="-3"/>
        </w:rPr>
        <w:t>正常运行，并按照国家规定进行监测，保存原始监测记录，对监测数据的真实性和准确性负</w:t>
      </w:r>
      <w:r>
        <w:rPr>
          <w:spacing w:val="10"/>
        </w:rPr>
        <w:t xml:space="preserve"> </w:t>
      </w:r>
      <w:r>
        <w:rPr>
          <w:spacing w:val="-7"/>
        </w:rPr>
        <w:t>责。”第五十五条规定：“因公路、城市道路和城</w:t>
      </w:r>
      <w:r>
        <w:rPr>
          <w:spacing w:val="-8"/>
        </w:rPr>
        <w:t>市轨道交通运行排放噪声造成严重污染的，</w:t>
      </w:r>
      <w:r>
        <w:t xml:space="preserve"> </w:t>
      </w:r>
      <w:r>
        <w:rPr>
          <w:spacing w:val="-3"/>
        </w:rPr>
        <w:t>设区的市、县级人民政府应当组织有关部门和其他有关单位对噪声污染情况进行调查评估和</w:t>
      </w:r>
    </w:p>
    <w:p>
      <w:pPr>
        <w:pStyle w:val="BodyText"/>
        <w:spacing w:line="219" w:lineRule="auto"/>
        <w:ind w:left="3"/>
      </w:pPr>
      <w:r>
        <w:rPr>
          <w:spacing w:val="-3"/>
        </w:rPr>
        <w:t>责任认定，制定噪声污染综合治理方案”。</w:t>
      </w:r>
    </w:p>
    <w:p>
      <w:pPr>
        <w:pStyle w:val="BodyText"/>
        <w:spacing w:before="140" w:line="343" w:lineRule="auto"/>
        <w:ind w:left="3" w:right="277" w:firstLine="434"/>
      </w:pPr>
      <w:r>
        <w:rPr>
          <w:spacing w:val="-2"/>
        </w:rPr>
        <w:t>《噪声法》在法律责任章节提出了针对城市轨道交通的相关罚则，第八十条规定“</w:t>
      </w:r>
      <w:r>
        <w:rPr>
          <w:spacing w:val="-3"/>
        </w:rPr>
        <w:t>(一)</w:t>
      </w:r>
      <w:r>
        <w:t xml:space="preserve"> </w:t>
      </w:r>
      <w:r>
        <w:rPr>
          <w:spacing w:val="-3"/>
        </w:rPr>
        <w:t>公路养护管理单位、城市道路养护维修单位、城市轨道交通运营单位、铁路运输企业未履行</w:t>
      </w:r>
      <w:r>
        <w:t xml:space="preserve"> </w:t>
      </w:r>
      <w:r>
        <w:rPr>
          <w:spacing w:val="5"/>
        </w:rPr>
        <w:t>维护和保养义务，未保持减少振动、降低噪声设施正常运行的”,“(二</w:t>
      </w:r>
      <w:r>
        <w:rPr>
          <w:spacing w:val="4"/>
        </w:rPr>
        <w:t>)城市轨道交通运</w:t>
      </w:r>
      <w:r>
        <w:t xml:space="preserve"> </w:t>
      </w:r>
      <w:r>
        <w:t>营单位、铁路运输企业未按照国家规定进行监测，或者</w:t>
      </w:r>
      <w:r>
        <w:rPr>
          <w:spacing w:val="-1"/>
        </w:rPr>
        <w:t>未保存原始监测记录的”,均“由交</w:t>
      </w:r>
      <w:r>
        <w:t xml:space="preserve"> </w:t>
      </w:r>
      <w:r>
        <w:rPr>
          <w:spacing w:val="-3"/>
        </w:rPr>
        <w:t>通运输、铁路监督管理、民用航空等部门或者地方人民政府指定的城市道路、城市轨</w:t>
      </w:r>
      <w:r>
        <w:rPr>
          <w:spacing w:val="-4"/>
        </w:rPr>
        <w:t>道交通</w:t>
      </w:r>
      <w:r>
        <w:t xml:space="preserve"> </w:t>
      </w:r>
      <w:r>
        <w:rPr>
          <w:spacing w:val="-3"/>
        </w:rPr>
        <w:t>有关部门，按照职责责令改正，处五千元以上五万元以下的罚款；拒不改正的，处五万元以</w:t>
      </w:r>
    </w:p>
    <w:p>
      <w:pPr>
        <w:pStyle w:val="BodyText"/>
        <w:spacing w:before="1" w:line="220" w:lineRule="auto"/>
        <w:ind w:left="3"/>
      </w:pPr>
      <w:r>
        <w:rPr>
          <w:spacing w:val="-5"/>
        </w:rPr>
        <w:t>上二十万元以下的罚款”。</w:t>
      </w:r>
    </w:p>
    <w:p>
      <w:pPr>
        <w:pStyle w:val="BodyText"/>
        <w:spacing w:before="137" w:line="391" w:lineRule="exact"/>
        <w:ind w:left="443"/>
      </w:pPr>
      <w:r>
        <w:rPr>
          <w:spacing w:val="-3"/>
          <w:position w:val="13"/>
        </w:rPr>
        <w:t>制定本标准是落实城市轨道交通噪声排放监管、噪</w:t>
      </w:r>
      <w:r>
        <w:rPr>
          <w:spacing w:val="-4"/>
          <w:position w:val="13"/>
        </w:rPr>
        <w:t>声污染调查评估、责任认定和综合治</w:t>
      </w:r>
    </w:p>
    <w:p>
      <w:pPr>
        <w:pStyle w:val="BodyText"/>
        <w:spacing w:before="1" w:line="219" w:lineRule="auto"/>
        <w:ind w:left="3"/>
        <w:sectPr>
          <w:footerReference w:type="default" r:id="rId7"/>
          <w:pgSz w:w="11910" w:h="16840"/>
          <w:pgMar w:top="1431" w:right="1506" w:bottom="1152" w:left="1786" w:header="0" w:footer="993" w:gutter="0"/>
          <w:pgNumType w:start="4"/>
          <w:cols w:space="708"/>
        </w:sectPr>
      </w:pPr>
      <w:r>
        <w:rPr>
          <w:spacing w:val="-5"/>
        </w:rPr>
        <w:t>理的必要技术支撑。</w:t>
      </w:r>
    </w:p>
    <w:p>
      <w:pPr>
        <w:spacing w:before="168" w:line="222" w:lineRule="auto"/>
        <w:ind w:left="6"/>
        <w:outlineLvl w:val="0"/>
        <w:rPr>
          <w:rFonts w:ascii="SimHei" w:eastAsia="SimHei" w:hAnsi="SimHei" w:cs="SimHei"/>
          <w:sz w:val="21"/>
          <w:szCs w:val="21"/>
        </w:rPr>
      </w:pPr>
      <w:r>
        <w:rPr>
          <w:rFonts w:ascii="SimHei" w:eastAsia="SimHei" w:hAnsi="SimHei" w:cs="SimHei"/>
          <w:b/>
          <w:bCs/>
          <w:spacing w:val="13"/>
          <w:sz w:val="21"/>
          <w:szCs w:val="21"/>
        </w:rPr>
        <w:t>2.2</w:t>
      </w:r>
      <w:r>
        <w:rPr>
          <w:rFonts w:ascii="SimHei" w:eastAsia="SimHei" w:hAnsi="SimHei" w:cs="SimHei"/>
          <w:spacing w:val="36"/>
          <w:sz w:val="21"/>
          <w:szCs w:val="21"/>
        </w:rPr>
        <w:t xml:space="preserve"> </w:t>
      </w:r>
      <w:r>
        <w:rPr>
          <w:rFonts w:ascii="SimHei" w:eastAsia="SimHei" w:hAnsi="SimHei" w:cs="SimHei"/>
          <w:b/>
          <w:bCs/>
          <w:spacing w:val="13"/>
          <w:sz w:val="21"/>
          <w:szCs w:val="21"/>
        </w:rPr>
        <w:t>健全噪声标准体系</w:t>
      </w:r>
    </w:p>
    <w:p>
      <w:pPr>
        <w:spacing w:line="222" w:lineRule="auto"/>
        <w:rPr>
          <w:rFonts w:ascii="SimHei" w:eastAsia="SimHei" w:hAnsi="SimHei" w:cs="SimHei"/>
          <w:sz w:val="21"/>
          <w:szCs w:val="21"/>
        </w:rPr>
        <w:sectPr>
          <w:footerReference w:type="default" r:id="rId8"/>
          <w:type w:val="nextPage"/>
          <w:pgSz w:w="11910" w:h="16840"/>
          <w:pgMar w:top="1431" w:right="1506" w:bottom="1152" w:left="1786" w:header="0" w:footer="993" w:gutter="0"/>
          <w:pgNumType w:start="5"/>
          <w:cols w:space="708"/>
          <w:titlePg w:val="0"/>
        </w:sectPr>
      </w:pPr>
    </w:p>
    <w:p>
      <w:pPr>
        <w:pStyle w:val="BodyText"/>
        <w:spacing w:before="77" w:line="342" w:lineRule="auto"/>
        <w:ind w:left="13" w:right="40" w:firstLine="430"/>
      </w:pPr>
      <w:r>
        <w:rPr>
          <w:spacing w:val="-3"/>
        </w:rPr>
        <w:t>从我国噪声标准的制订情况看，形成了声环境质量、噪声源排放和产品噪声辐射三类不</w:t>
      </w:r>
      <w:r>
        <w:rPr>
          <w:spacing w:val="14"/>
        </w:rPr>
        <w:t xml:space="preserve"> </w:t>
      </w:r>
      <w:r>
        <w:rPr>
          <w:spacing w:val="-6"/>
        </w:rPr>
        <w:t>同层次的标准，噪声源的排放标准是最有效的污</w:t>
      </w:r>
      <w:r>
        <w:rPr>
          <w:spacing w:val="-7"/>
        </w:rPr>
        <w:t>染控制手段。在主要的噪声源中，工业噪声、</w:t>
      </w:r>
      <w:r>
        <w:t xml:space="preserve"> </w:t>
      </w:r>
      <w:r>
        <w:rPr>
          <w:spacing w:val="-3"/>
        </w:rPr>
        <w:t>建筑施工噪声、营业性文化娱乐场所噪声、商业经营</w:t>
      </w:r>
      <w:r>
        <w:rPr>
          <w:spacing w:val="-4"/>
        </w:rPr>
        <w:t xml:space="preserve">活动中固定设备噪声，通过制定实施边 </w:t>
      </w:r>
      <w:r>
        <w:rPr>
          <w:spacing w:val="-3"/>
        </w:rPr>
        <w:t>界噪声排放标准，实现了有效的环境管理，取得了良好的污染控制效果。交通运输噪声</w:t>
      </w:r>
      <w:r>
        <w:rPr>
          <w:spacing w:val="-4"/>
        </w:rPr>
        <w:t>中的</w:t>
      </w:r>
    </w:p>
    <w:p>
      <w:pPr>
        <w:pStyle w:val="BodyText"/>
        <w:spacing w:line="216" w:lineRule="auto"/>
        <w:ind w:left="13"/>
      </w:pPr>
      <w:r>
        <w:rPr>
          <w:spacing w:val="-4"/>
        </w:rPr>
        <w:t>铁路噪声也按这一思路制定实施了《铁路边界噪声限值及其测量方法》</w:t>
      </w:r>
      <w:r>
        <w:rPr>
          <w:spacing w:val="104"/>
        </w:rPr>
        <w:t xml:space="preserve"> </w:t>
      </w:r>
      <w:r>
        <w:rPr>
          <w:spacing w:val="-4"/>
        </w:rPr>
        <w:t>(GB12525-90),</w:t>
      </w:r>
    </w:p>
    <w:p>
      <w:pPr>
        <w:pStyle w:val="BodyText"/>
        <w:spacing w:before="147" w:line="219" w:lineRule="auto"/>
        <w:ind w:left="13"/>
      </w:pPr>
      <w:r>
        <w:rPr>
          <w:spacing w:val="-8"/>
        </w:rPr>
        <w:t>明确管理要求。</w:t>
      </w:r>
    </w:p>
    <w:p>
      <w:pPr>
        <w:pStyle w:val="BodyText"/>
        <w:spacing w:before="160" w:line="343" w:lineRule="auto"/>
        <w:ind w:left="13" w:right="20" w:firstLine="430"/>
      </w:pPr>
      <w:r>
        <w:rPr>
          <w:spacing w:val="-7"/>
        </w:rPr>
        <w:t>但是，作为城市交通运输中的重要组成部分，我国的城市轨道交通并没有噪声排放要求，</w:t>
      </w:r>
      <w:r>
        <w:rPr>
          <w:spacing w:val="16"/>
        </w:rPr>
        <w:t xml:space="preserve"> </w:t>
      </w:r>
      <w:r>
        <w:rPr>
          <w:spacing w:val="-3"/>
        </w:rPr>
        <w:t>其噪声排放标准仍处于缺失状态，这给城市轨道交通噪声污染的认定、责</w:t>
      </w:r>
      <w:r>
        <w:rPr>
          <w:spacing w:val="-4"/>
        </w:rPr>
        <w:t>任的划分以及噪声</w:t>
      </w:r>
      <w:r>
        <w:t xml:space="preserve">  </w:t>
      </w:r>
      <w:r>
        <w:rPr>
          <w:spacing w:val="-3"/>
        </w:rPr>
        <w:t>治理的开展均带来了法律障碍，亟需编制城市轨道交通噪声排放标准以进一</w:t>
      </w:r>
      <w:r>
        <w:rPr>
          <w:spacing w:val="-4"/>
        </w:rPr>
        <w:t>步健全我国的噪</w:t>
      </w:r>
    </w:p>
    <w:p>
      <w:pPr>
        <w:pStyle w:val="BodyText"/>
        <w:spacing w:line="220" w:lineRule="auto"/>
        <w:ind w:left="13"/>
      </w:pPr>
      <w:r>
        <w:rPr>
          <w:spacing w:val="-6"/>
        </w:rPr>
        <w:t>声标准体系。</w:t>
      </w:r>
    </w:p>
    <w:p>
      <w:pPr>
        <w:spacing w:before="145" w:line="222" w:lineRule="auto"/>
        <w:ind w:left="16"/>
        <w:outlineLvl w:val="6"/>
        <w:rPr>
          <w:rFonts w:ascii="SimHei" w:eastAsia="SimHei" w:hAnsi="SimHei" w:cs="SimHei"/>
          <w:sz w:val="24"/>
          <w:szCs w:val="24"/>
        </w:rPr>
      </w:pPr>
      <w:r>
        <w:rPr>
          <w:rFonts w:ascii="SimHei" w:eastAsia="SimHei" w:hAnsi="SimHei" w:cs="SimHei"/>
          <w:b/>
          <w:bCs/>
          <w:spacing w:val="-5"/>
          <w:sz w:val="24"/>
          <w:szCs w:val="24"/>
        </w:rPr>
        <w:t>2.3解决城市轨道交通噪声管理困难</w:t>
      </w:r>
    </w:p>
    <w:p>
      <w:pPr>
        <w:pStyle w:val="BodyText"/>
        <w:spacing w:before="134" w:line="343" w:lineRule="auto"/>
        <w:ind w:left="13" w:right="40" w:firstLine="430"/>
      </w:pPr>
      <w:r>
        <w:rPr>
          <w:spacing w:val="-2"/>
        </w:rPr>
        <w:t>我国现在正处于城市轨道交通快速发展阶段。截</w:t>
      </w:r>
      <w:r>
        <w:rPr>
          <w:spacing w:val="-3"/>
        </w:rPr>
        <w:t>至2022年底，中国大陆地区共有55个城</w:t>
      </w:r>
      <w:r>
        <w:t xml:space="preserve"> </w:t>
      </w:r>
      <w:r>
        <w:rPr>
          <w:spacing w:val="-3"/>
        </w:rPr>
        <w:t>市开通城市轨道交通运营线路，总长度10287.</w:t>
      </w:r>
      <w:r>
        <w:rPr>
          <w:spacing w:val="-4"/>
        </w:rPr>
        <w:t>45km。 城市轨道交通为便于公众出行的需要，</w:t>
      </w:r>
      <w:r>
        <w:t xml:space="preserve"> </w:t>
      </w:r>
      <w:r>
        <w:rPr>
          <w:spacing w:val="-3"/>
        </w:rPr>
        <w:t>穿行于建筑物和人口稠密地区，使得各大城市的城市</w:t>
      </w:r>
      <w:r>
        <w:rPr>
          <w:spacing w:val="-4"/>
        </w:rPr>
        <w:t xml:space="preserve">轨道交通运营里程不断增加，噪声污染 </w:t>
      </w:r>
      <w:r>
        <w:t>投诉案件也呈不断上升趋势。以北京市为例，2021年因城市轨道交</w:t>
      </w:r>
      <w:r>
        <w:rPr>
          <w:spacing w:val="-1"/>
        </w:rPr>
        <w:t>通噪声引起的投诉达437</w:t>
      </w:r>
      <w:r>
        <w:t xml:space="preserve"> </w:t>
      </w:r>
      <w:r>
        <w:rPr>
          <w:spacing w:val="-5"/>
        </w:rPr>
        <w:t>件，多以群体性噪声投诉案件为主，涉及八通线、5号线、13号线等多条线路。</w:t>
      </w:r>
      <w:r>
        <w:rPr>
          <w:spacing w:val="-6"/>
        </w:rPr>
        <w:t xml:space="preserve">  《噪声法》</w:t>
      </w:r>
      <w:r>
        <w:t xml:space="preserve"> </w:t>
      </w:r>
      <w:r>
        <w:rPr>
          <w:spacing w:val="-3"/>
        </w:rPr>
        <w:t>判定“噪声污染”是指超过国家规定的噪声排放标准并干扰他人正常生活、工作和学习。由</w:t>
      </w:r>
      <w:r>
        <w:rPr>
          <w:spacing w:val="3"/>
        </w:rPr>
        <w:t xml:space="preserve"> </w:t>
      </w:r>
      <w:r>
        <w:rPr>
          <w:spacing w:val="-4"/>
        </w:rPr>
        <w:t>于城市轨道交通噪声排放标准的缺失，导致城市轨道交通运营阶段的噪声排放无法监管和污</w:t>
      </w:r>
      <w:r>
        <w:rPr>
          <w:spacing w:val="4"/>
        </w:rPr>
        <w:t xml:space="preserve">  </w:t>
      </w:r>
      <w:r>
        <w:rPr>
          <w:spacing w:val="-3"/>
        </w:rPr>
        <w:t>染治理责任划分不清晰。例如，城市轨道交通经环评</w:t>
      </w:r>
      <w:r>
        <w:rPr>
          <w:spacing w:val="-4"/>
        </w:rPr>
        <w:t xml:space="preserve">、验收通过后，其运营阶段噪声排放增 </w:t>
      </w:r>
      <w:r>
        <w:rPr>
          <w:spacing w:val="-3"/>
        </w:rPr>
        <w:t>加导致的噪声扰民情况无法监管；当道路与城市轨道交通共同造成噪声污染时，</w:t>
      </w:r>
      <w:r>
        <w:rPr>
          <w:spacing w:val="-4"/>
        </w:rPr>
        <w:t>污染治理责</w:t>
      </w:r>
    </w:p>
    <w:p>
      <w:pPr>
        <w:pStyle w:val="BodyText"/>
        <w:spacing w:line="219" w:lineRule="auto"/>
        <w:ind w:left="13"/>
      </w:pPr>
      <w:r>
        <w:rPr>
          <w:spacing w:val="-6"/>
        </w:rPr>
        <w:t>任无法区分。</w:t>
      </w:r>
    </w:p>
    <w:p>
      <w:pPr>
        <w:spacing w:before="147" w:line="222" w:lineRule="auto"/>
        <w:ind w:left="16"/>
        <w:outlineLvl w:val="6"/>
        <w:rPr>
          <w:rFonts w:ascii="SimHei" w:eastAsia="SimHei" w:hAnsi="SimHei" w:cs="SimHei"/>
          <w:sz w:val="24"/>
          <w:szCs w:val="24"/>
        </w:rPr>
      </w:pPr>
      <w:r>
        <w:rPr>
          <w:rFonts w:ascii="SimHei" w:eastAsia="SimHei" w:hAnsi="SimHei" w:cs="SimHei"/>
          <w:b/>
          <w:bCs/>
          <w:spacing w:val="-11"/>
          <w:sz w:val="24"/>
          <w:szCs w:val="24"/>
        </w:rPr>
        <w:t>2.4</w:t>
      </w:r>
      <w:r>
        <w:rPr>
          <w:rFonts w:ascii="SimHei" w:eastAsia="SimHei" w:hAnsi="SimHei" w:cs="SimHei"/>
          <w:spacing w:val="31"/>
          <w:sz w:val="24"/>
          <w:szCs w:val="24"/>
        </w:rPr>
        <w:t xml:space="preserve"> </w:t>
      </w:r>
      <w:r>
        <w:rPr>
          <w:rFonts w:ascii="SimHei" w:eastAsia="SimHei" w:hAnsi="SimHei" w:cs="SimHei"/>
          <w:b/>
          <w:bCs/>
          <w:spacing w:val="-11"/>
          <w:sz w:val="24"/>
          <w:szCs w:val="24"/>
        </w:rPr>
        <w:t>现存相关标准问题分析</w:t>
      </w:r>
    </w:p>
    <w:p>
      <w:pPr>
        <w:pStyle w:val="BodyText"/>
        <w:spacing w:before="135" w:line="400" w:lineRule="exact"/>
        <w:ind w:left="443"/>
      </w:pPr>
      <w:r>
        <w:rPr>
          <w:spacing w:val="-3"/>
          <w:position w:val="14"/>
        </w:rPr>
        <w:t>在我国城市轨道交通如此迅速发展和出现大量噪声问题的现状下，仍未出台城市轨道交</w:t>
      </w:r>
    </w:p>
    <w:p>
      <w:pPr>
        <w:pStyle w:val="BodyText"/>
        <w:spacing w:before="1" w:line="219" w:lineRule="auto"/>
        <w:ind w:left="13"/>
      </w:pPr>
      <w:r>
        <w:rPr>
          <w:spacing w:val="-1"/>
        </w:rPr>
        <w:t>通噪声排放标准，导致对城市轨道交通噪声这一重要城市噪声污染源的监管存在一定困难。</w:t>
      </w:r>
    </w:p>
    <w:p>
      <w:pPr>
        <w:pStyle w:val="BodyText"/>
        <w:spacing w:before="129" w:line="343" w:lineRule="auto"/>
        <w:ind w:left="13" w:right="98" w:firstLine="519"/>
      </w:pPr>
      <w:r>
        <w:rPr>
          <w:spacing w:val="-2"/>
        </w:rPr>
        <w:t>(1)由于噪声排放标准的缺失，现阶段的通常做法是，对于新建项目</w:t>
      </w:r>
      <w:r>
        <w:rPr>
          <w:spacing w:val="-3"/>
        </w:rPr>
        <w:t>，</w:t>
      </w:r>
      <w:r>
        <w:rPr>
          <w:spacing w:val="62"/>
        </w:rPr>
        <w:t xml:space="preserve"> </w:t>
      </w:r>
      <w:r>
        <w:rPr>
          <w:spacing w:val="-3"/>
        </w:rPr>
        <w:t>一般是按声环</w:t>
      </w:r>
      <w:r>
        <w:t xml:space="preserve"> </w:t>
      </w:r>
      <w:r>
        <w:rPr>
          <w:spacing w:val="-3"/>
        </w:rPr>
        <w:t>境质量标准要求，但难以明确城市轨道交通自身的排放责任；对</w:t>
      </w:r>
      <w:r>
        <w:rPr>
          <w:spacing w:val="-4"/>
        </w:rPr>
        <w:t>既有项目，噪声超标则完全</w:t>
      </w:r>
      <w:r>
        <w:t xml:space="preserve"> </w:t>
      </w:r>
      <w:r>
        <w:rPr>
          <w:spacing w:val="-4"/>
        </w:rPr>
        <w:t>看群众的投诉，</w:t>
      </w:r>
      <w:r>
        <w:rPr>
          <w:spacing w:val="58"/>
        </w:rPr>
        <w:t xml:space="preserve"> </w:t>
      </w:r>
      <w:r>
        <w:rPr>
          <w:spacing w:val="-4"/>
        </w:rPr>
        <w:t>一般“一事一议”,可能通过政府或主管部门</w:t>
      </w:r>
      <w:r>
        <w:rPr>
          <w:spacing w:val="-5"/>
        </w:rPr>
        <w:t>协调解决，或通过法律诉讼解</w:t>
      </w:r>
    </w:p>
    <w:p>
      <w:pPr>
        <w:pStyle w:val="BodyText"/>
        <w:spacing w:before="1" w:line="219" w:lineRule="auto"/>
        <w:ind w:left="13"/>
      </w:pPr>
      <w:r>
        <w:rPr>
          <w:spacing w:val="-2"/>
        </w:rPr>
        <w:t>决，群众和责任单位的权益保障缺乏标准支</w:t>
      </w:r>
      <w:r>
        <w:rPr>
          <w:spacing w:val="-3"/>
        </w:rPr>
        <w:t>撑。</w:t>
      </w:r>
    </w:p>
    <w:p>
      <w:pPr>
        <w:pStyle w:val="BodyText"/>
        <w:spacing w:before="129" w:line="343" w:lineRule="auto"/>
        <w:ind w:left="13" w:right="20" w:firstLine="519"/>
      </w:pPr>
      <w:r>
        <w:rPr>
          <w:spacing w:val="-1"/>
        </w:rPr>
        <w:t>(2)运营阶段噪声排放无法监管。城市轨道交通线路运营阶段的噪声排放受车辆状态、</w:t>
      </w:r>
      <w:r>
        <w:rPr>
          <w:spacing w:val="7"/>
        </w:rPr>
        <w:t xml:space="preserve"> </w:t>
      </w:r>
      <w:r>
        <w:rPr>
          <w:spacing w:val="-3"/>
        </w:rPr>
        <w:t>轮轨打磨、零部件维护保养等影响明显，排放标准缺失导致线路运营后的</w:t>
      </w:r>
      <w:r>
        <w:rPr>
          <w:spacing w:val="-4"/>
        </w:rPr>
        <w:t>噪声排放无法长期</w:t>
      </w:r>
      <w:r>
        <w:t xml:space="preserve">  </w:t>
      </w:r>
      <w:r>
        <w:rPr>
          <w:spacing w:val="-3"/>
        </w:rPr>
        <w:t>监管，噪声排放增加，单车噪声差异性大，对于运营阶段噪声排放</w:t>
      </w:r>
      <w:r>
        <w:rPr>
          <w:spacing w:val="-4"/>
        </w:rPr>
        <w:t>增加导致的扰民情况无法</w:t>
      </w:r>
    </w:p>
    <w:p>
      <w:pPr>
        <w:pStyle w:val="BodyText"/>
        <w:spacing w:before="1" w:line="218" w:lineRule="auto"/>
        <w:ind w:left="13"/>
        <w:sectPr>
          <w:footerReference w:type="default" r:id="rId9"/>
          <w:pgSz w:w="11910" w:h="16840"/>
          <w:pgMar w:top="1431" w:right="1724" w:bottom="1152" w:left="1786" w:header="0" w:footer="993" w:gutter="0"/>
          <w:pgNumType w:start="6"/>
          <w:cols w:space="708"/>
        </w:sectPr>
      </w:pPr>
      <w:r>
        <w:rPr>
          <w:spacing w:val="-2"/>
        </w:rPr>
        <w:t>及时处理，形成大量投诉事件，不利于矛盾的解决。</w:t>
      </w:r>
    </w:p>
    <w:p>
      <w:pPr>
        <w:pStyle w:val="BodyText"/>
        <w:spacing w:before="152" w:line="334" w:lineRule="auto"/>
        <w:ind w:left="13" w:right="112" w:firstLine="519"/>
      </w:pPr>
      <w:r>
        <w:rPr>
          <w:spacing w:val="2"/>
        </w:rPr>
        <w:t>(3)责任划分难度大。城市轨道交通及道路噪声排放标准缺失，导致两者同时出现时</w:t>
      </w:r>
      <w:r>
        <w:rPr>
          <w:spacing w:val="10"/>
        </w:rPr>
        <w:t xml:space="preserve"> </w:t>
      </w:r>
      <w:r>
        <w:rPr>
          <w:spacing w:val="-4"/>
        </w:rPr>
        <w:t>责任划分难度大，现阶段采用的声环境质量增量控制或不恶化的评价方法往往将责任归于后</w:t>
      </w:r>
    </w:p>
    <w:p>
      <w:pPr>
        <w:pStyle w:val="BodyText"/>
        <w:spacing w:before="1" w:line="219" w:lineRule="auto"/>
        <w:jc w:val="right"/>
      </w:pPr>
      <w:r>
        <w:rPr>
          <w:spacing w:val="-5"/>
        </w:rPr>
        <w:t>建者而不是噪声排放严重者，造成责任划分的</w:t>
      </w:r>
      <w:r>
        <w:rPr>
          <w:spacing w:val="-6"/>
        </w:rPr>
        <w:t>不合理，进而导致控制措施不对症、经济性差。</w:t>
      </w:r>
    </w:p>
    <w:p>
      <w:pPr>
        <w:spacing w:line="219" w:lineRule="auto"/>
        <w:sectPr>
          <w:footerReference w:type="default" r:id="rId10"/>
          <w:type w:val="nextPage"/>
          <w:pgSz w:w="11910" w:h="16840"/>
          <w:pgMar w:top="1431" w:right="1724" w:bottom="1152" w:left="1786" w:header="0" w:footer="993" w:gutter="0"/>
          <w:pgNumType w:start="7"/>
          <w:cols w:space="708"/>
          <w:titlePg w:val="0"/>
        </w:sectPr>
      </w:pPr>
    </w:p>
    <w:p>
      <w:pPr>
        <w:spacing w:before="234" w:line="222" w:lineRule="auto"/>
        <w:ind w:left="6"/>
        <w:rPr>
          <w:rFonts w:ascii="SimHei" w:eastAsia="SimHei" w:hAnsi="SimHei" w:cs="SimHei"/>
          <w:sz w:val="27"/>
          <w:szCs w:val="27"/>
        </w:rPr>
      </w:pPr>
      <w:r>
        <w:rPr>
          <w:rFonts w:ascii="SimHei" w:eastAsia="SimHei" w:hAnsi="SimHei" w:cs="SimHei"/>
          <w:b/>
          <w:bCs/>
          <w:spacing w:val="4"/>
          <w:sz w:val="27"/>
          <w:szCs w:val="27"/>
        </w:rPr>
        <w:t>3</w:t>
      </w:r>
      <w:r>
        <w:rPr>
          <w:rFonts w:ascii="SimHei" w:eastAsia="SimHei" w:hAnsi="SimHei" w:cs="SimHei"/>
          <w:spacing w:val="4"/>
          <w:sz w:val="27"/>
          <w:szCs w:val="27"/>
        </w:rPr>
        <w:t xml:space="preserve"> </w:t>
      </w:r>
      <w:r>
        <w:rPr>
          <w:rFonts w:ascii="SimHei" w:eastAsia="SimHei" w:hAnsi="SimHei" w:cs="SimHei"/>
          <w:b/>
          <w:bCs/>
          <w:spacing w:val="4"/>
          <w:sz w:val="27"/>
          <w:szCs w:val="27"/>
        </w:rPr>
        <w:t>城市轨道交通噪声污染与控制现状</w:t>
      </w:r>
    </w:p>
    <w:p>
      <w:pPr>
        <w:spacing w:before="263" w:line="221" w:lineRule="auto"/>
        <w:ind w:left="6"/>
        <w:outlineLvl w:val="6"/>
        <w:rPr>
          <w:rFonts w:ascii="SimHei" w:eastAsia="SimHei" w:hAnsi="SimHei" w:cs="SimHei"/>
          <w:sz w:val="20"/>
          <w:szCs w:val="20"/>
        </w:rPr>
      </w:pPr>
      <w:r>
        <w:rPr>
          <w:rFonts w:ascii="SimHei" w:eastAsia="SimHei" w:hAnsi="SimHei" w:cs="SimHei"/>
          <w:b/>
          <w:bCs/>
          <w:spacing w:val="25"/>
          <w:sz w:val="20"/>
          <w:szCs w:val="20"/>
        </w:rPr>
        <w:t>3.1</w:t>
      </w:r>
      <w:r>
        <w:rPr>
          <w:rFonts w:ascii="SimHei" w:eastAsia="SimHei" w:hAnsi="SimHei" w:cs="SimHei"/>
          <w:spacing w:val="25"/>
          <w:sz w:val="20"/>
          <w:szCs w:val="20"/>
        </w:rPr>
        <w:t xml:space="preserve"> </w:t>
      </w:r>
      <w:r>
        <w:rPr>
          <w:rFonts w:ascii="SimHei" w:eastAsia="SimHei" w:hAnsi="SimHei" w:cs="SimHei"/>
          <w:b/>
          <w:bCs/>
          <w:spacing w:val="25"/>
          <w:sz w:val="20"/>
          <w:szCs w:val="20"/>
        </w:rPr>
        <w:t>城市轨道交通行业概况</w:t>
      </w:r>
    </w:p>
    <w:p>
      <w:pPr>
        <w:pStyle w:val="BodyText"/>
        <w:spacing w:before="155" w:line="359" w:lineRule="auto"/>
        <w:ind w:left="3" w:right="89" w:firstLine="430"/>
        <w:jc w:val="both"/>
        <w:rPr>
          <w:sz w:val="20"/>
          <w:szCs w:val="20"/>
        </w:rPr>
      </w:pPr>
      <w:r>
        <w:rPr>
          <w:spacing w:val="7"/>
          <w:sz w:val="20"/>
          <w:szCs w:val="20"/>
        </w:rPr>
        <w:t>我国现在正处于城市轨道交通快速发展阶段，不</w:t>
      </w:r>
      <w:r>
        <w:rPr>
          <w:spacing w:val="6"/>
          <w:sz w:val="20"/>
          <w:szCs w:val="20"/>
        </w:rPr>
        <w:t>仅发展了地铁、轻轨、跨座式单轨、有</w:t>
      </w:r>
      <w:r>
        <w:rPr>
          <w:sz w:val="20"/>
          <w:szCs w:val="20"/>
        </w:rPr>
        <w:t xml:space="preserve"> </w:t>
      </w:r>
      <w:r>
        <w:rPr>
          <w:spacing w:val="7"/>
          <w:sz w:val="20"/>
          <w:szCs w:val="20"/>
        </w:rPr>
        <w:t>轨电车、中低速磁浮交通、市域快轨等多种制式的城市轨道交通系统，运营线路长</w:t>
      </w:r>
      <w:r>
        <w:rPr>
          <w:spacing w:val="6"/>
          <w:sz w:val="20"/>
          <w:szCs w:val="20"/>
        </w:rPr>
        <w:t>度也迅速</w:t>
      </w:r>
    </w:p>
    <w:p>
      <w:pPr>
        <w:pStyle w:val="BodyText"/>
        <w:spacing w:line="217" w:lineRule="auto"/>
        <w:ind w:left="3"/>
        <w:rPr>
          <w:sz w:val="20"/>
          <w:szCs w:val="20"/>
        </w:rPr>
      </w:pPr>
      <w:r>
        <w:rPr>
          <w:spacing w:val="4"/>
          <w:sz w:val="20"/>
          <w:szCs w:val="20"/>
        </w:rPr>
        <w:t>增加。根据中国城市轨道交通协会的《城市轨</w:t>
      </w:r>
      <w:r>
        <w:rPr>
          <w:spacing w:val="3"/>
          <w:sz w:val="20"/>
          <w:szCs w:val="20"/>
        </w:rPr>
        <w:t>道交通2022年度统计和分析报告》的数据显示：</w:t>
      </w:r>
    </w:p>
    <w:p>
      <w:pPr>
        <w:pStyle w:val="BodyText"/>
        <w:spacing w:before="146" w:line="363" w:lineRule="auto"/>
        <w:ind w:left="3" w:firstLine="550"/>
        <w:rPr>
          <w:sz w:val="20"/>
          <w:szCs w:val="20"/>
        </w:rPr>
      </w:pPr>
      <w:r>
        <w:rPr>
          <w:spacing w:val="10"/>
          <w:sz w:val="20"/>
          <w:szCs w:val="20"/>
        </w:rPr>
        <w:t>(1)截至2022年底，中国大陆地区共有55个城市开通城市轨道</w:t>
      </w:r>
      <w:r>
        <w:rPr>
          <w:spacing w:val="9"/>
          <w:sz w:val="20"/>
          <w:szCs w:val="20"/>
        </w:rPr>
        <w:t>交通，运营线路308条，</w:t>
      </w:r>
      <w:r>
        <w:rPr>
          <w:sz w:val="20"/>
          <w:szCs w:val="20"/>
        </w:rPr>
        <w:t xml:space="preserve"> </w:t>
      </w:r>
      <w:r>
        <w:rPr>
          <w:spacing w:val="6"/>
          <w:sz w:val="20"/>
          <w:szCs w:val="20"/>
        </w:rPr>
        <w:t>运营线路总长度10287.45</w:t>
      </w:r>
      <w:r>
        <w:rPr>
          <w:rFonts w:ascii="Times New Roman" w:eastAsia="Times New Roman" w:hAnsi="Times New Roman" w:cs="Times New Roman"/>
          <w:sz w:val="20"/>
          <w:szCs w:val="20"/>
        </w:rPr>
        <w:t>km</w:t>
      </w:r>
      <w:r>
        <w:rPr>
          <w:rFonts w:ascii="Times New Roman" w:eastAsia="Times New Roman" w:hAnsi="Times New Roman" w:cs="Times New Roman"/>
          <w:spacing w:val="-18"/>
          <w:sz w:val="20"/>
          <w:szCs w:val="20"/>
        </w:rPr>
        <w:t xml:space="preserve"> </w:t>
      </w:r>
      <w:r>
        <w:rPr>
          <w:spacing w:val="6"/>
          <w:sz w:val="20"/>
          <w:szCs w:val="20"/>
        </w:rPr>
        <w:t>。按线路敷设方式来分，地下线7129.96</w:t>
      </w:r>
      <w:r>
        <w:rPr>
          <w:rFonts w:ascii="Times New Roman" w:eastAsia="Times New Roman" w:hAnsi="Times New Roman" w:cs="Times New Roman"/>
          <w:sz w:val="20"/>
          <w:szCs w:val="20"/>
        </w:rPr>
        <w:t>km</w:t>
      </w:r>
      <w:r>
        <w:rPr>
          <w:rFonts w:ascii="Times New Roman" w:eastAsia="Times New Roman" w:hAnsi="Times New Roman" w:cs="Times New Roman"/>
          <w:spacing w:val="6"/>
          <w:sz w:val="20"/>
          <w:szCs w:val="20"/>
        </w:rPr>
        <w:t>,</w:t>
      </w:r>
      <w:r>
        <w:rPr>
          <w:rFonts w:ascii="Times New Roman" w:eastAsia="Times New Roman" w:hAnsi="Times New Roman" w:cs="Times New Roman"/>
          <w:spacing w:val="15"/>
          <w:w w:val="101"/>
          <w:sz w:val="20"/>
          <w:szCs w:val="20"/>
        </w:rPr>
        <w:t xml:space="preserve">   </w:t>
      </w:r>
      <w:r>
        <w:rPr>
          <w:spacing w:val="6"/>
          <w:sz w:val="20"/>
          <w:szCs w:val="20"/>
        </w:rPr>
        <w:t>占比69.31%;地面</w:t>
      </w:r>
    </w:p>
    <w:p>
      <w:pPr>
        <w:pStyle w:val="BodyText"/>
        <w:spacing w:line="212" w:lineRule="auto"/>
        <w:ind w:left="3"/>
        <w:rPr>
          <w:sz w:val="20"/>
          <w:szCs w:val="20"/>
        </w:rPr>
      </w:pPr>
      <w:r>
        <w:rPr>
          <w:spacing w:val="10"/>
          <w:sz w:val="20"/>
          <w:szCs w:val="20"/>
        </w:rPr>
        <w:t>线1144.21</w:t>
      </w:r>
      <w:r>
        <w:rPr>
          <w:rFonts w:ascii="Times New Roman" w:eastAsia="Times New Roman" w:hAnsi="Times New Roman" w:cs="Times New Roman"/>
          <w:sz w:val="20"/>
          <w:szCs w:val="20"/>
        </w:rPr>
        <w:t>km</w:t>
      </w:r>
      <w:r>
        <w:rPr>
          <w:rFonts w:ascii="Times New Roman" w:eastAsia="Times New Roman" w:hAnsi="Times New Roman" w:cs="Times New Roman"/>
          <w:spacing w:val="10"/>
          <w:sz w:val="20"/>
          <w:szCs w:val="20"/>
        </w:rPr>
        <w:t>,</w:t>
      </w:r>
      <w:r>
        <w:rPr>
          <w:rFonts w:ascii="Times New Roman" w:eastAsia="Times New Roman" w:hAnsi="Times New Roman" w:cs="Times New Roman"/>
          <w:spacing w:val="1"/>
          <w:sz w:val="20"/>
          <w:szCs w:val="20"/>
        </w:rPr>
        <w:t xml:space="preserve">    </w:t>
      </w:r>
      <w:r>
        <w:rPr>
          <w:spacing w:val="10"/>
          <w:sz w:val="20"/>
          <w:szCs w:val="20"/>
        </w:rPr>
        <w:t>占比11.12%;高架线1986.48</w:t>
      </w:r>
      <w:r>
        <w:rPr>
          <w:rFonts w:ascii="Times New Roman" w:eastAsia="Times New Roman" w:hAnsi="Times New Roman" w:cs="Times New Roman"/>
          <w:sz w:val="20"/>
          <w:szCs w:val="20"/>
        </w:rPr>
        <w:t>km</w:t>
      </w:r>
      <w:r>
        <w:rPr>
          <w:rFonts w:ascii="Times New Roman" w:eastAsia="Times New Roman" w:hAnsi="Times New Roman" w:cs="Times New Roman"/>
          <w:spacing w:val="10"/>
          <w:sz w:val="20"/>
          <w:szCs w:val="20"/>
        </w:rPr>
        <w:t xml:space="preserve">,   </w:t>
      </w:r>
      <w:r>
        <w:rPr>
          <w:spacing w:val="10"/>
          <w:sz w:val="20"/>
          <w:szCs w:val="20"/>
        </w:rPr>
        <w:t>占比19.31%。</w:t>
      </w:r>
    </w:p>
    <w:p>
      <w:pPr>
        <w:pStyle w:val="BodyText"/>
        <w:spacing w:before="153" w:line="356" w:lineRule="auto"/>
        <w:ind w:left="3" w:right="40" w:firstLine="550"/>
        <w:rPr>
          <w:sz w:val="20"/>
          <w:szCs w:val="20"/>
        </w:rPr>
      </w:pPr>
      <w:r>
        <w:rPr>
          <w:spacing w:val="12"/>
          <w:sz w:val="20"/>
          <w:szCs w:val="20"/>
        </w:rPr>
        <w:t>(2)从城市群拥有城轨交通运营线网规模在全国总运营线网规模中的占有率看，长三</w:t>
      </w:r>
      <w:r>
        <w:rPr>
          <w:sz w:val="20"/>
          <w:szCs w:val="20"/>
        </w:rPr>
        <w:t xml:space="preserve"> </w:t>
      </w:r>
      <w:r>
        <w:rPr>
          <w:spacing w:val="7"/>
          <w:sz w:val="20"/>
          <w:szCs w:val="20"/>
        </w:rPr>
        <w:t>角城市群17城开通运营线路87条，运营线路长度3160.90</w:t>
      </w:r>
      <w:r>
        <w:rPr>
          <w:rFonts w:ascii="Times New Roman" w:eastAsia="Times New Roman" w:hAnsi="Times New Roman" w:cs="Times New Roman"/>
          <w:sz w:val="20"/>
          <w:szCs w:val="20"/>
        </w:rPr>
        <w:t>km</w:t>
      </w:r>
      <w:r>
        <w:rPr>
          <w:rFonts w:ascii="Times New Roman" w:eastAsia="Times New Roman" w:hAnsi="Times New Roman" w:cs="Times New Roman"/>
          <w:spacing w:val="7"/>
          <w:sz w:val="20"/>
          <w:szCs w:val="20"/>
        </w:rPr>
        <w:t xml:space="preserve">,   </w:t>
      </w:r>
      <w:r>
        <w:rPr>
          <w:spacing w:val="7"/>
          <w:sz w:val="20"/>
          <w:szCs w:val="20"/>
        </w:rPr>
        <w:t>全</w:t>
      </w:r>
      <w:r>
        <w:rPr>
          <w:spacing w:val="6"/>
          <w:sz w:val="20"/>
          <w:szCs w:val="20"/>
        </w:rPr>
        <w:t>线网总长度占有率30.73%,</w:t>
      </w:r>
      <w:r>
        <w:rPr>
          <w:sz w:val="20"/>
          <w:szCs w:val="20"/>
        </w:rPr>
        <w:t xml:space="preserve">  </w:t>
      </w:r>
      <w:r>
        <w:rPr>
          <w:spacing w:val="5"/>
          <w:sz w:val="20"/>
          <w:szCs w:val="20"/>
        </w:rPr>
        <w:t>长三角城市群开通运营城市和运营线网分布最为密集；京津冀城市群3城开通运营线路39条，</w:t>
      </w:r>
    </w:p>
    <w:p>
      <w:pPr>
        <w:pStyle w:val="BodyText"/>
        <w:spacing w:line="212" w:lineRule="auto"/>
        <w:ind w:left="3"/>
        <w:rPr>
          <w:sz w:val="20"/>
          <w:szCs w:val="20"/>
        </w:rPr>
      </w:pPr>
      <w:r>
        <w:rPr>
          <w:spacing w:val="9"/>
          <w:sz w:val="20"/>
          <w:szCs w:val="20"/>
        </w:rPr>
        <w:t>运营线路长度1235.81</w:t>
      </w:r>
      <w:r>
        <w:rPr>
          <w:rFonts w:ascii="Times New Roman" w:eastAsia="Times New Roman" w:hAnsi="Times New Roman" w:cs="Times New Roman"/>
          <w:sz w:val="20"/>
          <w:szCs w:val="20"/>
        </w:rPr>
        <w:t>km</w:t>
      </w:r>
      <w:r>
        <w:rPr>
          <w:rFonts w:ascii="Times New Roman" w:eastAsia="Times New Roman" w:hAnsi="Times New Roman" w:cs="Times New Roman"/>
          <w:spacing w:val="9"/>
          <w:sz w:val="20"/>
          <w:szCs w:val="20"/>
        </w:rPr>
        <w:t xml:space="preserve">,   </w:t>
      </w:r>
      <w:r>
        <w:rPr>
          <w:spacing w:val="9"/>
          <w:sz w:val="20"/>
          <w:szCs w:val="20"/>
        </w:rPr>
        <w:t>占有率12.01%;珠三角5城开通运营线路40条，运营线路长度</w:t>
      </w:r>
    </w:p>
    <w:p>
      <w:pPr>
        <w:pStyle w:val="BodyText"/>
        <w:spacing w:before="180" w:line="393" w:lineRule="exact"/>
        <w:ind w:left="3"/>
        <w:rPr>
          <w:rFonts w:ascii="Times New Roman" w:eastAsia="Times New Roman" w:hAnsi="Times New Roman" w:cs="Times New Roman"/>
          <w:sz w:val="20"/>
          <w:szCs w:val="20"/>
        </w:rPr>
      </w:pPr>
      <w:r>
        <w:rPr>
          <w:spacing w:val="7"/>
          <w:position w:val="15"/>
          <w:sz w:val="20"/>
          <w:szCs w:val="20"/>
        </w:rPr>
        <w:t>1350.75</w:t>
      </w:r>
      <w:r>
        <w:rPr>
          <w:position w:val="15"/>
          <w:sz w:val="20"/>
          <w:szCs w:val="20"/>
        </w:rPr>
        <w:t>km</w:t>
      </w:r>
      <w:r>
        <w:rPr>
          <w:spacing w:val="7"/>
          <w:position w:val="15"/>
          <w:sz w:val="20"/>
          <w:szCs w:val="20"/>
        </w:rPr>
        <w:t>,</w:t>
      </w:r>
      <w:r>
        <w:rPr>
          <w:spacing w:val="65"/>
          <w:position w:val="15"/>
          <w:sz w:val="20"/>
          <w:szCs w:val="20"/>
        </w:rPr>
        <w:t xml:space="preserve"> </w:t>
      </w:r>
      <w:r>
        <w:rPr>
          <w:spacing w:val="7"/>
          <w:position w:val="15"/>
          <w:sz w:val="20"/>
          <w:szCs w:val="20"/>
        </w:rPr>
        <w:t>占有率13.13%;成渝城市群3城开通运营线路27条，运营线路长度1148.03</w:t>
      </w:r>
      <w:r>
        <w:rPr>
          <w:rFonts w:ascii="Times New Roman" w:eastAsia="Times New Roman" w:hAnsi="Times New Roman" w:cs="Times New Roman"/>
          <w:position w:val="15"/>
          <w:sz w:val="20"/>
          <w:szCs w:val="20"/>
        </w:rPr>
        <w:t>km</w:t>
      </w:r>
      <w:r>
        <w:rPr>
          <w:rFonts w:ascii="Times New Roman" w:eastAsia="Times New Roman" w:hAnsi="Times New Roman" w:cs="Times New Roman"/>
          <w:spacing w:val="7"/>
          <w:position w:val="15"/>
          <w:sz w:val="20"/>
          <w:szCs w:val="20"/>
        </w:rPr>
        <w:t>,</w:t>
      </w:r>
    </w:p>
    <w:p>
      <w:pPr>
        <w:pStyle w:val="BodyText"/>
        <w:spacing w:line="218" w:lineRule="auto"/>
        <w:ind w:left="3"/>
        <w:rPr>
          <w:sz w:val="20"/>
          <w:szCs w:val="20"/>
        </w:rPr>
      </w:pPr>
      <w:r>
        <w:rPr>
          <w:spacing w:val="10"/>
          <w:sz w:val="20"/>
          <w:szCs w:val="20"/>
        </w:rPr>
        <w:t>占有率11.16%;其他城市分布相对较为分散。</w:t>
      </w:r>
    </w:p>
    <w:p>
      <w:pPr>
        <w:pStyle w:val="BodyText"/>
        <w:spacing w:before="154" w:line="357" w:lineRule="auto"/>
        <w:ind w:left="3" w:right="50" w:firstLine="550"/>
        <w:rPr>
          <w:sz w:val="20"/>
          <w:szCs w:val="20"/>
        </w:rPr>
      </w:pPr>
      <w:r>
        <w:rPr>
          <w:spacing w:val="5"/>
          <w:sz w:val="20"/>
          <w:szCs w:val="20"/>
        </w:rPr>
        <w:t>(3)《城市轨道交通分类》</w:t>
      </w:r>
      <w:r>
        <w:rPr>
          <w:spacing w:val="70"/>
          <w:sz w:val="20"/>
          <w:szCs w:val="20"/>
        </w:rPr>
        <w:t xml:space="preserve"> </w:t>
      </w:r>
      <w:r>
        <w:rPr>
          <w:spacing w:val="5"/>
          <w:sz w:val="20"/>
          <w:szCs w:val="20"/>
        </w:rPr>
        <w:t>(T/</w:t>
      </w:r>
      <w:r>
        <w:rPr>
          <w:sz w:val="20"/>
          <w:szCs w:val="20"/>
        </w:rPr>
        <w:t>CAMET</w:t>
      </w:r>
      <w:r>
        <w:rPr>
          <w:spacing w:val="32"/>
          <w:sz w:val="20"/>
          <w:szCs w:val="20"/>
        </w:rPr>
        <w:t xml:space="preserve">   </w:t>
      </w:r>
      <w:r>
        <w:rPr>
          <w:spacing w:val="5"/>
          <w:sz w:val="20"/>
          <w:szCs w:val="20"/>
        </w:rPr>
        <w:t>00001-2020)将城轨交通系统制式分</w:t>
      </w:r>
      <w:r>
        <w:rPr>
          <w:spacing w:val="4"/>
          <w:sz w:val="20"/>
          <w:szCs w:val="20"/>
        </w:rPr>
        <w:t>为地铁系</w:t>
      </w:r>
      <w:r>
        <w:rPr>
          <w:sz w:val="20"/>
          <w:szCs w:val="20"/>
        </w:rPr>
        <w:t xml:space="preserve"> </w:t>
      </w:r>
      <w:r>
        <w:rPr>
          <w:spacing w:val="7"/>
          <w:sz w:val="20"/>
          <w:szCs w:val="20"/>
        </w:rPr>
        <w:t>统、轻轨系统、市域快轨系统、中低速磁浮系统、跨座式单轨系统、悬挂式单轨系统、自导</w:t>
      </w:r>
      <w:r>
        <w:rPr>
          <w:spacing w:val="2"/>
          <w:sz w:val="20"/>
          <w:szCs w:val="20"/>
        </w:rPr>
        <w:t xml:space="preserve"> </w:t>
      </w:r>
      <w:r>
        <w:rPr>
          <w:spacing w:val="6"/>
          <w:sz w:val="20"/>
          <w:szCs w:val="20"/>
        </w:rPr>
        <w:t xml:space="preserve">向轨道系统、有轨电车系统、导轨式胶轮系统、电子导向胶轮系统。截至2022年底，我国城 </w:t>
      </w:r>
      <w:r>
        <w:rPr>
          <w:spacing w:val="9"/>
          <w:sz w:val="20"/>
          <w:szCs w:val="20"/>
        </w:rPr>
        <w:t>轨交通运营线路中有9种制式在运营，其中，地铁8008.17</w:t>
      </w:r>
      <w:r>
        <w:rPr>
          <w:rFonts w:ascii="Times New Roman" w:eastAsia="Times New Roman" w:hAnsi="Times New Roman" w:cs="Times New Roman"/>
          <w:sz w:val="20"/>
          <w:szCs w:val="20"/>
        </w:rPr>
        <w:t>km</w:t>
      </w:r>
      <w:r>
        <w:rPr>
          <w:rFonts w:ascii="Times New Roman" w:eastAsia="Times New Roman" w:hAnsi="Times New Roman" w:cs="Times New Roman"/>
          <w:spacing w:val="9"/>
          <w:sz w:val="20"/>
          <w:szCs w:val="20"/>
        </w:rPr>
        <w:t xml:space="preserve">,   </w:t>
      </w:r>
      <w:r>
        <w:rPr>
          <w:spacing w:val="9"/>
          <w:sz w:val="20"/>
          <w:szCs w:val="20"/>
        </w:rPr>
        <w:t>占比77.</w:t>
      </w:r>
      <w:r>
        <w:rPr>
          <w:spacing w:val="8"/>
          <w:sz w:val="20"/>
          <w:szCs w:val="20"/>
        </w:rPr>
        <w:t>84%,其他制式城轨</w:t>
      </w:r>
    </w:p>
    <w:p>
      <w:pPr>
        <w:pStyle w:val="BodyText"/>
        <w:spacing w:line="212" w:lineRule="auto"/>
        <w:ind w:left="3"/>
        <w:rPr>
          <w:sz w:val="20"/>
          <w:szCs w:val="20"/>
        </w:rPr>
      </w:pPr>
      <w:r>
        <w:rPr>
          <w:spacing w:val="1"/>
          <w:sz w:val="20"/>
          <w:szCs w:val="20"/>
        </w:rPr>
        <w:t>交通运营线路2279.28</w:t>
      </w:r>
      <w:r>
        <w:rPr>
          <w:rFonts w:ascii="Times New Roman" w:eastAsia="Times New Roman" w:hAnsi="Times New Roman" w:cs="Times New Roman"/>
          <w:sz w:val="20"/>
          <w:szCs w:val="20"/>
        </w:rPr>
        <w:t>km</w:t>
      </w:r>
      <w:r>
        <w:rPr>
          <w:rFonts w:ascii="Times New Roman" w:eastAsia="Times New Roman" w:hAnsi="Times New Roman" w:cs="Times New Roman"/>
          <w:spacing w:val="1"/>
          <w:sz w:val="20"/>
          <w:szCs w:val="20"/>
        </w:rPr>
        <w:t xml:space="preserve">,    </w:t>
      </w:r>
      <w:r>
        <w:rPr>
          <w:spacing w:val="1"/>
          <w:sz w:val="20"/>
          <w:szCs w:val="20"/>
        </w:rPr>
        <w:t>占比22.16%。</w:t>
      </w:r>
    </w:p>
    <w:p>
      <w:pPr>
        <w:spacing w:before="166" w:line="3499" w:lineRule="exact"/>
        <w:ind w:firstLine="1573"/>
      </w:pPr>
      <w:r>
        <w:rPr>
          <w:position w:val="-69"/>
        </w:rPr>
        <w:drawing>
          <wp:inline distT="0" distB="0" distL="0" distR="0">
            <wp:extent cx="3238488" cy="22224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1"/>
                    <a:stretch>
                      <a:fillRect/>
                    </a:stretch>
                  </pic:blipFill>
                  <pic:spPr>
                    <a:xfrm>
                      <a:off x="0" y="0"/>
                      <a:ext cx="3238488" cy="2222409"/>
                    </a:xfrm>
                    <a:prstGeom prst="rect">
                      <a:avLst/>
                    </a:prstGeom>
                  </pic:spPr>
                </pic:pic>
              </a:graphicData>
            </a:graphic>
          </wp:inline>
        </w:drawing>
      </w:r>
    </w:p>
    <w:p>
      <w:pPr>
        <w:spacing w:before="203" w:line="219" w:lineRule="auto"/>
        <w:ind w:left="1816"/>
        <w:rPr>
          <w:rFonts w:ascii="SimHei" w:eastAsia="SimHei" w:hAnsi="SimHei" w:cs="SimHei"/>
          <w:sz w:val="20"/>
          <w:szCs w:val="20"/>
        </w:rPr>
      </w:pPr>
      <w:r>
        <w:rPr>
          <w:rFonts w:ascii="SimHei" w:eastAsia="SimHei" w:hAnsi="SimHei" w:cs="SimHei"/>
          <w:b/>
          <w:bCs/>
          <w:spacing w:val="13"/>
          <w:sz w:val="20"/>
          <w:szCs w:val="20"/>
        </w:rPr>
        <w:t>图3.12022年我国城市轨道交通运营线路制式结构</w:t>
      </w:r>
    </w:p>
    <w:p>
      <w:pPr>
        <w:pStyle w:val="BodyText"/>
        <w:spacing w:before="127" w:line="351" w:lineRule="auto"/>
        <w:ind w:left="3" w:right="59" w:firstLine="550"/>
        <w:rPr>
          <w:sz w:val="20"/>
          <w:szCs w:val="20"/>
        </w:rPr>
        <w:sectPr>
          <w:footerReference w:type="default" r:id="rId12"/>
          <w:pgSz w:w="11910" w:h="16840"/>
          <w:pgMar w:top="1431" w:right="1750" w:bottom="1151" w:left="1786" w:header="0" w:footer="993" w:gutter="0"/>
          <w:pgNumType w:start="8"/>
          <w:cols w:space="708"/>
        </w:sectPr>
      </w:pPr>
      <w:r>
        <w:rPr>
          <w:spacing w:val="11"/>
          <w:sz w:val="20"/>
          <w:szCs w:val="20"/>
        </w:rPr>
        <w:t>(4)在55个城轨城市中，存在地面线或高架线的城市共49个。其</w:t>
      </w:r>
      <w:r>
        <w:rPr>
          <w:spacing w:val="10"/>
          <w:sz w:val="20"/>
          <w:szCs w:val="20"/>
        </w:rPr>
        <w:t>中，建有地铁的城市</w:t>
      </w:r>
      <w:r>
        <w:rPr>
          <w:sz w:val="20"/>
          <w:szCs w:val="20"/>
        </w:rPr>
        <w:t xml:space="preserve"> </w:t>
      </w:r>
      <w:r>
        <w:rPr>
          <w:spacing w:val="9"/>
          <w:sz w:val="20"/>
          <w:szCs w:val="20"/>
        </w:rPr>
        <w:t>41个，建有市域快轨的城市16个，建有轻轨的城市3个，建有有轨电车</w:t>
      </w:r>
      <w:r>
        <w:rPr>
          <w:spacing w:val="8"/>
          <w:sz w:val="20"/>
          <w:szCs w:val="20"/>
        </w:rPr>
        <w:t>的城市22个，建有其</w:t>
      </w:r>
      <w:r>
        <w:rPr>
          <w:sz w:val="20"/>
          <w:szCs w:val="20"/>
        </w:rPr>
        <w:t xml:space="preserve"> </w:t>
      </w:r>
      <w:r>
        <w:rPr>
          <w:spacing w:val="8"/>
          <w:sz w:val="20"/>
          <w:szCs w:val="20"/>
        </w:rPr>
        <w:t xml:space="preserve">他制式的城市均较少，如跨座式单轨仅有重庆、芜湖2个城市，磁浮交通仅有北京、上海、 </w:t>
      </w:r>
      <w:r>
        <w:rPr>
          <w:spacing w:val="5"/>
          <w:sz w:val="20"/>
          <w:szCs w:val="20"/>
        </w:rPr>
        <w:t>长沙3个城市，电子导向胶轮仅有株洲、宜宾2个城市，自导向轨道仅有上海、重庆2个城市，</w:t>
      </w:r>
    </w:p>
    <w:p>
      <w:pPr>
        <w:pStyle w:val="BodyText"/>
        <w:spacing w:before="1" w:line="219" w:lineRule="auto"/>
        <w:ind w:left="3"/>
        <w:rPr>
          <w:sz w:val="20"/>
          <w:szCs w:val="20"/>
        </w:rPr>
      </w:pPr>
      <w:r>
        <w:rPr>
          <w:spacing w:val="5"/>
          <w:sz w:val="20"/>
          <w:szCs w:val="20"/>
        </w:rPr>
        <w:t>导轨式胶轮仅有重庆、深圳2个城市。</w:t>
      </w:r>
    </w:p>
    <w:p>
      <w:pPr>
        <w:spacing w:line="219" w:lineRule="auto"/>
        <w:rPr>
          <w:sz w:val="20"/>
          <w:szCs w:val="20"/>
        </w:rPr>
        <w:sectPr>
          <w:footerReference w:type="default" r:id="rId13"/>
          <w:type w:val="nextPage"/>
          <w:pgSz w:w="11910" w:h="16840"/>
          <w:pgMar w:top="1431" w:right="1750" w:bottom="1151" w:left="1786" w:header="0" w:footer="993" w:gutter="0"/>
          <w:pgNumType w:start="9"/>
          <w:cols w:space="708"/>
          <w:titlePg w:val="0"/>
        </w:sectPr>
      </w:pPr>
    </w:p>
    <w:p>
      <w:pPr>
        <w:pStyle w:val="BodyText"/>
        <w:spacing w:before="87" w:line="219" w:lineRule="auto"/>
        <w:ind w:left="543"/>
      </w:pPr>
      <w:r>
        <w:rPr>
          <w:spacing w:val="5"/>
        </w:rPr>
        <w:t>(5)城市轨道交通未来发展规划</w:t>
      </w:r>
    </w:p>
    <w:p>
      <w:pPr>
        <w:pStyle w:val="BodyText"/>
        <w:spacing w:before="138" w:line="345" w:lineRule="auto"/>
        <w:ind w:left="13" w:firstLine="420"/>
      </w:pPr>
      <w:r>
        <w:rPr>
          <w:spacing w:val="-2"/>
        </w:rPr>
        <w:t>按获批建设规划，截至2022年底，线网规划获批的线路总长达6675.57km,</w:t>
      </w:r>
      <w:r>
        <w:rPr>
          <w:spacing w:val="57"/>
        </w:rPr>
        <w:t xml:space="preserve"> </w:t>
      </w:r>
      <w:r>
        <w:rPr>
          <w:spacing w:val="-2"/>
        </w:rPr>
        <w:t>共6种</w:t>
      </w:r>
      <w:r>
        <w:rPr>
          <w:spacing w:val="-3"/>
        </w:rPr>
        <w:t>制式。</w:t>
      </w:r>
      <w:r>
        <w:t xml:space="preserve"> </w:t>
      </w:r>
      <w:r>
        <w:rPr>
          <w:spacing w:val="-1"/>
        </w:rPr>
        <w:t>其中，地铁4407.20km,</w:t>
      </w:r>
      <w:r>
        <w:rPr>
          <w:spacing w:val="87"/>
        </w:rPr>
        <w:t xml:space="preserve"> </w:t>
      </w:r>
      <w:r>
        <w:rPr>
          <w:spacing w:val="-1"/>
        </w:rPr>
        <w:t>占比66.02%;轻轨7.18km,</w:t>
      </w:r>
      <w:r>
        <w:rPr>
          <w:spacing w:val="86"/>
        </w:rPr>
        <w:t xml:space="preserve"> </w:t>
      </w:r>
      <w:r>
        <w:rPr>
          <w:spacing w:val="-1"/>
        </w:rPr>
        <w:t>占比0.11%;市域快轨</w:t>
      </w:r>
      <w:r>
        <w:rPr>
          <w:spacing w:val="-2"/>
        </w:rPr>
        <w:t>1892.22km,</w:t>
      </w:r>
      <w:r>
        <w:rPr>
          <w:spacing w:val="77"/>
        </w:rPr>
        <w:t xml:space="preserve"> </w:t>
      </w:r>
      <w:r>
        <w:rPr>
          <w:spacing w:val="-2"/>
        </w:rPr>
        <w:t>占比</w:t>
      </w:r>
      <w:r>
        <w:t xml:space="preserve">  </w:t>
      </w:r>
      <w:r>
        <w:rPr>
          <w:spacing w:val="5"/>
        </w:rPr>
        <w:t>28.35%;有轨电车325.97</w:t>
      </w:r>
      <w:r>
        <w:rPr>
          <w:rFonts w:ascii="Times New Roman" w:eastAsia="Times New Roman" w:hAnsi="Times New Roman" w:cs="Times New Roman"/>
        </w:rPr>
        <w:t>km</w:t>
      </w:r>
      <w:r>
        <w:rPr>
          <w:rFonts w:ascii="Times New Roman" w:eastAsia="Times New Roman" w:hAnsi="Times New Roman" w:cs="Times New Roman"/>
          <w:spacing w:val="5"/>
        </w:rPr>
        <w:t xml:space="preserve">,   </w:t>
      </w:r>
      <w:r>
        <w:rPr>
          <w:spacing w:val="5"/>
        </w:rPr>
        <w:t>占</w:t>
      </w:r>
      <w:r>
        <w:rPr>
          <w:spacing w:val="4"/>
        </w:rPr>
        <w:t>比4.88%;导轨式胶轮系统32.5</w:t>
      </w:r>
      <w:r>
        <w:rPr>
          <w:rFonts w:ascii="Times New Roman" w:eastAsia="Times New Roman" w:hAnsi="Times New Roman" w:cs="Times New Roman"/>
        </w:rPr>
        <w:t>km</w:t>
      </w:r>
      <w:r>
        <w:rPr>
          <w:rFonts w:ascii="Times New Roman" w:eastAsia="Times New Roman" w:hAnsi="Times New Roman" w:cs="Times New Roman"/>
          <w:spacing w:val="4"/>
        </w:rPr>
        <w:t xml:space="preserve">,   </w:t>
      </w:r>
      <w:r>
        <w:rPr>
          <w:spacing w:val="4"/>
        </w:rPr>
        <w:t>占比0.49%;悬挂式单</w:t>
      </w:r>
      <w:r>
        <w:t xml:space="preserve">  </w:t>
      </w:r>
      <w:r>
        <w:rPr>
          <w:spacing w:val="1"/>
        </w:rPr>
        <w:t>轨10.5</w:t>
      </w:r>
      <w:r>
        <w:rPr>
          <w:rFonts w:ascii="Times New Roman" w:eastAsia="Times New Roman" w:hAnsi="Times New Roman" w:cs="Times New Roman"/>
        </w:rPr>
        <w:t>km</w:t>
      </w:r>
      <w:r>
        <w:rPr>
          <w:rFonts w:ascii="Times New Roman" w:eastAsia="Times New Roman" w:hAnsi="Times New Roman" w:cs="Times New Roman"/>
          <w:spacing w:val="1"/>
        </w:rPr>
        <w:t xml:space="preserve">,   </w:t>
      </w:r>
      <w:r>
        <w:rPr>
          <w:spacing w:val="1"/>
        </w:rPr>
        <w:t>占比0.16%;暂无磁</w:t>
      </w:r>
      <w:r>
        <w:t xml:space="preserve">浮交通、跨座式单轨、自导向轨道系统、电子导向胶轮系统  </w:t>
      </w:r>
      <w:r>
        <w:rPr>
          <w:spacing w:val="-3"/>
        </w:rPr>
        <w:t>线路规划。从规划来看，未来城市轨道交通的发展仍呈现以地铁为主，多种制式共同发</w:t>
      </w:r>
      <w:r>
        <w:rPr>
          <w:spacing w:val="-4"/>
        </w:rPr>
        <w:t>展的</w:t>
      </w:r>
    </w:p>
    <w:p>
      <w:pPr>
        <w:pStyle w:val="BodyText"/>
        <w:spacing w:line="219" w:lineRule="auto"/>
        <w:ind w:left="13"/>
      </w:pPr>
      <w:r>
        <w:rPr>
          <w:spacing w:val="-2"/>
        </w:rPr>
        <w:t>局面，但地铁制式占比下降，市域快轨持续增长。</w:t>
      </w:r>
    </w:p>
    <w:p>
      <w:pPr>
        <w:pStyle w:val="BodyText"/>
        <w:spacing w:before="127" w:line="344" w:lineRule="auto"/>
        <w:ind w:left="13" w:right="167" w:firstLine="420"/>
      </w:pPr>
      <w:r>
        <w:rPr>
          <w:spacing w:val="5"/>
        </w:rPr>
        <w:t>从在实施规划线路的敷设方式来看，地下线占比78.48%,地面线占比7.5%,高架线占</w:t>
      </w:r>
      <w:r>
        <w:rPr>
          <w:spacing w:val="6"/>
        </w:rPr>
        <w:t xml:space="preserve"> </w:t>
      </w:r>
      <w:r>
        <w:rPr>
          <w:spacing w:val="-1"/>
        </w:rPr>
        <w:t>比14.02%。随着市域快轨线路的增多，城轨交通总体敷设方式上地下线占比下降，地面线</w:t>
      </w:r>
    </w:p>
    <w:p>
      <w:pPr>
        <w:pStyle w:val="BodyText"/>
        <w:spacing w:line="219" w:lineRule="auto"/>
        <w:ind w:left="13"/>
      </w:pPr>
      <w:r>
        <w:rPr>
          <w:spacing w:val="-4"/>
        </w:rPr>
        <w:t>和高架线占比均有上升。</w:t>
      </w:r>
    </w:p>
    <w:p>
      <w:pPr>
        <w:spacing w:before="157" w:line="222" w:lineRule="auto"/>
        <w:ind w:left="16"/>
        <w:outlineLvl w:val="6"/>
        <w:rPr>
          <w:rFonts w:ascii="SimHei" w:eastAsia="SimHei" w:hAnsi="SimHei" w:cs="SimHei"/>
          <w:sz w:val="24"/>
          <w:szCs w:val="24"/>
        </w:rPr>
      </w:pPr>
      <w:r>
        <w:rPr>
          <w:rFonts w:ascii="SimHei" w:eastAsia="SimHei" w:hAnsi="SimHei" w:cs="SimHei"/>
          <w:b/>
          <w:bCs/>
          <w:spacing w:val="-9"/>
          <w:sz w:val="24"/>
          <w:szCs w:val="24"/>
        </w:rPr>
        <w:t>3.2</w:t>
      </w:r>
      <w:r>
        <w:rPr>
          <w:rFonts w:ascii="SimHei" w:eastAsia="SimHei" w:hAnsi="SimHei" w:cs="SimHei"/>
          <w:spacing w:val="-9"/>
          <w:sz w:val="24"/>
          <w:szCs w:val="24"/>
        </w:rPr>
        <w:t xml:space="preserve"> </w:t>
      </w:r>
      <w:r>
        <w:rPr>
          <w:rFonts w:ascii="SimHei" w:eastAsia="SimHei" w:hAnsi="SimHei" w:cs="SimHei"/>
          <w:b/>
          <w:bCs/>
          <w:spacing w:val="-9"/>
          <w:sz w:val="24"/>
          <w:szCs w:val="24"/>
        </w:rPr>
        <w:t>城市轨道交通噪声污染</w:t>
      </w:r>
    </w:p>
    <w:p>
      <w:pPr>
        <w:pStyle w:val="BodyText"/>
        <w:spacing w:before="113" w:line="343" w:lineRule="auto"/>
        <w:ind w:left="13" w:right="4" w:firstLine="420"/>
      </w:pPr>
      <w:r>
        <w:rPr>
          <w:spacing w:val="-3"/>
        </w:rPr>
        <w:t>城市轨道交通为我国经济的发展做出了巨大贡献，但同时也对</w:t>
      </w:r>
      <w:r>
        <w:rPr>
          <w:spacing w:val="-4"/>
        </w:rPr>
        <w:t>轨道沿线的环境带来了相</w:t>
      </w:r>
      <w:r>
        <w:t xml:space="preserve"> </w:t>
      </w:r>
      <w:r>
        <w:rPr>
          <w:spacing w:val="-3"/>
        </w:rPr>
        <w:t>应的影响。城市轨道交通运营过程中的噪声主要包括轮轨噪声、车体噪声、牵引系</w:t>
      </w:r>
      <w:r>
        <w:rPr>
          <w:spacing w:val="-4"/>
        </w:rPr>
        <w:t>统噪声和</w:t>
      </w:r>
      <w:r>
        <w:t xml:space="preserve"> </w:t>
      </w:r>
      <w:r>
        <w:rPr>
          <w:spacing w:val="-3"/>
        </w:rPr>
        <w:t>高架辐射噪声。轮轨噪声是城市轨道交通噪声的主要噪声源，包</w:t>
      </w:r>
      <w:r>
        <w:rPr>
          <w:spacing w:val="-4"/>
        </w:rPr>
        <w:t>括摩擦噪声、冲击噪声和滚</w:t>
      </w:r>
      <w:r>
        <w:t xml:space="preserve">  </w:t>
      </w:r>
      <w:r>
        <w:rPr>
          <w:spacing w:val="-5"/>
        </w:rPr>
        <w:t>动噪声，主要是由于车轮和钢轨的相互作用而产生。车体噪声包括两部分，</w:t>
      </w:r>
      <w:r>
        <w:rPr>
          <w:spacing w:val="58"/>
        </w:rPr>
        <w:t xml:space="preserve"> </w:t>
      </w:r>
      <w:r>
        <w:rPr>
          <w:spacing w:val="-5"/>
        </w:rPr>
        <w:t>一部分</w:t>
      </w:r>
      <w:r>
        <w:rPr>
          <w:spacing w:val="-6"/>
        </w:rPr>
        <w:t>是机车、</w:t>
      </w:r>
      <w:r>
        <w:t xml:space="preserve"> </w:t>
      </w:r>
      <w:r>
        <w:rPr>
          <w:spacing w:val="-3"/>
        </w:rPr>
        <w:t>车辆车体因振动而辐射的结构噪声以及牵引噪声经机车车体做</w:t>
      </w:r>
      <w:r>
        <w:rPr>
          <w:spacing w:val="-4"/>
        </w:rPr>
        <w:t>二次辐射噪声，另一类是列车</w:t>
      </w:r>
      <w:r>
        <w:t xml:space="preserve">  </w:t>
      </w:r>
      <w:r>
        <w:rPr>
          <w:spacing w:val="-3"/>
        </w:rPr>
        <w:t>表面与空气作用，气体粘滞性在列车表面引起附面层压力变化，同时产生</w:t>
      </w:r>
      <w:r>
        <w:rPr>
          <w:spacing w:val="-4"/>
        </w:rPr>
        <w:t>气流涡旋和摩擦冲</w:t>
      </w:r>
      <w:r>
        <w:t xml:space="preserve">  </w:t>
      </w:r>
      <w:r>
        <w:t>击形成噪声。牵引系统噪声是指机车车组、各</w:t>
      </w:r>
      <w:r>
        <w:rPr>
          <w:spacing w:val="-1"/>
        </w:rPr>
        <w:t xml:space="preserve">种辅助装置、设备(冷却风扇、齿轮箱、架空 </w:t>
      </w:r>
      <w:r>
        <w:t>接触网与集电弓之间产生的摩擦声等)在运作时所产生的机械噪声、电</w:t>
      </w:r>
      <w:r>
        <w:rPr>
          <w:spacing w:val="-1"/>
        </w:rPr>
        <w:t>磁噪声和空气动力性</w:t>
      </w:r>
    </w:p>
    <w:p>
      <w:pPr>
        <w:pStyle w:val="BodyText"/>
        <w:spacing w:line="218" w:lineRule="auto"/>
        <w:ind w:left="13"/>
      </w:pPr>
      <w:r>
        <w:rPr>
          <w:spacing w:val="-1"/>
        </w:rPr>
        <w:t>噪声。对于高架线，列车通过时桥梁结构振动产生的辐射噪声对周围声</w:t>
      </w:r>
      <w:r>
        <w:rPr>
          <w:spacing w:val="-2"/>
        </w:rPr>
        <w:t>环境也会造成影响。</w:t>
      </w:r>
    </w:p>
    <w:p>
      <w:pPr>
        <w:pStyle w:val="BodyText"/>
        <w:spacing w:before="161" w:line="343" w:lineRule="auto"/>
        <w:ind w:left="13" w:right="87" w:firstLine="420"/>
      </w:pPr>
      <w:r>
        <w:rPr>
          <w:spacing w:val="-3"/>
        </w:rPr>
        <w:t>城市轨道交通运营线路迅速增加的同时，噪声排放的影响区域</w:t>
      </w:r>
      <w:r>
        <w:rPr>
          <w:spacing w:val="-4"/>
        </w:rPr>
        <w:t>也随之大幅增加，大量的</w:t>
      </w:r>
      <w:r>
        <w:t xml:space="preserve"> </w:t>
      </w:r>
      <w:r>
        <w:rPr>
          <w:spacing w:val="-3"/>
        </w:rPr>
        <w:t>周边敏感点声环境被恶化，引起了大量的扰民和投诉事件，2021年内，仅北京</w:t>
      </w:r>
      <w:r>
        <w:rPr>
          <w:spacing w:val="-4"/>
        </w:rPr>
        <w:t>市由于城市轨</w:t>
      </w:r>
      <w:r>
        <w:t xml:space="preserve"> </w:t>
      </w:r>
      <w:r>
        <w:rPr>
          <w:spacing w:val="-3"/>
        </w:rPr>
        <w:t>道交通噪声引起的投诉就达到437件，其他城市也存在大量类似的噪声投诉问题。图3.2和图</w:t>
      </w:r>
      <w:r>
        <w:rPr>
          <w:spacing w:val="5"/>
        </w:rPr>
        <w:t xml:space="preserve"> </w:t>
      </w:r>
      <w:r>
        <w:rPr>
          <w:spacing w:val="-2"/>
        </w:rPr>
        <w:t>3.3中为超过3300个城市轨道交通噪声测点数据，涉及多</w:t>
      </w:r>
      <w:r>
        <w:rPr>
          <w:spacing w:val="-3"/>
        </w:rPr>
        <w:t xml:space="preserve">个城市的地铁、轻轨、市域快轨、 </w:t>
      </w:r>
      <w:r>
        <w:rPr>
          <w:spacing w:val="-3"/>
        </w:rPr>
        <w:t>磁浮交通、跨座式单轨等多种城市轨道交通制式系统。测点位置距近轨</w:t>
      </w:r>
      <w:r>
        <w:rPr>
          <w:spacing w:val="-4"/>
        </w:rPr>
        <w:t>中心线的水平距离范</w:t>
      </w:r>
      <w:r>
        <w:t xml:space="preserve"> </w:t>
      </w:r>
      <w:r>
        <w:t>围为7.5m～100m,  测点高度范围为1.5m</w:t>
      </w:r>
      <w:r>
        <w:rPr>
          <w:spacing w:val="-1"/>
        </w:rPr>
        <w:t>～100m  (超过30层楼测点)。此外，数据中还包含</w:t>
      </w:r>
      <w:r>
        <w:t xml:space="preserve"> </w:t>
      </w:r>
      <w:r>
        <w:rPr>
          <w:spacing w:val="-3"/>
        </w:rPr>
        <w:t>安装声屏障等降噪措施情况下的噪声测试结果。图中数据显示，城市</w:t>
      </w:r>
      <w:r>
        <w:rPr>
          <w:spacing w:val="-4"/>
        </w:rPr>
        <w:t>轨道交通周边的昼间噪</w:t>
      </w:r>
      <w:r>
        <w:t xml:space="preserve"> </w:t>
      </w:r>
      <w:r>
        <w:t>声值可高达75dB(A), 夜间噪声值可高达70dB(A), 结合</w:t>
      </w:r>
      <w:r>
        <w:rPr>
          <w:spacing w:val="-1"/>
        </w:rPr>
        <w:t>声环境质量的一般要求，线路两侧</w:t>
      </w:r>
    </w:p>
    <w:p>
      <w:pPr>
        <w:pStyle w:val="BodyText"/>
        <w:spacing w:before="1" w:line="219" w:lineRule="auto"/>
        <w:ind w:left="13"/>
      </w:pPr>
      <w:r>
        <w:rPr>
          <w:spacing w:val="-3"/>
        </w:rPr>
        <w:t>的声环境质量受到了恶化，夜间情况尤为突出。</w:t>
      </w:r>
    </w:p>
    <w:p>
      <w:pPr>
        <w:spacing w:line="219" w:lineRule="auto"/>
        <w:sectPr>
          <w:footerReference w:type="default" r:id="rId14"/>
          <w:pgSz w:w="11910" w:h="16840"/>
          <w:pgMar w:top="1431" w:right="1744" w:bottom="1152" w:left="1786" w:header="0" w:footer="993" w:gutter="0"/>
          <w:pgNumType w:start="10"/>
          <w:cols w:space="708"/>
        </w:sectPr>
      </w:pPr>
    </w:p>
    <w:p>
      <w:pPr>
        <w:spacing w:before="38" w:line="4010" w:lineRule="exact"/>
        <w:ind w:firstLine="1143"/>
      </w:pPr>
      <w:r>
        <mc:AlternateContent>
          <mc:Choice Requires="wps">
            <w:drawing>
              <wp:anchor distT="0" distB="0" distL="0" distR="0" simplePos="0" relativeHeight="251659264" behindDoc="0" locked="0" layoutInCell="0" allowOverlap="1">
                <wp:simplePos x="0" y="0"/>
                <wp:positionH relativeFrom="page">
                  <wp:posOffset>1348802</wp:posOffset>
                </wp:positionH>
                <wp:positionV relativeFrom="page">
                  <wp:posOffset>2129096</wp:posOffset>
                </wp:positionV>
                <wp:extent cx="971550" cy="104775"/>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6200000">
                          <a:off x="1348802" y="2129096"/>
                          <a:ext cx="971550" cy="1047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7" w:line="220" w:lineRule="auto"/>
                              <w:ind w:left="20"/>
                              <w:rPr>
                                <w:sz w:val="9"/>
                                <w:szCs w:val="9"/>
                              </w:rPr>
                            </w:pPr>
                            <w:r>
                              <w:rPr>
                                <w:spacing w:val="-6"/>
                                <w:sz w:val="9"/>
                                <w:szCs w:val="9"/>
                              </w:rPr>
                              <w:t>声</w:t>
                            </w:r>
                            <w:r>
                              <w:rPr>
                                <w:spacing w:val="8"/>
                                <w:sz w:val="9"/>
                                <w:szCs w:val="9"/>
                              </w:rPr>
                              <w:t xml:space="preserve">  </w:t>
                            </w:r>
                            <w:r>
                              <w:rPr>
                                <w:spacing w:val="-6"/>
                                <w:sz w:val="9"/>
                                <w:szCs w:val="9"/>
                              </w:rPr>
                              <w:t>压</w:t>
                            </w:r>
                            <w:r>
                              <w:rPr>
                                <w:spacing w:val="8"/>
                                <w:sz w:val="9"/>
                                <w:szCs w:val="9"/>
                              </w:rPr>
                              <w:t xml:space="preserve">  </w:t>
                            </w:r>
                            <w:r>
                              <w:rPr>
                                <w:spacing w:val="-6"/>
                                <w:sz w:val="9"/>
                                <w:szCs w:val="9"/>
                              </w:rPr>
                              <w:t>级   (</w:t>
                            </w:r>
                            <w:r>
                              <w:rPr>
                                <w:spacing w:val="8"/>
                                <w:sz w:val="9"/>
                                <w:szCs w:val="9"/>
                              </w:rPr>
                              <w:t xml:space="preserve">  </w:t>
                            </w:r>
                            <w:r>
                              <w:rPr>
                                <w:spacing w:val="-6"/>
                                <w:sz w:val="9"/>
                                <w:szCs w:val="9"/>
                              </w:rPr>
                              <w:t>d</w:t>
                            </w:r>
                            <w:r>
                              <w:rPr>
                                <w:spacing w:val="6"/>
                                <w:sz w:val="9"/>
                                <w:szCs w:val="9"/>
                              </w:rPr>
                              <w:t xml:space="preserve">  </w:t>
                            </w:r>
                            <w:r>
                              <w:rPr>
                                <w:spacing w:val="-6"/>
                                <w:sz w:val="9"/>
                                <w:szCs w:val="9"/>
                              </w:rPr>
                              <w:t>B   (</w:t>
                            </w:r>
                            <w:r>
                              <w:rPr>
                                <w:spacing w:val="6"/>
                                <w:sz w:val="9"/>
                                <w:szCs w:val="9"/>
                              </w:rPr>
                              <w:t xml:space="preserve">  </w:t>
                            </w:r>
                            <w:r>
                              <w:rPr>
                                <w:spacing w:val="-6"/>
                                <w:sz w:val="9"/>
                                <w:szCs w:val="9"/>
                              </w:rPr>
                              <w:t>A</w:t>
                            </w:r>
                            <w:r>
                              <w:rPr>
                                <w:spacing w:val="8"/>
                                <w:sz w:val="9"/>
                                <w:szCs w:val="9"/>
                              </w:rPr>
                              <w:t xml:space="preserve">  </w:t>
                            </w:r>
                            <w:r>
                              <w:rPr>
                                <w:spacing w:val="-6"/>
                                <w:sz w:val="9"/>
                                <w:szCs w:val="9"/>
                              </w:rPr>
                              <w:t>)</w:t>
                            </w:r>
                            <w:r>
                              <w:rPr>
                                <w:spacing w:val="7"/>
                                <w:sz w:val="9"/>
                                <w:szCs w:val="9"/>
                              </w:rPr>
                              <w:t xml:space="preserve">  </w:t>
                            </w:r>
                            <w:r>
                              <w:rPr>
                                <w:spacing w:val="-6"/>
                                <w:sz w:val="9"/>
                                <w:szCs w:val="9"/>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4" o:spid="_x0000_s1025" type="#_x0000_t202" style="width:76.5pt;height:8.25pt;margin-top:167.65pt;margin-left:106.2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pStyle w:val="BodyText"/>
                        <w:spacing w:before="37" w:line="220" w:lineRule="auto"/>
                        <w:ind w:left="20"/>
                        <w:rPr>
                          <w:sz w:val="9"/>
                          <w:szCs w:val="9"/>
                        </w:rPr>
                      </w:pPr>
                      <w:r>
                        <w:rPr>
                          <w:spacing w:val="-6"/>
                          <w:sz w:val="9"/>
                          <w:szCs w:val="9"/>
                        </w:rPr>
                        <w:t>声</w:t>
                      </w:r>
                      <w:r>
                        <w:rPr>
                          <w:spacing w:val="8"/>
                          <w:sz w:val="9"/>
                          <w:szCs w:val="9"/>
                        </w:rPr>
                        <w:t xml:space="preserve">  </w:t>
                      </w:r>
                      <w:r>
                        <w:rPr>
                          <w:spacing w:val="-6"/>
                          <w:sz w:val="9"/>
                          <w:szCs w:val="9"/>
                        </w:rPr>
                        <w:t>压</w:t>
                      </w:r>
                      <w:r>
                        <w:rPr>
                          <w:spacing w:val="8"/>
                          <w:sz w:val="9"/>
                          <w:szCs w:val="9"/>
                        </w:rPr>
                        <w:t xml:space="preserve">  </w:t>
                      </w:r>
                      <w:r>
                        <w:rPr>
                          <w:spacing w:val="-6"/>
                          <w:sz w:val="9"/>
                          <w:szCs w:val="9"/>
                        </w:rPr>
                        <w:t>级   (</w:t>
                      </w:r>
                      <w:r>
                        <w:rPr>
                          <w:spacing w:val="8"/>
                          <w:sz w:val="9"/>
                          <w:szCs w:val="9"/>
                        </w:rPr>
                        <w:t xml:space="preserve">  </w:t>
                      </w:r>
                      <w:r>
                        <w:rPr>
                          <w:spacing w:val="-6"/>
                          <w:sz w:val="9"/>
                          <w:szCs w:val="9"/>
                        </w:rPr>
                        <w:t>d</w:t>
                      </w:r>
                      <w:r>
                        <w:rPr>
                          <w:spacing w:val="6"/>
                          <w:sz w:val="9"/>
                          <w:szCs w:val="9"/>
                        </w:rPr>
                        <w:t xml:space="preserve">  </w:t>
                      </w:r>
                      <w:r>
                        <w:rPr>
                          <w:spacing w:val="-6"/>
                          <w:sz w:val="9"/>
                          <w:szCs w:val="9"/>
                        </w:rPr>
                        <w:t>B   (</w:t>
                      </w:r>
                      <w:r>
                        <w:rPr>
                          <w:spacing w:val="6"/>
                          <w:sz w:val="9"/>
                          <w:szCs w:val="9"/>
                        </w:rPr>
                        <w:t xml:space="preserve">  </w:t>
                      </w:r>
                      <w:r>
                        <w:rPr>
                          <w:spacing w:val="-6"/>
                          <w:sz w:val="9"/>
                          <w:szCs w:val="9"/>
                        </w:rPr>
                        <w:t>A</w:t>
                      </w:r>
                      <w:r>
                        <w:rPr>
                          <w:spacing w:val="8"/>
                          <w:sz w:val="9"/>
                          <w:szCs w:val="9"/>
                        </w:rPr>
                        <w:t xml:space="preserve">  </w:t>
                      </w:r>
                      <w:r>
                        <w:rPr>
                          <w:spacing w:val="-6"/>
                          <w:sz w:val="9"/>
                          <w:szCs w:val="9"/>
                        </w:rPr>
                        <w:t>)</w:t>
                      </w:r>
                      <w:r>
                        <w:rPr>
                          <w:spacing w:val="7"/>
                          <w:sz w:val="9"/>
                          <w:szCs w:val="9"/>
                        </w:rPr>
                        <w:t xml:space="preserve">  </w:t>
                      </w:r>
                      <w:r>
                        <w:rPr>
                          <w:spacing w:val="-6"/>
                          <w:sz w:val="9"/>
                          <w:szCs w:val="9"/>
                        </w:rPr>
                        <w:t>)</w:t>
                      </w:r>
                    </w:p>
                  </w:txbxContent>
                </v:textbox>
              </v:shape>
            </w:pict>
          </mc:Fallback>
        </mc:AlternateContent>
      </w:r>
      <w:r>
        <mc:AlternateContent>
          <mc:Choice Requires="wps">
            <w:drawing>
              <wp:anchor distT="0" distB="0" distL="0" distR="0" simplePos="0" relativeHeight="251661312" behindDoc="0" locked="0" layoutInCell="0" allowOverlap="1">
                <wp:simplePos x="0" y="0"/>
                <wp:positionH relativeFrom="page">
                  <wp:posOffset>1386178</wp:posOffset>
                </wp:positionH>
                <wp:positionV relativeFrom="page">
                  <wp:posOffset>4846515</wp:posOffset>
                </wp:positionV>
                <wp:extent cx="896619" cy="104139"/>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6200000">
                          <a:off x="1386178" y="4846515"/>
                          <a:ext cx="896619" cy="1041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6" w:line="221" w:lineRule="auto"/>
                              <w:ind w:left="20"/>
                              <w:rPr>
                                <w:rFonts w:ascii="SimHei" w:eastAsia="SimHei" w:hAnsi="SimHei" w:cs="SimHei"/>
                                <w:sz w:val="9"/>
                                <w:szCs w:val="9"/>
                              </w:rPr>
                            </w:pPr>
                            <w:r>
                              <w:rPr>
                                <w:rFonts w:ascii="SimHei" w:eastAsia="SimHei" w:hAnsi="SimHei" w:cs="SimHei"/>
                                <w:spacing w:val="-6"/>
                                <w:w w:val="99"/>
                                <w:sz w:val="9"/>
                                <w:szCs w:val="9"/>
                              </w:rPr>
                              <w:t>声</w:t>
                            </w:r>
                            <w:r>
                              <w:rPr>
                                <w:rFonts w:ascii="SimHei" w:eastAsia="SimHei" w:hAnsi="SimHei" w:cs="SimHei"/>
                                <w:spacing w:val="1"/>
                                <w:sz w:val="9"/>
                                <w:szCs w:val="9"/>
                              </w:rPr>
                              <w:t xml:space="preserve">  </w:t>
                            </w:r>
                            <w:r>
                              <w:rPr>
                                <w:rFonts w:ascii="SimHei" w:eastAsia="SimHei" w:hAnsi="SimHei" w:cs="SimHei"/>
                                <w:spacing w:val="-6"/>
                                <w:w w:val="99"/>
                                <w:sz w:val="9"/>
                                <w:szCs w:val="9"/>
                              </w:rPr>
                              <w:t>压</w:t>
                            </w:r>
                            <w:r>
                              <w:rPr>
                                <w:rFonts w:ascii="SimHei" w:eastAsia="SimHei" w:hAnsi="SimHei" w:cs="SimHei"/>
                                <w:spacing w:val="1"/>
                                <w:sz w:val="9"/>
                                <w:szCs w:val="9"/>
                              </w:rPr>
                              <w:t xml:space="preserve">  </w:t>
                            </w:r>
                            <w:r>
                              <w:rPr>
                                <w:rFonts w:ascii="SimHei" w:eastAsia="SimHei" w:hAnsi="SimHei" w:cs="SimHei"/>
                                <w:spacing w:val="-6"/>
                                <w:w w:val="99"/>
                                <w:sz w:val="9"/>
                                <w:szCs w:val="9"/>
                              </w:rPr>
                              <w:t>级</w:t>
                            </w:r>
                            <w:r>
                              <w:rPr>
                                <w:rFonts w:ascii="SimHei" w:eastAsia="SimHei" w:hAnsi="SimHei" w:cs="SimHei"/>
                                <w:spacing w:val="10"/>
                                <w:sz w:val="9"/>
                                <w:szCs w:val="9"/>
                              </w:rPr>
                              <w:t xml:space="preserve">  </w:t>
                            </w:r>
                            <w:r>
                              <w:rPr>
                                <w:rFonts w:ascii="SimHei" w:eastAsia="SimHei" w:hAnsi="SimHei" w:cs="SimHei"/>
                                <w:spacing w:val="-6"/>
                                <w:w w:val="99"/>
                                <w:sz w:val="9"/>
                                <w:szCs w:val="9"/>
                              </w:rPr>
                              <w:t>(</w:t>
                            </w:r>
                            <w:r>
                              <w:rPr>
                                <w:rFonts w:ascii="SimHei" w:eastAsia="SimHei" w:hAnsi="SimHei" w:cs="SimHei"/>
                                <w:sz w:val="9"/>
                                <w:szCs w:val="9"/>
                              </w:rPr>
                              <w:t xml:space="preserve">  </w:t>
                            </w:r>
                            <w:r>
                              <w:rPr>
                                <w:rFonts w:ascii="SimHei" w:eastAsia="SimHei" w:hAnsi="SimHei" w:cs="SimHei"/>
                                <w:spacing w:val="-6"/>
                                <w:w w:val="99"/>
                                <w:sz w:val="9"/>
                                <w:szCs w:val="9"/>
                              </w:rPr>
                              <w:t>d</w:t>
                            </w:r>
                            <w:r>
                              <w:rPr>
                                <w:rFonts w:ascii="SimHei" w:eastAsia="SimHei" w:hAnsi="SimHei" w:cs="SimHei"/>
                                <w:spacing w:val="1"/>
                                <w:sz w:val="9"/>
                                <w:szCs w:val="9"/>
                              </w:rPr>
                              <w:t xml:space="preserve">  </w:t>
                            </w:r>
                            <w:r>
                              <w:rPr>
                                <w:rFonts w:ascii="SimHei" w:eastAsia="SimHei" w:hAnsi="SimHei" w:cs="SimHei"/>
                                <w:spacing w:val="-6"/>
                                <w:w w:val="99"/>
                                <w:sz w:val="9"/>
                                <w:szCs w:val="9"/>
                              </w:rPr>
                              <w:t>B</w:t>
                            </w:r>
                            <w:r>
                              <w:rPr>
                                <w:rFonts w:ascii="SimHei" w:eastAsia="SimHei" w:hAnsi="SimHei" w:cs="SimHei"/>
                                <w:spacing w:val="9"/>
                                <w:sz w:val="9"/>
                                <w:szCs w:val="9"/>
                              </w:rPr>
                              <w:t xml:space="preserve">  </w:t>
                            </w:r>
                            <w:r>
                              <w:rPr>
                                <w:rFonts w:ascii="SimHei" w:eastAsia="SimHei" w:hAnsi="SimHei" w:cs="SimHei"/>
                                <w:spacing w:val="-6"/>
                                <w:w w:val="99"/>
                                <w:sz w:val="9"/>
                                <w:szCs w:val="9"/>
                              </w:rPr>
                              <w:t>(</w:t>
                            </w:r>
                            <w:r>
                              <w:rPr>
                                <w:rFonts w:ascii="SimHei" w:eastAsia="SimHei" w:hAnsi="SimHei" w:cs="SimHei"/>
                                <w:spacing w:val="44"/>
                                <w:w w:val="101"/>
                                <w:sz w:val="9"/>
                                <w:szCs w:val="9"/>
                              </w:rPr>
                              <w:t xml:space="preserve"> </w:t>
                            </w:r>
                            <w:r>
                              <w:rPr>
                                <w:rFonts w:ascii="SimHei" w:eastAsia="SimHei" w:hAnsi="SimHei" w:cs="SimHei"/>
                                <w:spacing w:val="-6"/>
                                <w:w w:val="99"/>
                                <w:sz w:val="9"/>
                                <w:szCs w:val="9"/>
                              </w:rPr>
                              <w:t>A</w:t>
                            </w:r>
                            <w:r>
                              <w:rPr>
                                <w:rFonts w:ascii="SimHei" w:eastAsia="SimHei" w:hAnsi="SimHei" w:cs="SimHei"/>
                                <w:spacing w:val="44"/>
                                <w:w w:val="102"/>
                                <w:sz w:val="9"/>
                                <w:szCs w:val="9"/>
                              </w:rPr>
                              <w:t xml:space="preserve"> </w:t>
                            </w:r>
                            <w:r>
                              <w:rPr>
                                <w:rFonts w:ascii="SimHei" w:eastAsia="SimHei" w:hAnsi="SimHei" w:cs="SimHei"/>
                                <w:spacing w:val="-6"/>
                                <w:w w:val="99"/>
                                <w:sz w:val="9"/>
                                <w:szCs w:val="9"/>
                              </w:rPr>
                              <w:t>)</w:t>
                            </w:r>
                            <w:r>
                              <w:rPr>
                                <w:rFonts w:ascii="SimHei" w:eastAsia="SimHei" w:hAnsi="SimHei" w:cs="SimHei"/>
                                <w:spacing w:val="44"/>
                                <w:w w:val="102"/>
                                <w:sz w:val="9"/>
                                <w:szCs w:val="9"/>
                              </w:rPr>
                              <w:t xml:space="preserve"> </w:t>
                            </w:r>
                            <w:r>
                              <w:rPr>
                                <w:rFonts w:ascii="SimHei" w:eastAsia="SimHei" w:hAnsi="SimHei" w:cs="SimHei"/>
                                <w:spacing w:val="-6"/>
                                <w:w w:val="99"/>
                                <w:sz w:val="9"/>
                                <w:szCs w:val="9"/>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26" type="#_x0000_t202" style="width:70.6pt;height:8.2pt;margin-top:381.62pt;margin-left:109.15pt;mso-position-horizontal-relative:page;mso-position-vertical-relative:page;mso-wrap-distance-bottom:0;mso-wrap-distance-left:0;mso-wrap-distance-right:0;mso-wrap-distance-top:0;position:absolute;rotation:270;v-text-anchor:top;z-index:251660288" o:allowincell="f" filled="f" fillcolor="this" stroked="f">
                <v:textbox inset="0,0,0,0">
                  <w:txbxContent>
                    <w:p>
                      <w:pPr>
                        <w:spacing w:before="36" w:line="221" w:lineRule="auto"/>
                        <w:ind w:left="20"/>
                        <w:rPr>
                          <w:rFonts w:ascii="SimHei" w:eastAsia="SimHei" w:hAnsi="SimHei" w:cs="SimHei"/>
                          <w:sz w:val="9"/>
                          <w:szCs w:val="9"/>
                        </w:rPr>
                      </w:pPr>
                      <w:r>
                        <w:rPr>
                          <w:rFonts w:ascii="SimHei" w:eastAsia="SimHei" w:hAnsi="SimHei" w:cs="SimHei"/>
                          <w:spacing w:val="-6"/>
                          <w:w w:val="99"/>
                          <w:sz w:val="9"/>
                          <w:szCs w:val="9"/>
                        </w:rPr>
                        <w:t>声</w:t>
                      </w:r>
                      <w:r>
                        <w:rPr>
                          <w:rFonts w:ascii="SimHei" w:eastAsia="SimHei" w:hAnsi="SimHei" w:cs="SimHei"/>
                          <w:spacing w:val="1"/>
                          <w:sz w:val="9"/>
                          <w:szCs w:val="9"/>
                        </w:rPr>
                        <w:t xml:space="preserve">  </w:t>
                      </w:r>
                      <w:r>
                        <w:rPr>
                          <w:rFonts w:ascii="SimHei" w:eastAsia="SimHei" w:hAnsi="SimHei" w:cs="SimHei"/>
                          <w:spacing w:val="-6"/>
                          <w:w w:val="99"/>
                          <w:sz w:val="9"/>
                          <w:szCs w:val="9"/>
                        </w:rPr>
                        <w:t>压</w:t>
                      </w:r>
                      <w:r>
                        <w:rPr>
                          <w:rFonts w:ascii="SimHei" w:eastAsia="SimHei" w:hAnsi="SimHei" w:cs="SimHei"/>
                          <w:spacing w:val="1"/>
                          <w:sz w:val="9"/>
                          <w:szCs w:val="9"/>
                        </w:rPr>
                        <w:t xml:space="preserve">  </w:t>
                      </w:r>
                      <w:r>
                        <w:rPr>
                          <w:rFonts w:ascii="SimHei" w:eastAsia="SimHei" w:hAnsi="SimHei" w:cs="SimHei"/>
                          <w:spacing w:val="-6"/>
                          <w:w w:val="99"/>
                          <w:sz w:val="9"/>
                          <w:szCs w:val="9"/>
                        </w:rPr>
                        <w:t>级</w:t>
                      </w:r>
                      <w:r>
                        <w:rPr>
                          <w:rFonts w:ascii="SimHei" w:eastAsia="SimHei" w:hAnsi="SimHei" w:cs="SimHei"/>
                          <w:spacing w:val="10"/>
                          <w:sz w:val="9"/>
                          <w:szCs w:val="9"/>
                        </w:rPr>
                        <w:t xml:space="preserve">  </w:t>
                      </w:r>
                      <w:r>
                        <w:rPr>
                          <w:rFonts w:ascii="SimHei" w:eastAsia="SimHei" w:hAnsi="SimHei" w:cs="SimHei"/>
                          <w:spacing w:val="-6"/>
                          <w:w w:val="99"/>
                          <w:sz w:val="9"/>
                          <w:szCs w:val="9"/>
                        </w:rPr>
                        <w:t>(</w:t>
                      </w:r>
                      <w:r>
                        <w:rPr>
                          <w:rFonts w:ascii="SimHei" w:eastAsia="SimHei" w:hAnsi="SimHei" w:cs="SimHei"/>
                          <w:sz w:val="9"/>
                          <w:szCs w:val="9"/>
                        </w:rPr>
                        <w:t xml:space="preserve">  </w:t>
                      </w:r>
                      <w:r>
                        <w:rPr>
                          <w:rFonts w:ascii="SimHei" w:eastAsia="SimHei" w:hAnsi="SimHei" w:cs="SimHei"/>
                          <w:spacing w:val="-6"/>
                          <w:w w:val="99"/>
                          <w:sz w:val="9"/>
                          <w:szCs w:val="9"/>
                        </w:rPr>
                        <w:t>d</w:t>
                      </w:r>
                      <w:r>
                        <w:rPr>
                          <w:rFonts w:ascii="SimHei" w:eastAsia="SimHei" w:hAnsi="SimHei" w:cs="SimHei"/>
                          <w:spacing w:val="1"/>
                          <w:sz w:val="9"/>
                          <w:szCs w:val="9"/>
                        </w:rPr>
                        <w:t xml:space="preserve">  </w:t>
                      </w:r>
                      <w:r>
                        <w:rPr>
                          <w:rFonts w:ascii="SimHei" w:eastAsia="SimHei" w:hAnsi="SimHei" w:cs="SimHei"/>
                          <w:spacing w:val="-6"/>
                          <w:w w:val="99"/>
                          <w:sz w:val="9"/>
                          <w:szCs w:val="9"/>
                        </w:rPr>
                        <w:t>B</w:t>
                      </w:r>
                      <w:r>
                        <w:rPr>
                          <w:rFonts w:ascii="SimHei" w:eastAsia="SimHei" w:hAnsi="SimHei" w:cs="SimHei"/>
                          <w:spacing w:val="9"/>
                          <w:sz w:val="9"/>
                          <w:szCs w:val="9"/>
                        </w:rPr>
                        <w:t xml:space="preserve">  </w:t>
                      </w:r>
                      <w:r>
                        <w:rPr>
                          <w:rFonts w:ascii="SimHei" w:eastAsia="SimHei" w:hAnsi="SimHei" w:cs="SimHei"/>
                          <w:spacing w:val="-6"/>
                          <w:w w:val="99"/>
                          <w:sz w:val="9"/>
                          <w:szCs w:val="9"/>
                        </w:rPr>
                        <w:t>(</w:t>
                      </w:r>
                      <w:r>
                        <w:rPr>
                          <w:rFonts w:ascii="SimHei" w:eastAsia="SimHei" w:hAnsi="SimHei" w:cs="SimHei"/>
                          <w:spacing w:val="44"/>
                          <w:w w:val="101"/>
                          <w:sz w:val="9"/>
                          <w:szCs w:val="9"/>
                        </w:rPr>
                        <w:t xml:space="preserve"> </w:t>
                      </w:r>
                      <w:r>
                        <w:rPr>
                          <w:rFonts w:ascii="SimHei" w:eastAsia="SimHei" w:hAnsi="SimHei" w:cs="SimHei"/>
                          <w:spacing w:val="-6"/>
                          <w:w w:val="99"/>
                          <w:sz w:val="9"/>
                          <w:szCs w:val="9"/>
                        </w:rPr>
                        <w:t>A</w:t>
                      </w:r>
                      <w:r>
                        <w:rPr>
                          <w:rFonts w:ascii="SimHei" w:eastAsia="SimHei" w:hAnsi="SimHei" w:cs="SimHei"/>
                          <w:spacing w:val="44"/>
                          <w:w w:val="102"/>
                          <w:sz w:val="9"/>
                          <w:szCs w:val="9"/>
                        </w:rPr>
                        <w:t xml:space="preserve"> </w:t>
                      </w:r>
                      <w:r>
                        <w:rPr>
                          <w:rFonts w:ascii="SimHei" w:eastAsia="SimHei" w:hAnsi="SimHei" w:cs="SimHei"/>
                          <w:spacing w:val="-6"/>
                          <w:w w:val="99"/>
                          <w:sz w:val="9"/>
                          <w:szCs w:val="9"/>
                        </w:rPr>
                        <w:t>)</w:t>
                      </w:r>
                      <w:r>
                        <w:rPr>
                          <w:rFonts w:ascii="SimHei" w:eastAsia="SimHei" w:hAnsi="SimHei" w:cs="SimHei"/>
                          <w:spacing w:val="44"/>
                          <w:w w:val="102"/>
                          <w:sz w:val="9"/>
                          <w:szCs w:val="9"/>
                        </w:rPr>
                        <w:t xml:space="preserve"> </w:t>
                      </w:r>
                      <w:r>
                        <w:rPr>
                          <w:rFonts w:ascii="SimHei" w:eastAsia="SimHei" w:hAnsi="SimHei" w:cs="SimHei"/>
                          <w:spacing w:val="-6"/>
                          <w:w w:val="99"/>
                          <w:sz w:val="9"/>
                          <w:szCs w:val="9"/>
                        </w:rPr>
                        <w:t>)</w:t>
                      </w:r>
                    </w:p>
                  </w:txbxContent>
                </v:textbox>
              </v:shape>
            </w:pict>
          </mc:Fallback>
        </mc:AlternateContent>
      </w:r>
      <w:r>
        <w:rPr>
          <w:position w:val="-80"/>
        </w:rPr>
        <w:drawing>
          <wp:inline distT="0" distB="0" distL="0" distR="0">
            <wp:extent cx="3994167" cy="254641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3994167" cy="2546419"/>
                    </a:xfrm>
                    <a:prstGeom prst="rect">
                      <a:avLst/>
                    </a:prstGeom>
                  </pic:spPr>
                </pic:pic>
              </a:graphicData>
            </a:graphic>
          </wp:inline>
        </w:drawing>
      </w:r>
    </w:p>
    <w:p>
      <w:pPr>
        <w:spacing w:before="54" w:line="207" w:lineRule="auto"/>
        <w:ind w:left="2166"/>
        <w:rPr>
          <w:rFonts w:ascii="SimHei" w:eastAsia="SimHei" w:hAnsi="SimHei" w:cs="SimHei"/>
          <w:sz w:val="21"/>
          <w:szCs w:val="21"/>
        </w:rPr>
      </w:pPr>
      <w:r>
        <w:rPr>
          <w:rFonts w:ascii="SimHei" w:eastAsia="SimHei" w:hAnsi="SimHei" w:cs="SimHei"/>
          <w:b/>
          <w:bCs/>
          <w:spacing w:val="-2"/>
          <w:sz w:val="21"/>
          <w:szCs w:val="21"/>
        </w:rPr>
        <w:t>图3.2</w:t>
      </w:r>
      <w:r>
        <w:rPr>
          <w:rFonts w:ascii="SimHei" w:eastAsia="SimHei" w:hAnsi="SimHei" w:cs="SimHei"/>
          <w:spacing w:val="-2"/>
          <w:sz w:val="21"/>
          <w:szCs w:val="21"/>
        </w:rPr>
        <w:t xml:space="preserve"> </w:t>
      </w:r>
      <w:r>
        <w:rPr>
          <w:rFonts w:ascii="SimHei" w:eastAsia="SimHei" w:hAnsi="SimHei" w:cs="SimHei"/>
          <w:b/>
          <w:bCs/>
          <w:spacing w:val="-2"/>
          <w:sz w:val="21"/>
          <w:szCs w:val="21"/>
        </w:rPr>
        <w:t>城市轨道交通附近噪声昼间实测数据</w:t>
      </w:r>
    </w:p>
    <w:p>
      <w:pPr>
        <w:spacing w:line="3939" w:lineRule="exact"/>
        <w:ind w:firstLine="1143"/>
      </w:pPr>
      <w:r>
        <w:rPr>
          <w:position w:val="-78"/>
        </w:rPr>
        <w:drawing>
          <wp:inline distT="0" distB="0" distL="0" distR="0">
            <wp:extent cx="4064048" cy="250182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6"/>
                    <a:stretch>
                      <a:fillRect/>
                    </a:stretch>
                  </pic:blipFill>
                  <pic:spPr>
                    <a:xfrm>
                      <a:off x="0" y="0"/>
                      <a:ext cx="4064048" cy="2501827"/>
                    </a:xfrm>
                    <a:prstGeom prst="rect">
                      <a:avLst/>
                    </a:prstGeom>
                  </pic:spPr>
                </pic:pic>
              </a:graphicData>
            </a:graphic>
          </wp:inline>
        </w:drawing>
      </w:r>
    </w:p>
    <w:p>
      <w:pPr>
        <w:spacing w:before="203" w:line="221" w:lineRule="auto"/>
        <w:ind w:left="2146"/>
        <w:rPr>
          <w:rFonts w:ascii="SimHei" w:eastAsia="SimHei" w:hAnsi="SimHei" w:cs="SimHei"/>
          <w:sz w:val="21"/>
          <w:szCs w:val="21"/>
        </w:rPr>
      </w:pPr>
      <w:r>
        <w:rPr>
          <w:rFonts w:ascii="SimHei" w:eastAsia="SimHei" w:hAnsi="SimHei" w:cs="SimHei"/>
          <w:b/>
          <w:bCs/>
          <w:spacing w:val="-1"/>
          <w:sz w:val="21"/>
          <w:szCs w:val="21"/>
        </w:rPr>
        <w:t>图3.3</w:t>
      </w:r>
      <w:r>
        <w:rPr>
          <w:rFonts w:ascii="SimHei" w:eastAsia="SimHei" w:hAnsi="SimHei" w:cs="SimHei"/>
          <w:spacing w:val="-1"/>
          <w:sz w:val="21"/>
          <w:szCs w:val="21"/>
        </w:rPr>
        <w:t xml:space="preserve"> </w:t>
      </w:r>
      <w:r>
        <w:rPr>
          <w:rFonts w:ascii="SimHei" w:eastAsia="SimHei" w:hAnsi="SimHei" w:cs="SimHei"/>
          <w:b/>
          <w:bCs/>
          <w:spacing w:val="-1"/>
          <w:sz w:val="21"/>
          <w:szCs w:val="21"/>
        </w:rPr>
        <w:t>城市轨道交通附近噪声夜间实测数据</w:t>
      </w:r>
    </w:p>
    <w:p>
      <w:pPr>
        <w:pStyle w:val="BodyText"/>
        <w:tabs>
          <w:tab w:val="left" w:pos="133"/>
        </w:tabs>
        <w:spacing w:before="92" w:line="343" w:lineRule="auto"/>
        <w:ind w:left="13" w:firstLine="430"/>
      </w:pPr>
      <w:r>
        <w:rPr>
          <w:spacing w:val="-4"/>
        </w:rPr>
        <w:t xml:space="preserve">通过积累的城市轨道交通噪声数据分析，发现城市轨道交通噪声具有区别于其他噪声源 </w:t>
      </w:r>
      <w:r>
        <w:rPr>
          <w:spacing w:val="-7"/>
        </w:rPr>
        <w:t>的特点：第一，等效声级相对较低，但单次列车通过声级较高，对周边敏感点的噪声影响大。</w:t>
      </w:r>
      <w:r>
        <w:rPr>
          <w:spacing w:val="11"/>
        </w:rPr>
        <w:t xml:space="preserve"> </w:t>
      </w:r>
      <w:r>
        <w:rPr>
          <w:spacing w:val="-1"/>
        </w:rPr>
        <w:t xml:space="preserve">城市轨道交通的小时等效声级值往往低于道路交通噪声影响，但单次列车通过声级值较高  </w:t>
      </w:r>
      <w:r>
        <w:tab/>
      </w:r>
      <w:r>
        <w:rPr>
          <w:spacing w:val="3"/>
        </w:rPr>
        <w:t>(约为80</w:t>
      </w:r>
      <w:r>
        <w:rPr>
          <w:rFonts w:ascii="Times New Roman" w:eastAsia="Times New Roman" w:hAnsi="Times New Roman" w:cs="Times New Roman"/>
        </w:rPr>
        <w:t>dB</w:t>
      </w:r>
      <w:r>
        <w:rPr>
          <w:rFonts w:ascii="Times New Roman" w:eastAsia="Times New Roman" w:hAnsi="Times New Roman" w:cs="Times New Roman"/>
          <w:spacing w:val="3"/>
        </w:rPr>
        <w:t xml:space="preserve">(A));     </w:t>
      </w:r>
      <w:r>
        <w:rPr>
          <w:spacing w:val="3"/>
        </w:rPr>
        <w:t>第二，列车通过声级存在车辆差异，受轮轨维护保养影响明显，重视</w:t>
      </w:r>
      <w:r>
        <w:rPr>
          <w:spacing w:val="1"/>
        </w:rPr>
        <w:t xml:space="preserve">  </w:t>
      </w:r>
      <w:r>
        <w:rPr>
          <w:spacing w:val="-1"/>
        </w:rPr>
        <w:t>轮轨关系的维护保养，可以有效控制城市轨道交通的</w:t>
      </w:r>
      <w:r>
        <w:rPr>
          <w:spacing w:val="-2"/>
        </w:rPr>
        <w:t>列车通过声级和车辆个体差异；第三，</w:t>
      </w:r>
      <w:r>
        <w:t xml:space="preserve"> </w:t>
      </w:r>
      <w:r>
        <w:rPr>
          <w:spacing w:val="-3"/>
        </w:rPr>
        <w:t>降噪措施的实施，可以有效地控制城市轨道交通运行对周围环境的噪声污染。轨道行驶</w:t>
      </w:r>
      <w:r>
        <w:rPr>
          <w:spacing w:val="-4"/>
        </w:rPr>
        <w:t>区域</w:t>
      </w:r>
      <w:r>
        <w:t xml:space="preserve"> </w:t>
      </w:r>
      <w:r>
        <w:rPr>
          <w:spacing w:val="-3"/>
        </w:rPr>
        <w:t>声屏障的安装、运行线路采用超长无缝钢轨、轨底设置弹性垫层和弹性扣件以及弹性车</w:t>
      </w:r>
      <w:r>
        <w:rPr>
          <w:spacing w:val="-4"/>
        </w:rPr>
        <w:t>轮等</w:t>
      </w:r>
      <w:r>
        <w:t xml:space="preserve"> </w:t>
      </w:r>
      <w:r>
        <w:rPr>
          <w:spacing w:val="-3"/>
        </w:rPr>
        <w:t>环保措施的实施，均能减少城市轨道交通运行对周围环境的噪声污染。轨道交通运行噪声的</w:t>
      </w:r>
    </w:p>
    <w:p>
      <w:pPr>
        <w:pStyle w:val="BodyText"/>
        <w:spacing w:line="218" w:lineRule="auto"/>
        <w:ind w:left="13"/>
      </w:pPr>
      <w:r>
        <w:rPr>
          <w:spacing w:val="-2"/>
        </w:rPr>
        <w:t>污染影响是可以通过采取行之有效的环保控制措施加以改善的。</w:t>
      </w:r>
    </w:p>
    <w:p>
      <w:pPr>
        <w:spacing w:before="168" w:line="222" w:lineRule="auto"/>
        <w:ind w:left="15"/>
        <w:outlineLvl w:val="6"/>
        <w:rPr>
          <w:rFonts w:ascii="SimHei" w:eastAsia="SimHei" w:hAnsi="SimHei" w:cs="SimHei"/>
          <w:sz w:val="21"/>
          <w:szCs w:val="21"/>
        </w:rPr>
      </w:pPr>
      <w:r>
        <w:rPr>
          <w:rFonts w:ascii="SimHei" w:eastAsia="SimHei" w:hAnsi="SimHei" w:cs="SimHei"/>
          <w:b/>
          <w:bCs/>
          <w:spacing w:val="18"/>
          <w:sz w:val="21"/>
          <w:szCs w:val="21"/>
        </w:rPr>
        <w:t>3.3</w:t>
      </w:r>
      <w:r>
        <w:rPr>
          <w:rFonts w:ascii="SimHei" w:eastAsia="SimHei" w:hAnsi="SimHei" w:cs="SimHei"/>
          <w:spacing w:val="18"/>
          <w:sz w:val="21"/>
          <w:szCs w:val="21"/>
        </w:rPr>
        <w:t xml:space="preserve"> </w:t>
      </w:r>
      <w:r>
        <w:rPr>
          <w:rFonts w:ascii="SimHei" w:eastAsia="SimHei" w:hAnsi="SimHei" w:cs="SimHei"/>
          <w:b/>
          <w:bCs/>
          <w:spacing w:val="18"/>
          <w:sz w:val="21"/>
          <w:szCs w:val="21"/>
        </w:rPr>
        <w:t>城市轨道交通噪声控制技术现状</w:t>
      </w:r>
    </w:p>
    <w:p>
      <w:pPr>
        <w:pStyle w:val="BodyText"/>
        <w:spacing w:before="171" w:line="334" w:lineRule="auto"/>
        <w:ind w:left="13" w:right="3" w:firstLine="420"/>
        <w:jc w:val="both"/>
        <w:sectPr>
          <w:footerReference w:type="default" r:id="rId17"/>
          <w:pgSz w:w="11910" w:h="16840"/>
          <w:pgMar w:top="1431" w:right="1765" w:bottom="1151" w:left="1786" w:header="0" w:footer="993" w:gutter="0"/>
          <w:pgNumType w:start="11"/>
          <w:cols w:space="708"/>
        </w:sectPr>
      </w:pPr>
      <w:r>
        <w:rPr>
          <w:spacing w:val="-7"/>
        </w:rPr>
        <w:t>城市轨道交通运营噪声的控制可以通过两种方</w:t>
      </w:r>
      <w:r>
        <w:rPr>
          <w:spacing w:val="-8"/>
        </w:rPr>
        <w:t>式进行，</w:t>
      </w:r>
      <w:r>
        <w:rPr>
          <w:spacing w:val="56"/>
        </w:rPr>
        <w:t xml:space="preserve"> </w:t>
      </w:r>
      <w:r>
        <w:rPr>
          <w:spacing w:val="-8"/>
        </w:rPr>
        <w:t>一种是对噪声源头的控制，如采</w:t>
      </w:r>
      <w:r>
        <w:t xml:space="preserve"> </w:t>
      </w:r>
      <w:r>
        <w:rPr>
          <w:spacing w:val="-1"/>
        </w:rPr>
        <w:t>用低噪声车辆、轨道和结构综合减振降噪措</w:t>
      </w:r>
      <w:r>
        <w:rPr>
          <w:spacing w:val="-2"/>
        </w:rPr>
        <w:t>施、小曲线半径路段设置轮轨润滑装置等措施；</w:t>
      </w:r>
    </w:p>
    <w:p>
      <w:pPr>
        <w:pStyle w:val="BodyText"/>
        <w:spacing w:before="1" w:line="218" w:lineRule="auto"/>
        <w:ind w:left="13"/>
      </w:pPr>
      <w:r>
        <w:rPr>
          <w:spacing w:val="-2"/>
        </w:rPr>
        <w:t>另一种是在传播路径上的控制，如装设车裙、设置绿化带、安装声屏</w:t>
      </w:r>
      <w:r>
        <w:rPr>
          <w:spacing w:val="-3"/>
        </w:rPr>
        <w:t>障等措施。</w:t>
      </w:r>
    </w:p>
    <w:p>
      <w:pPr>
        <w:spacing w:line="218" w:lineRule="auto"/>
        <w:sectPr>
          <w:footerReference w:type="default" r:id="rId18"/>
          <w:type w:val="nextPage"/>
          <w:pgSz w:w="11910" w:h="16840"/>
          <w:pgMar w:top="1431" w:right="1765" w:bottom="1151" w:left="1786" w:header="0" w:footer="993" w:gutter="0"/>
          <w:pgNumType w:start="12"/>
          <w:cols w:space="708"/>
          <w:titlePg w:val="0"/>
        </w:sectPr>
      </w:pPr>
    </w:p>
    <w:p>
      <w:pPr>
        <w:pStyle w:val="BodyText"/>
        <w:spacing w:before="75" w:line="343" w:lineRule="auto"/>
        <w:ind w:left="13" w:firstLine="430"/>
        <w:jc w:val="both"/>
      </w:pPr>
      <w:r>
        <w:rPr>
          <w:spacing w:val="-3"/>
        </w:rPr>
        <w:t>从应用范围和降噪效果来看，控制城市轨道交通噪声最主</w:t>
      </w:r>
      <w:r>
        <w:rPr>
          <w:spacing w:val="-4"/>
        </w:rPr>
        <w:t>要、最直接的方式是设置声屏</w:t>
      </w:r>
      <w:r>
        <w:t xml:space="preserve">  </w:t>
      </w:r>
      <w:r>
        <w:rPr>
          <w:spacing w:val="-4"/>
        </w:rPr>
        <w:t>障，声屏障的方式包含多种，如直立型、半封闭、全封闭等。根据初步调研，地面线设置的</w:t>
      </w:r>
      <w:r>
        <w:rPr>
          <w:spacing w:val="2"/>
        </w:rPr>
        <w:t xml:space="preserve">  </w:t>
      </w:r>
      <w:r>
        <w:rPr>
          <w:spacing w:val="-3"/>
        </w:rPr>
        <w:t>声屏障以直立型和半封闭声屏障为主，而高架线设置的声屏障形式包括直立型、半封闭</w:t>
      </w:r>
      <w:r>
        <w:rPr>
          <w:spacing w:val="-4"/>
        </w:rPr>
        <w:t>和全</w:t>
      </w:r>
      <w:r>
        <w:t xml:space="preserve">  </w:t>
      </w:r>
      <w:r>
        <w:rPr>
          <w:spacing w:val="-3"/>
        </w:rPr>
        <w:t>封闭声屏障。不同形式的声屏障效果存在差异，与屏障的材质、结构形式、安装情况等</w:t>
      </w:r>
      <w:r>
        <w:rPr>
          <w:spacing w:val="-4"/>
        </w:rPr>
        <w:t>因素</w:t>
      </w:r>
      <w:r>
        <w:t xml:space="preserve">  </w:t>
      </w:r>
      <w:r>
        <w:rPr>
          <w:spacing w:val="-1"/>
        </w:rPr>
        <w:t>直接关联。通过对其他项目的实际测试结果来看，3</w:t>
      </w:r>
      <w:r>
        <w:rPr>
          <w:rFonts w:ascii="Times New Roman" w:eastAsia="Times New Roman" w:hAnsi="Times New Roman" w:cs="Times New Roman"/>
          <w:spacing w:val="-1"/>
        </w:rPr>
        <w:t>m</w:t>
      </w:r>
      <w:r>
        <w:rPr>
          <w:spacing w:val="-1"/>
        </w:rPr>
        <w:t>高度的直立型声屏障，距外轨中心线</w:t>
      </w:r>
      <w:r>
        <w:rPr>
          <w:spacing w:val="8"/>
        </w:rPr>
        <w:t xml:space="preserve">  </w:t>
      </w:r>
      <w:r>
        <w:t>7.5m位置处的插入损失在3</w:t>
      </w:r>
      <w:r>
        <w:rPr>
          <w:rFonts w:ascii="Times New Roman" w:eastAsia="Times New Roman" w:hAnsi="Times New Roman" w:cs="Times New Roman"/>
        </w:rPr>
        <w:t>dB~8d</w:t>
      </w:r>
      <w:r>
        <w:rPr>
          <w:rFonts w:ascii="Times New Roman" w:eastAsia="Times New Roman" w:hAnsi="Times New Roman" w:cs="Times New Roman"/>
          <w:spacing w:val="-1"/>
        </w:rPr>
        <w:t>B</w:t>
      </w:r>
      <w:r>
        <w:rPr>
          <w:spacing w:val="-1"/>
        </w:rPr>
        <w:t>不等；半封闭声屏障的插入损失一般在8</w:t>
      </w:r>
      <w:r>
        <w:rPr>
          <w:rFonts w:ascii="Times New Roman" w:eastAsia="Times New Roman" w:hAnsi="Times New Roman" w:cs="Times New Roman"/>
          <w:spacing w:val="-1"/>
        </w:rPr>
        <w:t>dB</w:t>
      </w:r>
      <w:r>
        <w:rPr>
          <w:spacing w:val="-1"/>
        </w:rPr>
        <w:t>以上；全封闭</w:t>
      </w:r>
      <w:r>
        <w:t xml:space="preserve">  </w:t>
      </w:r>
      <w:r>
        <w:rPr>
          <w:spacing w:val="-2"/>
        </w:rPr>
        <w:t>声屏障的插入损失在10</w:t>
      </w:r>
      <w:r>
        <w:rPr>
          <w:rFonts w:ascii="Times New Roman" w:eastAsia="Times New Roman" w:hAnsi="Times New Roman" w:cs="Times New Roman"/>
          <w:spacing w:val="-2"/>
        </w:rPr>
        <w:t>dB</w:t>
      </w:r>
      <w:r>
        <w:rPr>
          <w:spacing w:val="-2"/>
        </w:rPr>
        <w:t>以上，甚至可接近20</w:t>
      </w:r>
      <w:r>
        <w:rPr>
          <w:rFonts w:ascii="Times New Roman" w:eastAsia="Times New Roman" w:hAnsi="Times New Roman" w:cs="Times New Roman"/>
          <w:spacing w:val="-2"/>
        </w:rPr>
        <w:t>dB</w:t>
      </w:r>
      <w:r>
        <w:rPr>
          <w:spacing w:val="-2"/>
        </w:rPr>
        <w:t>。全封闭声屏障</w:t>
      </w:r>
      <w:r>
        <w:rPr>
          <w:spacing w:val="-3"/>
        </w:rPr>
        <w:t>效果良好，在北京、上海、</w:t>
      </w:r>
    </w:p>
    <w:p>
      <w:pPr>
        <w:pStyle w:val="BodyText"/>
        <w:spacing w:line="219" w:lineRule="auto"/>
        <w:ind w:left="13"/>
      </w:pPr>
      <w:r>
        <w:rPr>
          <w:spacing w:val="-2"/>
        </w:rPr>
        <w:t>重庆、宁波、武汉等城市已有近百个工程实施。</w:t>
      </w:r>
    </w:p>
    <w:p>
      <w:pPr>
        <w:pStyle w:val="BodyText"/>
        <w:spacing w:before="141" w:line="351" w:lineRule="auto"/>
        <w:ind w:left="13" w:right="90" w:firstLine="430"/>
        <w:jc w:val="both"/>
      </w:pPr>
      <w:r>
        <w:rPr>
          <w:spacing w:val="-3"/>
        </w:rPr>
        <w:t>此外，隔声窗也是一种常用措施，但仅能保证室</w:t>
      </w:r>
      <w:r>
        <w:rPr>
          <w:spacing w:val="-4"/>
        </w:rPr>
        <w:t>内达标。隔声窗的种类较多，隔声性能</w:t>
      </w:r>
      <w:r>
        <w:t xml:space="preserve"> </w:t>
      </w:r>
      <w:r>
        <w:rPr>
          <w:spacing w:val="-3"/>
        </w:rPr>
        <w:t>主要受隔声窗的玻璃组合结构、型材、开启方式、密封措施等影响，按隔声量高低分</w:t>
      </w:r>
      <w:r>
        <w:rPr>
          <w:spacing w:val="-4"/>
        </w:rPr>
        <w:t>为多个</w:t>
      </w:r>
    </w:p>
    <w:p>
      <w:pPr>
        <w:pStyle w:val="BodyText"/>
        <w:spacing w:line="218" w:lineRule="auto"/>
        <w:ind w:left="13"/>
      </w:pPr>
      <w:r>
        <w:rPr>
          <w:spacing w:val="-1"/>
        </w:rPr>
        <w:t>级别，常用的双层玻璃隔声窗的隔声量基本处于25~35</w:t>
      </w:r>
      <w:r>
        <w:rPr>
          <w:rFonts w:ascii="Times New Roman" w:eastAsia="Times New Roman" w:hAnsi="Times New Roman" w:cs="Times New Roman"/>
          <w:spacing w:val="-1"/>
        </w:rPr>
        <w:t>dB</w:t>
      </w:r>
      <w:r>
        <w:rPr>
          <w:spacing w:val="-1"/>
        </w:rPr>
        <w:t>之间。</w:t>
      </w:r>
    </w:p>
    <w:p>
      <w:pPr>
        <w:spacing w:line="218" w:lineRule="auto"/>
        <w:sectPr>
          <w:footerReference w:type="default" r:id="rId19"/>
          <w:pgSz w:w="11910" w:h="16840"/>
          <w:pgMar w:top="1431" w:right="1738" w:bottom="1152" w:left="1786" w:header="0" w:footer="993" w:gutter="0"/>
          <w:pgNumType w:start="13"/>
          <w:cols w:space="708"/>
        </w:sectPr>
      </w:pPr>
    </w:p>
    <w:p>
      <w:pPr>
        <w:spacing w:before="235" w:line="222" w:lineRule="auto"/>
        <w:ind w:left="118"/>
        <w:rPr>
          <w:rFonts w:ascii="SimHei" w:eastAsia="SimHei" w:hAnsi="SimHei" w:cs="SimHei"/>
          <w:sz w:val="27"/>
          <w:szCs w:val="27"/>
        </w:rPr>
      </w:pPr>
      <w:r>
        <w:rPr>
          <w:rFonts w:ascii="SimHei" w:eastAsia="SimHei" w:hAnsi="SimHei" w:cs="SimHei"/>
          <w:b/>
          <w:bCs/>
          <w:spacing w:val="2"/>
          <w:sz w:val="27"/>
          <w:szCs w:val="27"/>
        </w:rPr>
        <w:t>4</w:t>
      </w:r>
      <w:r>
        <w:rPr>
          <w:rFonts w:ascii="SimHei" w:eastAsia="SimHei" w:hAnsi="SimHei" w:cs="SimHei"/>
          <w:spacing w:val="33"/>
          <w:sz w:val="27"/>
          <w:szCs w:val="27"/>
        </w:rPr>
        <w:t xml:space="preserve"> </w:t>
      </w:r>
      <w:r>
        <w:rPr>
          <w:rFonts w:ascii="SimHei" w:eastAsia="SimHei" w:hAnsi="SimHei" w:cs="SimHei"/>
          <w:b/>
          <w:bCs/>
          <w:spacing w:val="2"/>
          <w:sz w:val="27"/>
          <w:szCs w:val="27"/>
        </w:rPr>
        <w:t>国内外相关标准情况</w:t>
      </w:r>
    </w:p>
    <w:p>
      <w:pPr>
        <w:spacing w:before="243" w:line="222" w:lineRule="auto"/>
        <w:ind w:left="117"/>
        <w:outlineLvl w:val="6"/>
        <w:rPr>
          <w:rFonts w:ascii="SimHei" w:eastAsia="SimHei" w:hAnsi="SimHei" w:cs="SimHei"/>
          <w:sz w:val="21"/>
          <w:szCs w:val="21"/>
        </w:rPr>
      </w:pPr>
      <w:r>
        <w:rPr>
          <w:rFonts w:ascii="SimHei" w:eastAsia="SimHei" w:hAnsi="SimHei" w:cs="SimHei"/>
          <w:b/>
          <w:bCs/>
          <w:spacing w:val="5"/>
          <w:sz w:val="21"/>
          <w:szCs w:val="21"/>
        </w:rPr>
        <w:t>4.1</w:t>
      </w:r>
      <w:r>
        <w:rPr>
          <w:rFonts w:ascii="SimHei" w:eastAsia="SimHei" w:hAnsi="SimHei" w:cs="SimHei"/>
          <w:spacing w:val="34"/>
          <w:sz w:val="21"/>
          <w:szCs w:val="21"/>
        </w:rPr>
        <w:t xml:space="preserve"> </w:t>
      </w:r>
      <w:r>
        <w:rPr>
          <w:rFonts w:ascii="SimHei" w:eastAsia="SimHei" w:hAnsi="SimHei" w:cs="SimHei"/>
          <w:b/>
          <w:bCs/>
          <w:spacing w:val="5"/>
          <w:sz w:val="21"/>
          <w:szCs w:val="21"/>
        </w:rPr>
        <w:t>国内标准</w:t>
      </w:r>
    </w:p>
    <w:p>
      <w:pPr>
        <w:spacing w:before="100" w:line="225" w:lineRule="auto"/>
        <w:ind w:left="117"/>
        <w:outlineLvl w:val="6"/>
        <w:rPr>
          <w:rFonts w:ascii="SimHei" w:eastAsia="SimHei" w:hAnsi="SimHei" w:cs="SimHei"/>
          <w:sz w:val="21"/>
          <w:szCs w:val="21"/>
        </w:rPr>
      </w:pPr>
      <w:r>
        <w:rPr>
          <w:rFonts w:ascii="SimHei" w:eastAsia="SimHei" w:hAnsi="SimHei" w:cs="SimHei"/>
          <w:b/>
          <w:bCs/>
          <w:spacing w:val="-19"/>
          <w:sz w:val="21"/>
          <w:szCs w:val="21"/>
        </w:rPr>
        <w:t>4.1.1</w:t>
      </w:r>
      <w:r>
        <w:rPr>
          <w:rFonts w:ascii="SimHei" w:eastAsia="SimHei" w:hAnsi="SimHei" w:cs="SimHei"/>
          <w:spacing w:val="6"/>
          <w:sz w:val="21"/>
          <w:szCs w:val="21"/>
        </w:rPr>
        <w:t xml:space="preserve"> </w:t>
      </w:r>
      <w:r>
        <w:rPr>
          <w:rFonts w:ascii="SimHei" w:eastAsia="SimHei" w:hAnsi="SimHei" w:cs="SimHei"/>
          <w:b/>
          <w:bCs/>
          <w:spacing w:val="-19"/>
          <w:sz w:val="21"/>
          <w:szCs w:val="21"/>
        </w:rPr>
        <w:t>内地</w:t>
      </w:r>
    </w:p>
    <w:p>
      <w:pPr>
        <w:pStyle w:val="BodyText"/>
        <w:spacing w:before="113" w:line="345" w:lineRule="auto"/>
        <w:ind w:left="115" w:right="103" w:firstLine="429"/>
      </w:pPr>
      <w:r>
        <w:rPr>
          <w:spacing w:val="-2"/>
        </w:rPr>
        <w:t>目前我国没有制定针对城市轨道交通噪声的评价</w:t>
      </w:r>
      <w:r>
        <w:rPr>
          <w:spacing w:val="-3"/>
        </w:rPr>
        <w:t>指标和标准限值，现阶段对城市轨道交通噪声的</w:t>
      </w:r>
      <w:r>
        <w:t xml:space="preserve"> </w:t>
      </w:r>
      <w:r>
        <w:rPr>
          <w:spacing w:val="-3"/>
        </w:rPr>
        <w:t>评价主要依靠《声环境质量标准》</w:t>
      </w:r>
      <w:r>
        <w:rPr>
          <w:spacing w:val="65"/>
        </w:rPr>
        <w:t xml:space="preserve"> </w:t>
      </w:r>
      <w:r>
        <w:rPr>
          <w:spacing w:val="-3"/>
        </w:rPr>
        <w:t>(GB3096-2008),   根据该标准评价城市轨道</w:t>
      </w:r>
      <w:r>
        <w:rPr>
          <w:spacing w:val="-4"/>
        </w:rPr>
        <w:t>交通线路附近敏感建</w:t>
      </w:r>
      <w:r>
        <w:t xml:space="preserve"> </w:t>
      </w:r>
      <w:r>
        <w:rPr>
          <w:spacing w:val="4"/>
        </w:rPr>
        <w:t>筑的声环境质量，该质量标准规定了城市轨道交通(地面段)</w:t>
      </w:r>
      <w:r>
        <w:rPr>
          <w:spacing w:val="3"/>
        </w:rPr>
        <w:t>两侧区域为4</w:t>
      </w:r>
      <w:r>
        <w:rPr>
          <w:rFonts w:ascii="Times New Roman" w:eastAsia="Times New Roman" w:hAnsi="Times New Roman" w:cs="Times New Roman"/>
          <w:spacing w:val="3"/>
        </w:rPr>
        <w:t>a</w:t>
      </w:r>
      <w:r>
        <w:rPr>
          <w:spacing w:val="3"/>
        </w:rPr>
        <w:t>类声环境功能区，并规定</w:t>
      </w:r>
      <w:r>
        <w:t xml:space="preserve"> </w:t>
      </w:r>
      <w:r>
        <w:t>4a类功能区的噪声限值为昼间70</w:t>
      </w:r>
      <w:r>
        <w:rPr>
          <w:rFonts w:ascii="Times New Roman" w:eastAsia="Times New Roman" w:hAnsi="Times New Roman" w:cs="Times New Roman"/>
        </w:rPr>
        <w:t>dB(A</w:t>
      </w:r>
      <w:r>
        <w:rPr>
          <w:rFonts w:ascii="Times New Roman" w:eastAsia="Times New Roman" w:hAnsi="Times New Roman" w:cs="Times New Roman"/>
          <w:spacing w:val="-1"/>
        </w:rPr>
        <w:t>)</w:t>
      </w:r>
      <w:r>
        <w:rPr>
          <w:spacing w:val="-1"/>
        </w:rPr>
        <w:t>、夜间55</w:t>
      </w:r>
      <w:r>
        <w:rPr>
          <w:rFonts w:ascii="Times New Roman" w:eastAsia="Times New Roman" w:hAnsi="Times New Roman" w:cs="Times New Roman"/>
          <w:spacing w:val="-1"/>
        </w:rPr>
        <w:t xml:space="preserve">dB(A),  </w:t>
      </w:r>
      <w:r>
        <w:rPr>
          <w:spacing w:val="-1"/>
        </w:rPr>
        <w:t>同时规定夜间突发噪声最大声级不得超过限值</w:t>
      </w:r>
    </w:p>
    <w:p>
      <w:pPr>
        <w:pStyle w:val="BodyText"/>
        <w:spacing w:line="183" w:lineRule="auto"/>
        <w:ind w:left="115"/>
      </w:pPr>
      <w:r>
        <w:rPr>
          <w:rFonts w:ascii="Times New Roman" w:eastAsia="Times New Roman" w:hAnsi="Times New Roman" w:cs="Times New Roman"/>
          <w:spacing w:val="-4"/>
        </w:rPr>
        <w:t>15dB(A)</w:t>
      </w:r>
      <w:r>
        <w:rPr>
          <w:spacing w:val="-4"/>
        </w:rPr>
        <w:t>。</w:t>
      </w:r>
    </w:p>
    <w:p>
      <w:pPr>
        <w:pStyle w:val="BodyText"/>
        <w:spacing w:before="170" w:line="344" w:lineRule="auto"/>
        <w:ind w:left="115" w:right="134" w:firstLine="434"/>
      </w:pPr>
      <w:r>
        <w:rPr>
          <w:spacing w:val="-1"/>
        </w:rPr>
        <w:t>《环境影响评价技术导则城市轨道交通》</w:t>
      </w:r>
      <w:r>
        <w:rPr>
          <w:spacing w:val="75"/>
        </w:rPr>
        <w:t xml:space="preserve"> </w:t>
      </w:r>
      <w:r>
        <w:rPr>
          <w:spacing w:val="-1"/>
        </w:rPr>
        <w:t>(HJ453-2018)</w:t>
      </w:r>
      <w:r>
        <w:rPr>
          <w:spacing w:val="91"/>
        </w:rPr>
        <w:t xml:space="preserve"> </w:t>
      </w:r>
      <w:r>
        <w:rPr>
          <w:spacing w:val="-1"/>
        </w:rPr>
        <w:t>规</w:t>
      </w:r>
      <w:r>
        <w:rPr>
          <w:spacing w:val="-2"/>
        </w:rPr>
        <w:t>定的评价量为昼夜时段声环境保护</w:t>
      </w:r>
      <w:r>
        <w:t xml:space="preserve"> </w:t>
      </w:r>
      <w:r>
        <w:rPr>
          <w:spacing w:val="-2"/>
        </w:rPr>
        <w:t>目标处的等效值，单列车通过时段保护目标处等效值；声环境保护目标昼夜等效值按GB3096 规定要</w:t>
      </w:r>
    </w:p>
    <w:p>
      <w:pPr>
        <w:pStyle w:val="BodyText"/>
        <w:spacing w:line="219" w:lineRule="auto"/>
        <w:ind w:left="115"/>
      </w:pPr>
      <w:r>
        <w:rPr>
          <w:spacing w:val="-1"/>
        </w:rPr>
        <w:t>求，但列车通过时段声环境保护目标处噪声贡</w:t>
      </w:r>
      <w:r>
        <w:rPr>
          <w:spacing w:val="-2"/>
        </w:rPr>
        <w:t>献值无明确限值要求。</w:t>
      </w:r>
    </w:p>
    <w:p>
      <w:pPr>
        <w:pStyle w:val="BodyText"/>
        <w:spacing w:before="138" w:line="339" w:lineRule="auto"/>
        <w:ind w:left="115" w:right="102" w:firstLine="434"/>
        <w:rPr>
          <w:rFonts w:ascii="Times New Roman" w:eastAsia="Times New Roman" w:hAnsi="Times New Roman" w:cs="Times New Roman"/>
        </w:rPr>
      </w:pPr>
      <w:r>
        <w:rPr>
          <w:spacing w:val="-4"/>
        </w:rPr>
        <w:t>《城市轨道交通工程项目建设标准》</w:t>
      </w:r>
      <w:r>
        <w:rPr>
          <w:spacing w:val="64"/>
        </w:rPr>
        <w:t xml:space="preserve"> </w:t>
      </w:r>
      <w:r>
        <w:rPr>
          <w:spacing w:val="-4"/>
        </w:rPr>
        <w:t>(JB104-2008)</w:t>
      </w:r>
      <w:r>
        <w:rPr>
          <w:spacing w:val="50"/>
        </w:rPr>
        <w:t xml:space="preserve"> </w:t>
      </w:r>
      <w:r>
        <w:rPr>
          <w:spacing w:val="-4"/>
        </w:rPr>
        <w:t>对各种车型车辆产品的司机室内、客室内和</w:t>
      </w:r>
      <w:r>
        <w:t xml:space="preserve"> </w:t>
      </w:r>
      <w:r>
        <w:rPr>
          <w:spacing w:val="-6"/>
        </w:rPr>
        <w:t>车外噪声提出要求，并要求城市轨道交通线路所经过地段，符合现行国家</w:t>
      </w:r>
      <w:r>
        <w:rPr>
          <w:spacing w:val="-7"/>
        </w:rPr>
        <w:t>标准《声环境质量标准》</w:t>
      </w:r>
      <w:r>
        <w:rPr>
          <w:rFonts w:ascii="Times New Roman" w:eastAsia="Times New Roman" w:hAnsi="Times New Roman" w:cs="Times New Roman"/>
          <w:spacing w:val="-7"/>
        </w:rPr>
        <w:t>(GB</w:t>
      </w:r>
    </w:p>
    <w:p>
      <w:pPr>
        <w:pStyle w:val="BodyText"/>
        <w:spacing w:before="1" w:line="217" w:lineRule="auto"/>
        <w:ind w:left="115"/>
      </w:pPr>
      <w:r>
        <w:rPr>
          <w:spacing w:val="1"/>
        </w:rPr>
        <w:t>3096-2008)和环境影响评价报告。</w:t>
      </w:r>
    </w:p>
    <w:p>
      <w:pPr>
        <w:pStyle w:val="BodyText"/>
        <w:spacing w:before="132" w:line="412" w:lineRule="exact"/>
        <w:ind w:left="550"/>
      </w:pPr>
      <w:r>
        <w:rPr>
          <w:spacing w:val="-1"/>
          <w:position w:val="15"/>
        </w:rPr>
        <w:t>《建设项目竣工环境保护验收技术规范城市轨道交通》</w:t>
      </w:r>
      <w:r>
        <w:rPr>
          <w:spacing w:val="75"/>
          <w:position w:val="15"/>
        </w:rPr>
        <w:t xml:space="preserve"> </w:t>
      </w:r>
      <w:r>
        <w:rPr>
          <w:spacing w:val="-1"/>
          <w:position w:val="15"/>
        </w:rPr>
        <w:t>(HJ/T40</w:t>
      </w:r>
      <w:r>
        <w:rPr>
          <w:spacing w:val="-2"/>
          <w:position w:val="15"/>
        </w:rPr>
        <w:t>3-2007)</w:t>
      </w:r>
      <w:r>
        <w:rPr>
          <w:spacing w:val="70"/>
          <w:position w:val="15"/>
        </w:rPr>
        <w:t xml:space="preserve"> </w:t>
      </w:r>
      <w:r>
        <w:rPr>
          <w:spacing w:val="-2"/>
          <w:position w:val="15"/>
        </w:rPr>
        <w:t>也提出了噪声监测要</w:t>
      </w:r>
    </w:p>
    <w:p>
      <w:pPr>
        <w:pStyle w:val="BodyText"/>
        <w:spacing w:line="219" w:lineRule="auto"/>
        <w:ind w:left="115"/>
      </w:pPr>
      <w:r>
        <w:rPr>
          <w:spacing w:val="-1"/>
        </w:rPr>
        <w:t>求，但规定对列车行驶噪声进行监测的分析方法参考铁路排放噪声标准</w:t>
      </w:r>
      <w:r>
        <w:rPr>
          <w:spacing w:val="-2"/>
        </w:rPr>
        <w:t>相关要求。</w:t>
      </w:r>
    </w:p>
    <w:p>
      <w:pPr>
        <w:pStyle w:val="BodyText"/>
        <w:spacing w:before="140" w:line="343" w:lineRule="auto"/>
        <w:ind w:left="115" w:right="106" w:firstLine="429"/>
      </w:pPr>
      <w:r>
        <w:rPr>
          <w:spacing w:val="-2"/>
        </w:rPr>
        <w:t>我国针对不同制式的城市轨道交通车辆提出了相应的产品噪声标准，这些标准规定的是车辆在标</w:t>
      </w:r>
      <w:r>
        <w:rPr>
          <w:spacing w:val="11"/>
        </w:rPr>
        <w:t xml:space="preserve"> </w:t>
      </w:r>
      <w:r>
        <w:rPr>
          <w:spacing w:val="-2"/>
        </w:rPr>
        <w:t>准的线路条件下、固定的速度下的车外噪声限值，基于的噪声测量方法是《声学  轨道机车车辆发射</w:t>
      </w:r>
      <w:r>
        <w:rPr>
          <w:spacing w:val="9"/>
        </w:rPr>
        <w:t xml:space="preserve"> </w:t>
      </w:r>
      <w:r>
        <w:rPr>
          <w:spacing w:val="-6"/>
        </w:rPr>
        <w:t>噪声测量》</w:t>
      </w:r>
      <w:r>
        <w:rPr>
          <w:spacing w:val="28"/>
        </w:rPr>
        <w:t xml:space="preserve"> </w:t>
      </w:r>
      <w:r>
        <w:rPr>
          <w:spacing w:val="-6"/>
        </w:rPr>
        <w:t>(GB/T5111-2011),  主要用于型式试验，如《地铁车辆通用技术条件》</w:t>
      </w:r>
      <w:r>
        <w:rPr>
          <w:spacing w:val="25"/>
        </w:rPr>
        <w:t xml:space="preserve"> </w:t>
      </w:r>
      <w:r>
        <w:rPr>
          <w:spacing w:val="-6"/>
        </w:rPr>
        <w:t>(GB/T7928-2003)</w:t>
      </w:r>
      <w:r>
        <w:t xml:space="preserve">  </w:t>
      </w:r>
      <w:r>
        <w:rPr>
          <w:spacing w:val="-4"/>
        </w:rPr>
        <w:t>规定了地铁车辆运行的车外噪声值，要求在恒速60</w:t>
      </w:r>
      <w:r>
        <w:rPr>
          <w:rFonts w:ascii="Times New Roman" w:eastAsia="Times New Roman" w:hAnsi="Times New Roman" w:cs="Times New Roman"/>
          <w:spacing w:val="-4"/>
        </w:rPr>
        <w:t>km/h</w:t>
      </w:r>
      <w:r>
        <w:rPr>
          <w:spacing w:val="-4"/>
        </w:rPr>
        <w:t>运行下，距轨道中心线7.5</w:t>
      </w:r>
      <w:r>
        <w:rPr>
          <w:rFonts w:ascii="Times New Roman" w:eastAsia="Times New Roman" w:hAnsi="Times New Roman" w:cs="Times New Roman"/>
          <w:spacing w:val="-4"/>
        </w:rPr>
        <w:t>m</w:t>
      </w:r>
      <w:r>
        <w:rPr>
          <w:spacing w:val="-4"/>
        </w:rPr>
        <w:t>、高于轨面1.5</w:t>
      </w:r>
      <w:r>
        <w:rPr>
          <w:rFonts w:ascii="Times New Roman" w:eastAsia="Times New Roman" w:hAnsi="Times New Roman" w:cs="Times New Roman"/>
          <w:spacing w:val="-4"/>
        </w:rPr>
        <w:t>m</w:t>
      </w:r>
      <w:r>
        <w:rPr>
          <w:spacing w:val="-4"/>
        </w:rPr>
        <w:t>处</w:t>
      </w:r>
      <w:r>
        <w:rPr>
          <w:spacing w:val="2"/>
        </w:rPr>
        <w:t xml:space="preserve"> </w:t>
      </w:r>
      <w:r>
        <w:rPr>
          <w:spacing w:val="-1"/>
        </w:rPr>
        <w:t xml:space="preserve">的列车通过连续等效噪声不得超过80dB(A), 这些标准并没有规定实际线路上车辆运行的噪声要求。 </w:t>
      </w:r>
      <w:r>
        <w:rPr>
          <w:spacing w:val="-2"/>
        </w:rPr>
        <w:t>此外，《城市轨道交通列车噪声限值和测量方法》</w:t>
      </w:r>
      <w:r>
        <w:rPr>
          <w:spacing w:val="97"/>
        </w:rPr>
        <w:t xml:space="preserve"> </w:t>
      </w:r>
      <w:r>
        <w:rPr>
          <w:spacing w:val="-2"/>
        </w:rPr>
        <w:t>(GB14892-2006)  仅规定了地铁和轻轨</w:t>
      </w:r>
      <w:r>
        <w:rPr>
          <w:spacing w:val="-3"/>
        </w:rPr>
        <w:t>司机室和</w:t>
      </w:r>
    </w:p>
    <w:p>
      <w:pPr>
        <w:pStyle w:val="BodyText"/>
        <w:spacing w:line="219" w:lineRule="auto"/>
        <w:ind w:left="115"/>
      </w:pPr>
      <w:r>
        <w:rPr>
          <w:spacing w:val="-2"/>
        </w:rPr>
        <w:t>客室内的噪声限值，但没有规定车外的噪声值要求。</w:t>
      </w:r>
    </w:p>
    <w:p>
      <w:pPr>
        <w:pStyle w:val="BodyText"/>
        <w:spacing w:before="119" w:line="343" w:lineRule="auto"/>
        <w:ind w:left="115" w:right="123" w:firstLine="434"/>
      </w:pPr>
      <w:r>
        <w:rPr>
          <w:spacing w:val="-3"/>
        </w:rPr>
        <w:t>《铁路边界噪声限值及其测量方法》  (GB12525-90)  标准中规定了铁路边界的噪声限值，而铁</w:t>
      </w:r>
      <w:r>
        <w:rPr>
          <w:spacing w:val="4"/>
        </w:rPr>
        <w:t xml:space="preserve"> </w:t>
      </w:r>
      <w:r>
        <w:rPr>
          <w:spacing w:val="-2"/>
        </w:rPr>
        <w:t>路机车和城市轨道交通列车相比在车速、轴重、道床、运行方式、车流密度、沿线环境均存在显著不</w:t>
      </w:r>
      <w:r>
        <w:rPr>
          <w:spacing w:val="8"/>
        </w:rPr>
        <w:t xml:space="preserve"> </w:t>
      </w:r>
      <w:r>
        <w:rPr>
          <w:spacing w:val="-2"/>
        </w:rPr>
        <w:t>同，两者的声源特性和声传播方式均不一样，因此该标准限值并不适用于城市轨道交通。国内近年来</w:t>
      </w:r>
      <w:r>
        <w:rPr>
          <w:spacing w:val="5"/>
        </w:rPr>
        <w:t xml:space="preserve"> </w:t>
      </w:r>
      <w:r>
        <w:rPr>
          <w:spacing w:val="-2"/>
        </w:rPr>
        <w:t>开展过针对各种交通干线排放标准的研究，其中包括了城市轨道交通噪声内容，建立了一定的排放噪</w:t>
      </w:r>
    </w:p>
    <w:p>
      <w:pPr>
        <w:pStyle w:val="BodyText"/>
        <w:spacing w:before="1" w:line="218" w:lineRule="auto"/>
        <w:ind w:left="115"/>
      </w:pPr>
      <w:r>
        <w:rPr>
          <w:spacing w:val="-5"/>
        </w:rPr>
        <w:t>声标准研究基础。</w:t>
      </w:r>
    </w:p>
    <w:p>
      <w:pPr>
        <w:spacing w:before="108" w:line="222" w:lineRule="auto"/>
        <w:ind w:left="117"/>
        <w:outlineLvl w:val="6"/>
        <w:rPr>
          <w:rFonts w:ascii="SimHei" w:eastAsia="SimHei" w:hAnsi="SimHei" w:cs="SimHei"/>
          <w:sz w:val="21"/>
          <w:szCs w:val="21"/>
        </w:rPr>
      </w:pPr>
      <w:r>
        <w:rPr>
          <w:rFonts w:ascii="SimHei" w:eastAsia="SimHei" w:hAnsi="SimHei" w:cs="SimHei"/>
          <w:b/>
          <w:bCs/>
          <w:spacing w:val="-20"/>
          <w:sz w:val="21"/>
          <w:szCs w:val="21"/>
        </w:rPr>
        <w:t>4.1.2</w:t>
      </w:r>
      <w:r>
        <w:rPr>
          <w:rFonts w:ascii="SimHei" w:eastAsia="SimHei" w:hAnsi="SimHei" w:cs="SimHei"/>
          <w:spacing w:val="17"/>
          <w:sz w:val="21"/>
          <w:szCs w:val="21"/>
        </w:rPr>
        <w:t xml:space="preserve"> </w:t>
      </w:r>
      <w:r>
        <w:rPr>
          <w:rFonts w:ascii="SimHei" w:eastAsia="SimHei" w:hAnsi="SimHei" w:cs="SimHei"/>
          <w:b/>
          <w:bCs/>
          <w:spacing w:val="-20"/>
          <w:sz w:val="21"/>
          <w:szCs w:val="21"/>
        </w:rPr>
        <w:t>港澳台</w:t>
      </w:r>
    </w:p>
    <w:p>
      <w:pPr>
        <w:pStyle w:val="BodyText"/>
        <w:spacing w:before="91" w:line="397" w:lineRule="exact"/>
        <w:ind w:left="544"/>
      </w:pPr>
      <w:r>
        <w:rPr>
          <w:spacing w:val="-2"/>
          <w:position w:val="14"/>
        </w:rPr>
        <w:t>我国香港要求轨道交通噪声影响遵守《噪声控制条例》以及《住宅楼宇、公共场所、建筑工地以</w:t>
      </w:r>
    </w:p>
    <w:p>
      <w:pPr>
        <w:pStyle w:val="BodyText"/>
        <w:spacing w:line="212" w:lineRule="auto"/>
        <w:ind w:left="115"/>
      </w:pPr>
      <w:r>
        <w:rPr>
          <w:spacing w:val="-1"/>
        </w:rPr>
        <w:t>外场所噪声评价技术备忘录》中规定的可接受噪声限值，并要求Lmax(23:00-07:0</w:t>
      </w:r>
      <w:r>
        <w:rPr>
          <w:spacing w:val="-2"/>
        </w:rPr>
        <w:t>0)</w:t>
      </w:r>
      <w:r>
        <w:rPr>
          <w:spacing w:val="-60"/>
        </w:rPr>
        <w:t xml:space="preserve"> </w:t>
      </w:r>
      <w:r>
        <w:rPr>
          <w:spacing w:val="-2"/>
        </w:rPr>
        <w:t>不超过85</w:t>
      </w:r>
      <w:r>
        <w:rPr>
          <w:rFonts w:ascii="Times New Roman" w:eastAsia="Times New Roman" w:hAnsi="Times New Roman" w:cs="Times New Roman"/>
          <w:spacing w:val="-2"/>
        </w:rPr>
        <w:t>dB(A)</w:t>
      </w:r>
      <w:r>
        <w:rPr>
          <w:spacing w:val="-2"/>
        </w:rPr>
        <w:t>。</w:t>
      </w:r>
    </w:p>
    <w:p>
      <w:pPr>
        <w:pStyle w:val="BodyText"/>
        <w:spacing w:before="209" w:line="219" w:lineRule="auto"/>
        <w:ind w:left="3038"/>
        <w:sectPr>
          <w:footerReference w:type="default" r:id="rId20"/>
          <w:pgSz w:w="11910" w:h="16840"/>
          <w:pgMar w:top="1431" w:right="1274" w:bottom="1152" w:left="1234" w:header="0" w:footer="993" w:gutter="0"/>
          <w:pgNumType w:start="14"/>
          <w:cols w:space="708"/>
        </w:sectPr>
      </w:pPr>
      <w:r>
        <w:rPr>
          <w:b/>
          <w:bCs/>
          <w:spacing w:val="-1"/>
        </w:rPr>
        <w:t>表4.1</w:t>
      </w:r>
      <w:r>
        <w:rPr>
          <w:spacing w:val="-1"/>
        </w:rPr>
        <w:t xml:space="preserve">  </w:t>
      </w:r>
      <w:r>
        <w:rPr>
          <w:b/>
          <w:bCs/>
          <w:spacing w:val="-1"/>
        </w:rPr>
        <w:t>可接受的噪声限值(dB(A))</w:t>
      </w:r>
    </w:p>
    <w:tbl>
      <w:tblPr>
        <w:tblStyle w:val="TableNormal0"/>
        <w:tblW w:w="93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32"/>
        <w:gridCol w:w="2018"/>
        <w:gridCol w:w="2328"/>
        <w:gridCol w:w="2412"/>
      </w:tblGrid>
      <w:tr>
        <w:tblPrEx>
          <w:tblW w:w="93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3"/>
        </w:trPr>
        <w:tc>
          <w:tcPr>
            <w:tcW w:w="2632" w:type="dxa"/>
            <w:vAlign w:val="top"/>
          </w:tcPr>
          <w:p>
            <w:pPr>
              <w:spacing w:before="55" w:line="219" w:lineRule="auto"/>
              <w:ind w:left="1105"/>
              <w:rPr>
                <w:rFonts w:ascii="SimSun" w:eastAsia="SimSun" w:hAnsi="SimSun" w:cs="SimSun"/>
                <w:sz w:val="20"/>
                <w:szCs w:val="20"/>
              </w:rPr>
            </w:pPr>
            <w:r>
              <w:rPr>
                <w:rFonts w:ascii="SimSun" w:eastAsia="SimSun" w:hAnsi="SimSun" w:cs="SimSun"/>
                <w:spacing w:val="9"/>
                <w:sz w:val="20"/>
                <w:szCs w:val="20"/>
              </w:rPr>
              <w:t>时间</w:t>
            </w:r>
          </w:p>
        </w:tc>
        <w:tc>
          <w:tcPr>
            <w:tcW w:w="2018" w:type="dxa"/>
            <w:vAlign w:val="top"/>
          </w:tcPr>
          <w:p>
            <w:pPr>
              <w:spacing w:before="103" w:line="175" w:lineRule="auto"/>
              <w:ind w:left="953"/>
              <w:rPr>
                <w:rFonts w:ascii="SimSun" w:eastAsia="SimSun" w:hAnsi="SimSun" w:cs="SimSun"/>
                <w:sz w:val="20"/>
                <w:szCs w:val="20"/>
              </w:rPr>
            </w:pPr>
            <w:r>
              <w:rPr>
                <w:rFonts w:ascii="SimSun" w:eastAsia="SimSun" w:hAnsi="SimSun" w:cs="SimSun"/>
                <w:sz w:val="20"/>
                <w:szCs w:val="20"/>
              </w:rPr>
              <w:t>A</w:t>
            </w:r>
          </w:p>
        </w:tc>
        <w:tc>
          <w:tcPr>
            <w:tcW w:w="2328" w:type="dxa"/>
            <w:vAlign w:val="top"/>
          </w:tcPr>
          <w:p>
            <w:pPr>
              <w:spacing w:before="106" w:line="172" w:lineRule="auto"/>
              <w:ind w:left="1105"/>
              <w:rPr>
                <w:rFonts w:ascii="SimSun" w:eastAsia="SimSun" w:hAnsi="SimSun" w:cs="SimSun"/>
                <w:sz w:val="20"/>
                <w:szCs w:val="20"/>
              </w:rPr>
            </w:pPr>
            <w:r>
              <w:rPr>
                <w:rFonts w:ascii="SimSun" w:eastAsia="SimSun" w:hAnsi="SimSun" w:cs="SimSun"/>
                <w:sz w:val="20"/>
                <w:szCs w:val="20"/>
              </w:rPr>
              <w:t>B</w:t>
            </w:r>
          </w:p>
        </w:tc>
        <w:tc>
          <w:tcPr>
            <w:tcW w:w="2412" w:type="dxa"/>
            <w:vAlign w:val="top"/>
          </w:tcPr>
          <w:p>
            <w:pPr>
              <w:spacing w:before="104" w:line="174" w:lineRule="auto"/>
              <w:ind w:left="1147"/>
              <w:rPr>
                <w:rFonts w:ascii="SimSun" w:eastAsia="SimSun" w:hAnsi="SimSun" w:cs="SimSun"/>
                <w:sz w:val="20"/>
                <w:szCs w:val="20"/>
              </w:rPr>
            </w:pPr>
            <w:r>
              <w:rPr>
                <w:rFonts w:ascii="SimSun" w:eastAsia="SimSun" w:hAnsi="SimSun" w:cs="SimSun"/>
                <w:sz w:val="20"/>
                <w:szCs w:val="20"/>
              </w:rPr>
              <w:t>C</w:t>
            </w:r>
          </w:p>
        </w:tc>
      </w:tr>
      <w:tr>
        <w:tblPrEx>
          <w:tblW w:w="9390" w:type="dxa"/>
          <w:tblInd w:w="5" w:type="dxa"/>
          <w:tblLayout w:type="fixed"/>
        </w:tblPrEx>
        <w:trPr>
          <w:trHeight w:val="317"/>
        </w:trPr>
        <w:tc>
          <w:tcPr>
            <w:tcW w:w="2632" w:type="dxa"/>
            <w:vAlign w:val="top"/>
          </w:tcPr>
          <w:p>
            <w:pPr>
              <w:spacing w:before="63" w:line="222" w:lineRule="auto"/>
              <w:ind w:left="505"/>
              <w:rPr>
                <w:rFonts w:ascii="SimSun" w:eastAsia="SimSun" w:hAnsi="SimSun" w:cs="SimSun"/>
                <w:sz w:val="20"/>
                <w:szCs w:val="20"/>
              </w:rPr>
            </w:pPr>
            <w:r>
              <w:rPr>
                <w:rFonts w:ascii="SimSun" w:eastAsia="SimSun" w:hAnsi="SimSun" w:cs="SimSun"/>
                <w:spacing w:val="3"/>
                <w:sz w:val="20"/>
                <w:szCs w:val="20"/>
              </w:rPr>
              <w:t>昼间(7:00-19:00)</w:t>
            </w:r>
          </w:p>
        </w:tc>
        <w:tc>
          <w:tcPr>
            <w:tcW w:w="2018" w:type="dxa"/>
            <w:vMerge w:val="restart"/>
            <w:tcBorders>
              <w:bottom w:val="nil"/>
            </w:tcBorders>
            <w:vAlign w:val="top"/>
          </w:tcPr>
          <w:p>
            <w:pPr>
              <w:spacing w:before="281" w:line="183" w:lineRule="auto"/>
              <w:ind w:left="903"/>
              <w:rPr>
                <w:rFonts w:ascii="SimSun" w:eastAsia="SimSun" w:hAnsi="SimSun" w:cs="SimSun"/>
                <w:sz w:val="20"/>
                <w:szCs w:val="20"/>
              </w:rPr>
            </w:pPr>
            <w:r>
              <w:rPr>
                <w:rFonts w:ascii="SimSun" w:eastAsia="SimSun" w:hAnsi="SimSun" w:cs="SimSun"/>
                <w:spacing w:val="-3"/>
                <w:sz w:val="20"/>
                <w:szCs w:val="20"/>
              </w:rPr>
              <w:t>60</w:t>
            </w:r>
          </w:p>
        </w:tc>
        <w:tc>
          <w:tcPr>
            <w:tcW w:w="2328" w:type="dxa"/>
            <w:vMerge w:val="restart"/>
            <w:tcBorders>
              <w:bottom w:val="nil"/>
            </w:tcBorders>
            <w:vAlign w:val="top"/>
          </w:tcPr>
          <w:p>
            <w:pPr>
              <w:spacing w:before="281" w:line="183" w:lineRule="auto"/>
              <w:ind w:left="1055"/>
              <w:rPr>
                <w:rFonts w:ascii="SimSun" w:eastAsia="SimSun" w:hAnsi="SimSun" w:cs="SimSun"/>
                <w:sz w:val="20"/>
                <w:szCs w:val="20"/>
              </w:rPr>
            </w:pPr>
            <w:r>
              <w:rPr>
                <w:rFonts w:ascii="SimSun" w:eastAsia="SimSun" w:hAnsi="SimSun" w:cs="SimSun"/>
                <w:spacing w:val="-3"/>
                <w:sz w:val="20"/>
                <w:szCs w:val="20"/>
              </w:rPr>
              <w:t>65</w:t>
            </w:r>
          </w:p>
        </w:tc>
        <w:tc>
          <w:tcPr>
            <w:tcW w:w="2412" w:type="dxa"/>
            <w:vMerge w:val="restart"/>
            <w:tcBorders>
              <w:bottom w:val="nil"/>
            </w:tcBorders>
            <w:vAlign w:val="top"/>
          </w:tcPr>
          <w:p>
            <w:pPr>
              <w:spacing w:before="281" w:line="183" w:lineRule="auto"/>
              <w:ind w:left="1097"/>
              <w:rPr>
                <w:rFonts w:ascii="SimSun" w:eastAsia="SimSun" w:hAnsi="SimSun" w:cs="SimSun"/>
                <w:sz w:val="20"/>
                <w:szCs w:val="20"/>
              </w:rPr>
            </w:pPr>
            <w:r>
              <w:rPr>
                <w:rFonts w:ascii="SimSun" w:eastAsia="SimSun" w:hAnsi="SimSun" w:cs="SimSun"/>
                <w:spacing w:val="-4"/>
                <w:sz w:val="20"/>
                <w:szCs w:val="20"/>
              </w:rPr>
              <w:t>70</w:t>
            </w:r>
          </w:p>
        </w:tc>
      </w:tr>
      <w:tr>
        <w:tblPrEx>
          <w:tblW w:w="9390" w:type="dxa"/>
          <w:tblInd w:w="5" w:type="dxa"/>
          <w:tblLayout w:type="fixed"/>
        </w:tblPrEx>
        <w:trPr>
          <w:trHeight w:val="317"/>
        </w:trPr>
        <w:tc>
          <w:tcPr>
            <w:tcW w:w="2632" w:type="dxa"/>
            <w:vAlign w:val="top"/>
          </w:tcPr>
          <w:p>
            <w:pPr>
              <w:spacing w:before="62" w:line="219" w:lineRule="auto"/>
              <w:ind w:left="455"/>
              <w:rPr>
                <w:rFonts w:ascii="SimSun" w:eastAsia="SimSun" w:hAnsi="SimSun" w:cs="SimSun"/>
                <w:sz w:val="20"/>
                <w:szCs w:val="20"/>
              </w:rPr>
            </w:pPr>
            <w:r>
              <w:rPr>
                <w:rFonts w:ascii="SimSun" w:eastAsia="SimSun" w:hAnsi="SimSun" w:cs="SimSun"/>
                <w:spacing w:val="2"/>
                <w:sz w:val="20"/>
                <w:szCs w:val="20"/>
              </w:rPr>
              <w:t>傍晚(19:00-23:00)</w:t>
            </w:r>
          </w:p>
        </w:tc>
        <w:tc>
          <w:tcPr>
            <w:tcW w:w="2018" w:type="dxa"/>
            <w:vMerge/>
            <w:tcBorders>
              <w:top w:val="nil"/>
            </w:tcBorders>
            <w:vAlign w:val="top"/>
          </w:tcPr>
          <w:p>
            <w:pPr>
              <w:rPr>
                <w:rFonts w:ascii="Arial"/>
                <w:sz w:val="21"/>
              </w:rPr>
            </w:pPr>
          </w:p>
        </w:tc>
        <w:tc>
          <w:tcPr>
            <w:tcW w:w="2328" w:type="dxa"/>
            <w:vMerge/>
            <w:tcBorders>
              <w:top w:val="nil"/>
            </w:tcBorders>
            <w:vAlign w:val="top"/>
          </w:tcPr>
          <w:p>
            <w:pPr>
              <w:rPr>
                <w:rFonts w:ascii="Arial"/>
                <w:sz w:val="21"/>
              </w:rPr>
            </w:pPr>
          </w:p>
        </w:tc>
        <w:tc>
          <w:tcPr>
            <w:tcW w:w="2412" w:type="dxa"/>
            <w:vMerge/>
            <w:tcBorders>
              <w:top w:val="nil"/>
            </w:tcBorders>
            <w:vAlign w:val="top"/>
          </w:tcPr>
          <w:p>
            <w:pPr>
              <w:rPr>
                <w:rFonts w:ascii="Arial"/>
                <w:sz w:val="21"/>
              </w:rPr>
            </w:pPr>
          </w:p>
        </w:tc>
      </w:tr>
      <w:tr>
        <w:tblPrEx>
          <w:tblW w:w="9390" w:type="dxa"/>
          <w:tblInd w:w="5" w:type="dxa"/>
          <w:tblLayout w:type="fixed"/>
        </w:tblPrEx>
        <w:trPr>
          <w:trHeight w:val="313"/>
        </w:trPr>
        <w:tc>
          <w:tcPr>
            <w:tcW w:w="2632" w:type="dxa"/>
            <w:vAlign w:val="top"/>
          </w:tcPr>
          <w:p>
            <w:pPr>
              <w:spacing w:before="65" w:line="219" w:lineRule="auto"/>
              <w:ind w:left="505"/>
              <w:rPr>
                <w:rFonts w:ascii="SimSun" w:eastAsia="SimSun" w:hAnsi="SimSun" w:cs="SimSun"/>
                <w:sz w:val="20"/>
                <w:szCs w:val="20"/>
              </w:rPr>
            </w:pPr>
            <w:r>
              <w:rPr>
                <w:rFonts w:ascii="SimSun" w:eastAsia="SimSun" w:hAnsi="SimSun" w:cs="SimSun"/>
                <w:spacing w:val="3"/>
                <w:sz w:val="20"/>
                <w:szCs w:val="20"/>
              </w:rPr>
              <w:t>夜间(23:00-7:00)</w:t>
            </w:r>
          </w:p>
        </w:tc>
        <w:tc>
          <w:tcPr>
            <w:tcW w:w="2018" w:type="dxa"/>
            <w:vAlign w:val="top"/>
          </w:tcPr>
          <w:p>
            <w:pPr>
              <w:spacing w:before="117" w:line="171" w:lineRule="auto"/>
              <w:ind w:left="903"/>
              <w:rPr>
                <w:rFonts w:ascii="SimSun" w:eastAsia="SimSun" w:hAnsi="SimSun" w:cs="SimSun"/>
                <w:sz w:val="20"/>
                <w:szCs w:val="20"/>
              </w:rPr>
            </w:pPr>
            <w:r>
              <w:rPr>
                <w:rFonts w:ascii="SimSun" w:eastAsia="SimSun" w:hAnsi="SimSun" w:cs="SimSun"/>
                <w:spacing w:val="-3"/>
                <w:sz w:val="20"/>
                <w:szCs w:val="20"/>
              </w:rPr>
              <w:t>50</w:t>
            </w:r>
          </w:p>
        </w:tc>
        <w:tc>
          <w:tcPr>
            <w:tcW w:w="2328" w:type="dxa"/>
            <w:vAlign w:val="top"/>
          </w:tcPr>
          <w:p>
            <w:pPr>
              <w:spacing w:before="118" w:line="170" w:lineRule="auto"/>
              <w:ind w:left="1055"/>
              <w:rPr>
                <w:rFonts w:ascii="SimSun" w:eastAsia="SimSun" w:hAnsi="SimSun" w:cs="SimSun"/>
                <w:sz w:val="20"/>
                <w:szCs w:val="20"/>
              </w:rPr>
            </w:pPr>
            <w:r>
              <w:rPr>
                <w:rFonts w:ascii="SimSun" w:eastAsia="SimSun" w:hAnsi="SimSun" w:cs="SimSun"/>
                <w:spacing w:val="-3"/>
                <w:sz w:val="20"/>
                <w:szCs w:val="20"/>
              </w:rPr>
              <w:t>55</w:t>
            </w:r>
          </w:p>
        </w:tc>
        <w:tc>
          <w:tcPr>
            <w:tcW w:w="2412" w:type="dxa"/>
            <w:vAlign w:val="top"/>
          </w:tcPr>
          <w:p>
            <w:pPr>
              <w:spacing w:before="117" w:line="171" w:lineRule="auto"/>
              <w:ind w:left="1097"/>
              <w:rPr>
                <w:rFonts w:ascii="SimSun" w:eastAsia="SimSun" w:hAnsi="SimSun" w:cs="SimSun"/>
                <w:sz w:val="20"/>
                <w:szCs w:val="20"/>
              </w:rPr>
            </w:pPr>
            <w:r>
              <w:rPr>
                <w:rFonts w:ascii="SimSun" w:eastAsia="SimSun" w:hAnsi="SimSun" w:cs="SimSun"/>
                <w:spacing w:val="-3"/>
                <w:sz w:val="20"/>
                <w:szCs w:val="20"/>
              </w:rPr>
              <w:t>60</w:t>
            </w:r>
          </w:p>
        </w:tc>
      </w:tr>
    </w:tbl>
    <w:p>
      <w:pPr>
        <w:spacing w:before="1"/>
        <w:rPr>
          <w:rFonts w:ascii="Arial"/>
          <w:sz w:val="21"/>
        </w:rPr>
      </w:pPr>
    </w:p>
    <w:p>
      <w:pPr>
        <w:rPr>
          <w:rFonts w:ascii="Arial" w:eastAsia="Arial" w:hAnsi="Arial" w:cs="Arial"/>
          <w:sz w:val="21"/>
          <w:szCs w:val="21"/>
        </w:rPr>
        <w:sectPr>
          <w:footerReference w:type="default" r:id="rId21"/>
          <w:type w:val="nextPage"/>
          <w:pgSz w:w="11910" w:h="16840"/>
          <w:pgMar w:top="1431" w:right="1274" w:bottom="1152" w:left="1234" w:header="0" w:footer="993" w:gutter="0"/>
          <w:pgNumType w:start="15"/>
          <w:cols w:space="708"/>
          <w:titlePg w:val="0"/>
        </w:sectPr>
      </w:pPr>
    </w:p>
    <w:p>
      <w:pPr>
        <w:pStyle w:val="BodyText"/>
        <w:spacing w:before="93" w:line="269" w:lineRule="auto"/>
        <w:ind w:left="215" w:right="91" w:hanging="100"/>
        <w:rPr>
          <w:sz w:val="18"/>
          <w:szCs w:val="18"/>
        </w:rPr>
      </w:pPr>
      <w:r>
        <w:rPr>
          <w:spacing w:val="-3"/>
          <w:sz w:val="18"/>
          <w:szCs w:val="18"/>
        </w:rPr>
        <w:t>注：</w:t>
      </w:r>
      <w:r>
        <w:rPr>
          <w:rFonts w:ascii="Times New Roman" w:eastAsia="Times New Roman" w:hAnsi="Times New Roman" w:cs="Times New Roman"/>
          <w:spacing w:val="-3"/>
          <w:sz w:val="18"/>
          <w:szCs w:val="18"/>
        </w:rPr>
        <w:t>A</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B</w:t>
      </w:r>
      <w:r>
        <w:rPr>
          <w:rFonts w:ascii="Times New Roman" w:eastAsia="Times New Roman" w:hAnsi="Times New Roman" w:cs="Times New Roman"/>
          <w:spacing w:val="-25"/>
          <w:sz w:val="18"/>
          <w:szCs w:val="18"/>
        </w:rPr>
        <w:t xml:space="preserve"> </w:t>
      </w:r>
      <w:r>
        <w:rPr>
          <w:spacing w:val="-3"/>
          <w:sz w:val="18"/>
          <w:szCs w:val="18"/>
        </w:rPr>
        <w:t>、</w:t>
      </w:r>
      <w:r>
        <w:rPr>
          <w:rFonts w:ascii="Times New Roman" w:eastAsia="Times New Roman" w:hAnsi="Times New Roman" w:cs="Times New Roman"/>
          <w:spacing w:val="-3"/>
          <w:sz w:val="18"/>
          <w:szCs w:val="18"/>
        </w:rPr>
        <w:t>C</w:t>
      </w:r>
      <w:r>
        <w:rPr>
          <w:spacing w:val="-3"/>
          <w:sz w:val="18"/>
          <w:szCs w:val="18"/>
        </w:rPr>
        <w:t>为区域敏感度等级，在工业区周边100</w:t>
      </w:r>
      <w:r>
        <w:rPr>
          <w:rFonts w:ascii="Times New Roman" w:eastAsia="Times New Roman" w:hAnsi="Times New Roman" w:cs="Times New Roman"/>
          <w:spacing w:val="-3"/>
          <w:sz w:val="18"/>
          <w:szCs w:val="18"/>
        </w:rPr>
        <w:t>m</w:t>
      </w:r>
      <w:r>
        <w:rPr>
          <w:rFonts w:ascii="Times New Roman" w:eastAsia="Times New Roman" w:hAnsi="Times New Roman" w:cs="Times New Roman"/>
          <w:spacing w:val="-23"/>
          <w:sz w:val="18"/>
          <w:szCs w:val="18"/>
        </w:rPr>
        <w:t xml:space="preserve"> </w:t>
      </w:r>
      <w:r>
        <w:rPr>
          <w:spacing w:val="-3"/>
          <w:sz w:val="18"/>
          <w:szCs w:val="18"/>
        </w:rPr>
        <w:t>以内为C,100-250m</w:t>
      </w:r>
      <w:r>
        <w:rPr>
          <w:spacing w:val="55"/>
          <w:sz w:val="18"/>
          <w:szCs w:val="18"/>
        </w:rPr>
        <w:t xml:space="preserve"> </w:t>
      </w:r>
      <w:r>
        <w:rPr>
          <w:spacing w:val="-3"/>
          <w:sz w:val="18"/>
          <w:szCs w:val="18"/>
        </w:rPr>
        <w:t>之间为</w:t>
      </w:r>
      <w:r>
        <w:rPr>
          <w:rFonts w:ascii="Times New Roman" w:eastAsia="Times New Roman" w:hAnsi="Times New Roman" w:cs="Times New Roman"/>
          <w:spacing w:val="-3"/>
          <w:sz w:val="18"/>
          <w:szCs w:val="18"/>
        </w:rPr>
        <w:t>B</w:t>
      </w:r>
      <w:r>
        <w:rPr>
          <w:rFonts w:ascii="Times New Roman" w:eastAsia="Times New Roman" w:hAnsi="Times New Roman" w:cs="Times New Roman"/>
          <w:spacing w:val="-25"/>
          <w:sz w:val="18"/>
          <w:szCs w:val="18"/>
        </w:rPr>
        <w:t xml:space="preserve"> </w:t>
      </w:r>
      <w:r>
        <w:rPr>
          <w:spacing w:val="-3"/>
          <w:sz w:val="18"/>
          <w:szCs w:val="18"/>
        </w:rPr>
        <w:t>、除非指明为</w:t>
      </w:r>
      <w:r>
        <w:rPr>
          <w:rFonts w:ascii="Times New Roman" w:eastAsia="Times New Roman" w:hAnsi="Times New Roman" w:cs="Times New Roman"/>
          <w:spacing w:val="-3"/>
          <w:sz w:val="18"/>
          <w:szCs w:val="18"/>
        </w:rPr>
        <w:t>C</w:t>
      </w:r>
      <w:r>
        <w:rPr>
          <w:spacing w:val="-3"/>
          <w:sz w:val="18"/>
          <w:szCs w:val="18"/>
        </w:rPr>
        <w:t>的，</w:t>
      </w:r>
      <w:r>
        <w:rPr>
          <w:spacing w:val="-42"/>
          <w:sz w:val="18"/>
          <w:szCs w:val="18"/>
        </w:rPr>
        <w:t xml:space="preserve"> </w:t>
      </w:r>
      <w:r>
        <w:rPr>
          <w:rFonts w:ascii="Times New Roman" w:eastAsia="Times New Roman" w:hAnsi="Times New Roman" w:cs="Times New Roman"/>
          <w:spacing w:val="-3"/>
          <w:sz w:val="18"/>
          <w:szCs w:val="18"/>
        </w:rPr>
        <w:t>A</w:t>
      </w:r>
      <w:r>
        <w:rPr>
          <w:spacing w:val="-3"/>
          <w:sz w:val="18"/>
          <w:szCs w:val="18"/>
        </w:rPr>
        <w:t>为最敏感区域</w:t>
      </w:r>
      <w:r>
        <w:rPr>
          <w:sz w:val="18"/>
          <w:szCs w:val="18"/>
        </w:rPr>
        <w:t xml:space="preserve"> </w:t>
      </w:r>
      <w:r>
        <w:rPr>
          <w:sz w:val="18"/>
          <w:szCs w:val="18"/>
        </w:rPr>
        <w:t>(如不受影响的农村区域、低密度住宅区等)。测点设于建筑外1m</w:t>
      </w:r>
      <w:r>
        <w:rPr>
          <w:spacing w:val="-27"/>
          <w:sz w:val="18"/>
          <w:szCs w:val="18"/>
        </w:rPr>
        <w:t xml:space="preserve"> </w:t>
      </w:r>
      <w:r>
        <w:rPr>
          <w:sz w:val="18"/>
          <w:szCs w:val="18"/>
        </w:rPr>
        <w:t>或地</w:t>
      </w:r>
      <w:r>
        <w:rPr>
          <w:spacing w:val="-1"/>
          <w:sz w:val="18"/>
          <w:szCs w:val="18"/>
        </w:rPr>
        <w:t>面以上1.2m</w:t>
      </w:r>
      <w:r>
        <w:rPr>
          <w:spacing w:val="-28"/>
          <w:sz w:val="18"/>
          <w:szCs w:val="18"/>
        </w:rPr>
        <w:t xml:space="preserve"> </w:t>
      </w:r>
      <w:r>
        <w:rPr>
          <w:spacing w:val="-1"/>
          <w:sz w:val="18"/>
          <w:szCs w:val="18"/>
        </w:rPr>
        <w:t>处的合适位置，连续测量30分钟。</w:t>
      </w:r>
    </w:p>
    <w:p>
      <w:pPr>
        <w:pStyle w:val="BodyText"/>
        <w:spacing w:before="76" w:line="212" w:lineRule="auto"/>
        <w:ind w:left="115"/>
        <w:rPr>
          <w:rFonts w:ascii="Times New Roman" w:eastAsia="Times New Roman" w:hAnsi="Times New Roman" w:cs="Times New Roman"/>
          <w:sz w:val="18"/>
          <w:szCs w:val="18"/>
        </w:rPr>
      </w:pPr>
      <w:r>
        <w:rPr>
          <w:sz w:val="18"/>
          <w:szCs w:val="18"/>
        </w:rPr>
        <w:t>资料来源：香港环境保护署网站</w:t>
      </w:r>
      <w:hyperlink r:id="rId22" w:history="1">
        <w:r>
          <w:rPr>
            <w:rFonts w:ascii="Times New Roman" w:eastAsia="Times New Roman" w:hAnsi="Times New Roman" w:cs="Times New Roman"/>
            <w:sz w:val="18"/>
            <w:szCs w:val="18"/>
          </w:rPr>
          <w:t>ttps://www.epd.gov.hk/epd/noise</w:t>
        </w:r>
      </w:hyperlink>
      <w:r>
        <w:rPr>
          <w:rFonts w:ascii="Times New Roman" w:eastAsia="Times New Roman" w:hAnsi="Times New Roman" w:cs="Times New Roman"/>
          <w:sz w:val="18"/>
          <w:szCs w:val="18"/>
        </w:rPr>
        <w:t>_education/web/ENG_EPD_HT</w:t>
      </w:r>
      <w:r>
        <w:rPr>
          <w:rFonts w:ascii="Times New Roman" w:eastAsia="Times New Roman" w:hAnsi="Times New Roman" w:cs="Times New Roman"/>
          <w:spacing w:val="-1"/>
          <w:sz w:val="18"/>
          <w:szCs w:val="18"/>
        </w:rPr>
        <w:t>ML/m2/types_5.html</w:t>
      </w:r>
    </w:p>
    <w:p>
      <w:pPr>
        <w:pStyle w:val="BodyText"/>
        <w:spacing w:before="113" w:line="219" w:lineRule="auto"/>
        <w:ind w:left="550"/>
      </w:pPr>
      <w:r>
        <w:rPr>
          <w:spacing w:val="-6"/>
        </w:rPr>
        <w:t>《香港规划标准与准则》</w:t>
      </w:r>
      <w:r>
        <w:rPr>
          <w:spacing w:val="63"/>
        </w:rPr>
        <w:t xml:space="preserve"> </w:t>
      </w:r>
      <w:r>
        <w:rPr>
          <w:spacing w:val="-6"/>
        </w:rPr>
        <w:t>“香港规划的环境准则”一章中，针对不同的噪声源，按照“噪声</w:t>
      </w:r>
      <w:r>
        <w:rPr>
          <w:spacing w:val="-7"/>
        </w:rPr>
        <w:t>感应</w:t>
      </w:r>
    </w:p>
    <w:p>
      <w:pPr>
        <w:pStyle w:val="BodyText"/>
        <w:spacing w:before="153" w:line="219" w:lineRule="auto"/>
        <w:ind w:left="115"/>
      </w:pPr>
      <w:r>
        <w:rPr>
          <w:spacing w:val="-2"/>
        </w:rPr>
        <w:t>强的地方”的具体用途分别制定相应的噪声限值，如</w:t>
      </w:r>
      <w:r>
        <w:rPr>
          <w:spacing w:val="-3"/>
        </w:rPr>
        <w:t>下表所示：</w:t>
      </w:r>
    </w:p>
    <w:p>
      <w:pPr>
        <w:spacing w:before="167" w:line="222" w:lineRule="auto"/>
        <w:ind w:left="3328"/>
        <w:rPr>
          <w:rFonts w:ascii="SimHei" w:eastAsia="SimHei" w:hAnsi="SimHei" w:cs="SimHei"/>
          <w:sz w:val="21"/>
          <w:szCs w:val="21"/>
        </w:rPr>
      </w:pPr>
      <w:r>
        <w:rPr>
          <w:rFonts w:ascii="SimHei" w:eastAsia="SimHei" w:hAnsi="SimHei" w:cs="SimHei"/>
          <w:b/>
          <w:bCs/>
          <w:sz w:val="21"/>
          <w:szCs w:val="21"/>
        </w:rPr>
        <w:t>表4.2</w:t>
      </w:r>
      <w:r>
        <w:rPr>
          <w:rFonts w:ascii="SimHei" w:eastAsia="SimHei" w:hAnsi="SimHei" w:cs="SimHei"/>
          <w:sz w:val="21"/>
          <w:szCs w:val="21"/>
        </w:rPr>
        <w:t xml:space="preserve"> </w:t>
      </w:r>
      <w:r>
        <w:rPr>
          <w:rFonts w:ascii="SimHei" w:eastAsia="SimHei" w:hAnsi="SimHei" w:cs="SimHei"/>
          <w:b/>
          <w:bCs/>
          <w:sz w:val="21"/>
          <w:szCs w:val="21"/>
        </w:rPr>
        <w:t>香港交通噪声规划标准</w:t>
      </w:r>
    </w:p>
    <w:p>
      <w:pPr>
        <w:spacing w:line="27" w:lineRule="exact"/>
      </w:pPr>
    </w:p>
    <w:tbl>
      <w:tblPr>
        <w:tblStyle w:val="TableNormal1"/>
        <w:tblW w:w="923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90"/>
        <w:gridCol w:w="4340"/>
      </w:tblGrid>
      <w:tr>
        <w:tblPrEx>
          <w:tblW w:w="923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4"/>
        </w:trPr>
        <w:tc>
          <w:tcPr>
            <w:tcW w:w="4890" w:type="dxa"/>
            <w:vAlign w:val="top"/>
          </w:tcPr>
          <w:p>
            <w:pPr>
              <w:pStyle w:val="TableText"/>
              <w:spacing w:before="84" w:line="220" w:lineRule="auto"/>
              <w:ind w:left="2124"/>
            </w:pPr>
            <w:r>
              <w:rPr>
                <w:spacing w:val="3"/>
              </w:rPr>
              <w:t>噪声源</w:t>
            </w:r>
          </w:p>
        </w:tc>
        <w:tc>
          <w:tcPr>
            <w:tcW w:w="4340" w:type="dxa"/>
            <w:vAlign w:val="top"/>
          </w:tcPr>
          <w:p>
            <w:pPr>
              <w:pStyle w:val="TableText"/>
              <w:spacing w:before="83" w:line="219" w:lineRule="auto"/>
              <w:ind w:left="1564"/>
            </w:pPr>
            <w:r>
              <w:rPr>
                <w:spacing w:val="2"/>
              </w:rPr>
              <w:t>铁路交通噪声</w:t>
            </w:r>
          </w:p>
        </w:tc>
      </w:tr>
      <w:tr>
        <w:tblPrEx>
          <w:tblW w:w="9230" w:type="dxa"/>
          <w:tblInd w:w="85" w:type="dxa"/>
          <w:tblLayout w:type="fixed"/>
        </w:tblPrEx>
        <w:trPr>
          <w:trHeight w:val="359"/>
        </w:trPr>
        <w:tc>
          <w:tcPr>
            <w:tcW w:w="4890" w:type="dxa"/>
            <w:vAlign w:val="top"/>
          </w:tcPr>
          <w:p>
            <w:pPr>
              <w:pStyle w:val="TableText"/>
              <w:spacing w:before="79" w:line="219" w:lineRule="auto"/>
              <w:ind w:left="1074"/>
            </w:pPr>
            <w:r>
              <w:rPr>
                <w:spacing w:val="3"/>
              </w:rPr>
              <w:t>所有住宅楼宇(包括临时房屋)</w:t>
            </w:r>
          </w:p>
        </w:tc>
        <w:tc>
          <w:tcPr>
            <w:tcW w:w="4340"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TableText"/>
              <w:spacing w:before="68" w:line="313" w:lineRule="exact"/>
              <w:ind w:left="145"/>
            </w:pPr>
            <w:r>
              <w:rPr>
                <w:spacing w:val="2"/>
                <w:position w:val="7"/>
              </w:rPr>
              <w:t>(a)等效连续噪声级(24h)=65</w:t>
            </w:r>
            <w:r>
              <w:rPr>
                <w:position w:val="7"/>
              </w:rPr>
              <w:t>dB</w:t>
            </w:r>
            <w:r>
              <w:rPr>
                <w:spacing w:val="2"/>
                <w:position w:val="7"/>
              </w:rPr>
              <w:t>(A)</w:t>
            </w:r>
          </w:p>
          <w:p>
            <w:pPr>
              <w:pStyle w:val="TableText"/>
              <w:spacing w:line="222" w:lineRule="auto"/>
              <w:ind w:left="145"/>
            </w:pPr>
            <w:r>
              <w:rPr>
                <w:spacing w:val="-2"/>
              </w:rPr>
              <w:t>(b)Lmax(23:00-07:00)=85dB(A)</w:t>
            </w:r>
          </w:p>
        </w:tc>
      </w:tr>
      <w:tr>
        <w:tblPrEx>
          <w:tblW w:w="9230" w:type="dxa"/>
          <w:tblInd w:w="85" w:type="dxa"/>
          <w:tblLayout w:type="fixed"/>
        </w:tblPrEx>
        <w:trPr>
          <w:trHeight w:val="378"/>
        </w:trPr>
        <w:tc>
          <w:tcPr>
            <w:tcW w:w="4890" w:type="dxa"/>
            <w:vAlign w:val="top"/>
          </w:tcPr>
          <w:p>
            <w:pPr>
              <w:pStyle w:val="TableText"/>
              <w:spacing w:before="93" w:line="221" w:lineRule="auto"/>
              <w:ind w:left="1915"/>
            </w:pPr>
            <w:r>
              <w:rPr>
                <w:spacing w:val="1"/>
              </w:rPr>
              <w:t>酒店及旅舍</w:t>
            </w:r>
          </w:p>
        </w:tc>
        <w:tc>
          <w:tcPr>
            <w:tcW w:w="4340" w:type="dxa"/>
            <w:vMerge/>
            <w:tcBorders>
              <w:top w:val="nil"/>
              <w:bottom w:val="nil"/>
            </w:tcBorders>
            <w:vAlign w:val="top"/>
          </w:tcPr>
          <w:p>
            <w:pPr>
              <w:rPr>
                <w:rFonts w:ascii="Arial"/>
                <w:sz w:val="21"/>
              </w:rPr>
            </w:pPr>
          </w:p>
        </w:tc>
      </w:tr>
      <w:tr>
        <w:tblPrEx>
          <w:tblW w:w="9230" w:type="dxa"/>
          <w:tblInd w:w="85" w:type="dxa"/>
          <w:tblLayout w:type="fixed"/>
        </w:tblPrEx>
        <w:trPr>
          <w:trHeight w:val="359"/>
        </w:trPr>
        <w:tc>
          <w:tcPr>
            <w:tcW w:w="4890" w:type="dxa"/>
            <w:vAlign w:val="top"/>
          </w:tcPr>
          <w:p>
            <w:pPr>
              <w:pStyle w:val="TableText"/>
              <w:spacing w:before="82" w:line="219" w:lineRule="auto"/>
              <w:ind w:left="2124"/>
            </w:pPr>
            <w:r>
              <w:rPr>
                <w:spacing w:val="3"/>
              </w:rPr>
              <w:t>办公室</w:t>
            </w:r>
          </w:p>
        </w:tc>
        <w:tc>
          <w:tcPr>
            <w:tcW w:w="4340" w:type="dxa"/>
            <w:vMerge/>
            <w:tcBorders>
              <w:top w:val="nil"/>
              <w:bottom w:val="nil"/>
            </w:tcBorders>
            <w:vAlign w:val="top"/>
          </w:tcPr>
          <w:p>
            <w:pPr>
              <w:rPr>
                <w:rFonts w:ascii="Arial"/>
                <w:sz w:val="21"/>
              </w:rPr>
            </w:pPr>
          </w:p>
        </w:tc>
      </w:tr>
      <w:tr>
        <w:tblPrEx>
          <w:tblW w:w="9230" w:type="dxa"/>
          <w:tblInd w:w="85" w:type="dxa"/>
          <w:tblLayout w:type="fixed"/>
        </w:tblPrEx>
        <w:trPr>
          <w:trHeight w:val="628"/>
        </w:trPr>
        <w:tc>
          <w:tcPr>
            <w:tcW w:w="4890" w:type="dxa"/>
            <w:vAlign w:val="top"/>
          </w:tcPr>
          <w:p>
            <w:pPr>
              <w:pStyle w:val="TableText"/>
              <w:spacing w:before="72" w:line="219" w:lineRule="auto"/>
              <w:ind w:left="75"/>
            </w:pPr>
            <w:r>
              <w:rPr>
                <w:spacing w:val="-1"/>
              </w:rPr>
              <w:t>教育机构(包括幼稚园、托儿所及其他不需使用辅助</w:t>
            </w:r>
          </w:p>
          <w:p>
            <w:pPr>
              <w:pStyle w:val="TableText"/>
              <w:spacing w:before="72" w:line="197" w:lineRule="auto"/>
              <w:ind w:left="1755"/>
            </w:pPr>
            <w:r>
              <w:rPr>
                <w:spacing w:val="5"/>
              </w:rPr>
              <w:t>扩音器的地方)</w:t>
            </w:r>
          </w:p>
        </w:tc>
        <w:tc>
          <w:tcPr>
            <w:tcW w:w="4340" w:type="dxa"/>
            <w:vMerge/>
            <w:tcBorders>
              <w:top w:val="nil"/>
              <w:bottom w:val="nil"/>
            </w:tcBorders>
            <w:vAlign w:val="top"/>
          </w:tcPr>
          <w:p>
            <w:pPr>
              <w:rPr>
                <w:rFonts w:ascii="Arial"/>
                <w:sz w:val="21"/>
              </w:rPr>
            </w:pPr>
          </w:p>
        </w:tc>
      </w:tr>
      <w:tr>
        <w:tblPrEx>
          <w:tblW w:w="9230" w:type="dxa"/>
          <w:tblInd w:w="85" w:type="dxa"/>
          <w:tblLayout w:type="fixed"/>
        </w:tblPrEx>
        <w:trPr>
          <w:trHeight w:val="378"/>
        </w:trPr>
        <w:tc>
          <w:tcPr>
            <w:tcW w:w="4890" w:type="dxa"/>
            <w:vAlign w:val="top"/>
          </w:tcPr>
          <w:p>
            <w:pPr>
              <w:pStyle w:val="TableText"/>
              <w:spacing w:before="95" w:line="219" w:lineRule="auto"/>
              <w:ind w:left="1495"/>
            </w:pPr>
            <w:r>
              <w:rPr>
                <w:spacing w:val="1"/>
              </w:rPr>
              <w:t>公众礼拜场地及法庭</w:t>
            </w:r>
          </w:p>
        </w:tc>
        <w:tc>
          <w:tcPr>
            <w:tcW w:w="4340" w:type="dxa"/>
            <w:vMerge/>
            <w:tcBorders>
              <w:top w:val="nil"/>
              <w:bottom w:val="nil"/>
            </w:tcBorders>
            <w:vAlign w:val="top"/>
          </w:tcPr>
          <w:p>
            <w:pPr>
              <w:rPr>
                <w:rFonts w:ascii="Arial"/>
                <w:sz w:val="21"/>
              </w:rPr>
            </w:pPr>
          </w:p>
        </w:tc>
      </w:tr>
      <w:tr>
        <w:tblPrEx>
          <w:tblW w:w="9230" w:type="dxa"/>
          <w:tblInd w:w="85" w:type="dxa"/>
          <w:tblLayout w:type="fixed"/>
        </w:tblPrEx>
        <w:trPr>
          <w:trHeight w:val="364"/>
        </w:trPr>
        <w:tc>
          <w:tcPr>
            <w:tcW w:w="4890" w:type="dxa"/>
            <w:vAlign w:val="top"/>
          </w:tcPr>
          <w:p>
            <w:pPr>
              <w:pStyle w:val="TableText"/>
              <w:spacing w:before="87" w:line="219" w:lineRule="auto"/>
              <w:ind w:left="335"/>
            </w:pPr>
            <w:r>
              <w:t>医院、诊所、疗养院及养老院、诊病室、病房</w:t>
            </w:r>
          </w:p>
        </w:tc>
        <w:tc>
          <w:tcPr>
            <w:tcW w:w="4340" w:type="dxa"/>
            <w:vMerge/>
            <w:tcBorders>
              <w:top w:val="nil"/>
            </w:tcBorders>
            <w:vAlign w:val="top"/>
          </w:tcPr>
          <w:p>
            <w:pPr>
              <w:rPr>
                <w:rFonts w:ascii="Arial"/>
                <w:sz w:val="21"/>
              </w:rPr>
            </w:pPr>
          </w:p>
        </w:tc>
      </w:tr>
    </w:tbl>
    <w:p>
      <w:pPr>
        <w:pStyle w:val="BodyText"/>
        <w:spacing w:before="252" w:line="261" w:lineRule="auto"/>
        <w:ind w:left="544" w:right="631" w:hanging="429"/>
      </w:pPr>
      <w:r>
        <w:rPr>
          <w:sz w:val="18"/>
          <w:szCs w:val="18"/>
        </w:rPr>
        <w:t>注：</w:t>
      </w:r>
      <w:r>
        <w:rPr>
          <w:spacing w:val="60"/>
          <w:sz w:val="18"/>
          <w:szCs w:val="18"/>
        </w:rPr>
        <w:t xml:space="preserve"> </w:t>
      </w:r>
      <w:r>
        <w:rPr>
          <w:sz w:val="18"/>
          <w:szCs w:val="18"/>
        </w:rPr>
        <w:t>(1)以上标准适用于必须打开窗户通风的用途。  (2)以上标准应视为从外墙以外1</w:t>
      </w:r>
      <w:r>
        <w:rPr>
          <w:spacing w:val="-1"/>
          <w:sz w:val="18"/>
          <w:szCs w:val="18"/>
        </w:rPr>
        <w:t>m</w:t>
      </w:r>
      <w:r>
        <w:rPr>
          <w:spacing w:val="-28"/>
          <w:sz w:val="18"/>
          <w:szCs w:val="18"/>
        </w:rPr>
        <w:t xml:space="preserve"> </w:t>
      </w:r>
      <w:r>
        <w:rPr>
          <w:spacing w:val="-1"/>
          <w:sz w:val="18"/>
          <w:szCs w:val="18"/>
        </w:rPr>
        <w:t>处的最高许可声级。</w:t>
      </w:r>
      <w:r>
        <w:rPr>
          <w:sz w:val="18"/>
          <w:szCs w:val="18"/>
        </w:rPr>
        <w:t xml:space="preserve"> </w:t>
      </w:r>
      <w:r>
        <w:rPr>
          <w:spacing w:val="-2"/>
        </w:rPr>
        <w:t>此外，香港对轻轨噪声标准的规定如下表。</w:t>
      </w:r>
    </w:p>
    <w:p>
      <w:pPr>
        <w:pStyle w:val="BodyText"/>
        <w:spacing w:before="198" w:line="219" w:lineRule="auto"/>
        <w:ind w:left="3138"/>
      </w:pPr>
      <w:r>
        <w:rPr>
          <w:b/>
          <w:bCs/>
          <w:spacing w:val="-1"/>
        </w:rPr>
        <w:t>表4.3香港轻轨的噪声标准/dB(A)</w:t>
      </w:r>
    </w:p>
    <w:tbl>
      <w:tblPr>
        <w:tblStyle w:val="TableNormal1"/>
        <w:tblW w:w="94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132"/>
        <w:gridCol w:w="3126"/>
        <w:gridCol w:w="3142"/>
      </w:tblGrid>
      <w:tr>
        <w:tblPrEx>
          <w:tblW w:w="94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2"/>
        </w:trPr>
        <w:tc>
          <w:tcPr>
            <w:tcW w:w="3132" w:type="dxa"/>
            <w:vAlign w:val="top"/>
          </w:tcPr>
          <w:p>
            <w:pPr>
              <w:pStyle w:val="TableText"/>
              <w:spacing w:before="95" w:line="221" w:lineRule="auto"/>
              <w:ind w:left="1365"/>
              <w:rPr>
                <w:sz w:val="19"/>
                <w:szCs w:val="19"/>
              </w:rPr>
            </w:pPr>
            <w:r>
              <w:rPr>
                <w:spacing w:val="9"/>
                <w:sz w:val="19"/>
                <w:szCs w:val="19"/>
              </w:rPr>
              <w:t>时间</w:t>
            </w:r>
          </w:p>
        </w:tc>
        <w:tc>
          <w:tcPr>
            <w:tcW w:w="3126" w:type="dxa"/>
            <w:vAlign w:val="top"/>
          </w:tcPr>
          <w:p>
            <w:pPr>
              <w:pStyle w:val="TableText"/>
              <w:spacing w:before="93" w:line="220" w:lineRule="auto"/>
              <w:ind w:left="1363"/>
              <w:rPr>
                <w:sz w:val="19"/>
                <w:szCs w:val="19"/>
              </w:rPr>
            </w:pPr>
            <w:r>
              <w:rPr>
                <w:spacing w:val="-3"/>
                <w:sz w:val="19"/>
                <w:szCs w:val="19"/>
              </w:rPr>
              <w:t>现在</w:t>
            </w:r>
          </w:p>
        </w:tc>
        <w:tc>
          <w:tcPr>
            <w:tcW w:w="3142" w:type="dxa"/>
            <w:vAlign w:val="top"/>
          </w:tcPr>
          <w:p>
            <w:pPr>
              <w:pStyle w:val="TableText"/>
              <w:spacing w:before="92" w:line="219" w:lineRule="auto"/>
              <w:ind w:left="1377"/>
              <w:rPr>
                <w:sz w:val="19"/>
                <w:szCs w:val="19"/>
              </w:rPr>
            </w:pPr>
            <w:r>
              <w:rPr>
                <w:spacing w:val="-2"/>
                <w:sz w:val="19"/>
                <w:szCs w:val="19"/>
              </w:rPr>
              <w:t>将来</w:t>
            </w:r>
          </w:p>
        </w:tc>
      </w:tr>
      <w:tr>
        <w:tblPrEx>
          <w:tblW w:w="9400" w:type="dxa"/>
          <w:tblInd w:w="5" w:type="dxa"/>
          <w:tblLayout w:type="fixed"/>
        </w:tblPrEx>
        <w:trPr>
          <w:trHeight w:val="368"/>
        </w:trPr>
        <w:tc>
          <w:tcPr>
            <w:tcW w:w="3132" w:type="dxa"/>
            <w:vAlign w:val="top"/>
          </w:tcPr>
          <w:p>
            <w:pPr>
              <w:pStyle w:val="TableText"/>
              <w:spacing w:before="138" w:line="184" w:lineRule="auto"/>
              <w:ind w:left="1085"/>
              <w:rPr>
                <w:sz w:val="19"/>
                <w:szCs w:val="19"/>
              </w:rPr>
            </w:pPr>
            <w:r>
              <w:rPr>
                <w:spacing w:val="-2"/>
                <w:sz w:val="19"/>
                <w:szCs w:val="19"/>
              </w:rPr>
              <w:t>7:00-19:00</w:t>
            </w:r>
          </w:p>
        </w:tc>
        <w:tc>
          <w:tcPr>
            <w:tcW w:w="3126" w:type="dxa"/>
            <w:vAlign w:val="top"/>
          </w:tcPr>
          <w:p>
            <w:pPr>
              <w:pStyle w:val="TableText"/>
              <w:spacing w:before="140" w:line="182" w:lineRule="auto"/>
              <w:ind w:left="1462"/>
              <w:rPr>
                <w:sz w:val="19"/>
                <w:szCs w:val="19"/>
              </w:rPr>
            </w:pPr>
            <w:r>
              <w:rPr>
                <w:spacing w:val="-3"/>
                <w:sz w:val="19"/>
                <w:szCs w:val="19"/>
              </w:rPr>
              <w:t>75</w:t>
            </w:r>
          </w:p>
        </w:tc>
        <w:tc>
          <w:tcPr>
            <w:tcW w:w="3142" w:type="dxa"/>
            <w:vAlign w:val="top"/>
          </w:tcPr>
          <w:p>
            <w:pPr>
              <w:pStyle w:val="TableText"/>
              <w:spacing w:before="139" w:line="183" w:lineRule="auto"/>
              <w:ind w:left="1467"/>
              <w:rPr>
                <w:sz w:val="19"/>
                <w:szCs w:val="19"/>
              </w:rPr>
            </w:pPr>
            <w:r>
              <w:rPr>
                <w:spacing w:val="-3"/>
                <w:sz w:val="19"/>
                <w:szCs w:val="19"/>
              </w:rPr>
              <w:t>70</w:t>
            </w:r>
          </w:p>
        </w:tc>
      </w:tr>
      <w:tr>
        <w:tblPrEx>
          <w:tblW w:w="9400" w:type="dxa"/>
          <w:tblInd w:w="5" w:type="dxa"/>
          <w:tblLayout w:type="fixed"/>
        </w:tblPrEx>
        <w:trPr>
          <w:trHeight w:val="357"/>
        </w:trPr>
        <w:tc>
          <w:tcPr>
            <w:tcW w:w="3132" w:type="dxa"/>
            <w:vAlign w:val="top"/>
          </w:tcPr>
          <w:p>
            <w:pPr>
              <w:pStyle w:val="TableText"/>
              <w:spacing w:before="140" w:line="184" w:lineRule="auto"/>
              <w:ind w:left="1035"/>
              <w:rPr>
                <w:sz w:val="19"/>
                <w:szCs w:val="19"/>
              </w:rPr>
            </w:pPr>
            <w:r>
              <w:rPr>
                <w:spacing w:val="-2"/>
                <w:sz w:val="19"/>
                <w:szCs w:val="19"/>
              </w:rPr>
              <w:t>19:00-23:00</w:t>
            </w:r>
          </w:p>
        </w:tc>
        <w:tc>
          <w:tcPr>
            <w:tcW w:w="3126" w:type="dxa"/>
            <w:vAlign w:val="top"/>
          </w:tcPr>
          <w:p>
            <w:pPr>
              <w:pStyle w:val="TableText"/>
              <w:spacing w:before="141" w:line="183" w:lineRule="auto"/>
              <w:ind w:left="1462"/>
              <w:rPr>
                <w:sz w:val="19"/>
                <w:szCs w:val="19"/>
              </w:rPr>
            </w:pPr>
            <w:r>
              <w:rPr>
                <w:spacing w:val="-3"/>
                <w:sz w:val="19"/>
                <w:szCs w:val="19"/>
              </w:rPr>
              <w:t>70</w:t>
            </w:r>
          </w:p>
        </w:tc>
        <w:tc>
          <w:tcPr>
            <w:tcW w:w="3142" w:type="dxa"/>
            <w:vAlign w:val="top"/>
          </w:tcPr>
          <w:p>
            <w:pPr>
              <w:pStyle w:val="TableText"/>
              <w:spacing w:before="141" w:line="183" w:lineRule="auto"/>
              <w:ind w:left="1467"/>
              <w:rPr>
                <w:sz w:val="19"/>
                <w:szCs w:val="19"/>
              </w:rPr>
            </w:pPr>
            <w:r>
              <w:rPr>
                <w:spacing w:val="-3"/>
                <w:sz w:val="19"/>
                <w:szCs w:val="19"/>
              </w:rPr>
              <w:t>70</w:t>
            </w:r>
          </w:p>
        </w:tc>
      </w:tr>
      <w:tr>
        <w:tblPrEx>
          <w:tblW w:w="9400" w:type="dxa"/>
          <w:tblInd w:w="5" w:type="dxa"/>
          <w:tblLayout w:type="fixed"/>
        </w:tblPrEx>
        <w:trPr>
          <w:trHeight w:val="373"/>
        </w:trPr>
        <w:tc>
          <w:tcPr>
            <w:tcW w:w="3132" w:type="dxa"/>
            <w:vAlign w:val="top"/>
          </w:tcPr>
          <w:p>
            <w:pPr>
              <w:pStyle w:val="TableText"/>
              <w:spacing w:before="144" w:line="183" w:lineRule="auto"/>
              <w:ind w:left="1085"/>
              <w:rPr>
                <w:sz w:val="19"/>
                <w:szCs w:val="19"/>
              </w:rPr>
            </w:pPr>
            <w:r>
              <w:rPr>
                <w:spacing w:val="-1"/>
                <w:sz w:val="19"/>
                <w:szCs w:val="19"/>
              </w:rPr>
              <w:t>23:00-7:00</w:t>
            </w:r>
          </w:p>
        </w:tc>
        <w:tc>
          <w:tcPr>
            <w:tcW w:w="3126" w:type="dxa"/>
            <w:vAlign w:val="top"/>
          </w:tcPr>
          <w:p>
            <w:pPr>
              <w:pStyle w:val="TableText"/>
              <w:spacing w:before="144" w:line="183" w:lineRule="auto"/>
              <w:ind w:left="1462"/>
              <w:rPr>
                <w:sz w:val="19"/>
                <w:szCs w:val="19"/>
              </w:rPr>
            </w:pPr>
            <w:r>
              <w:rPr>
                <w:spacing w:val="-3"/>
                <w:sz w:val="19"/>
                <w:szCs w:val="19"/>
              </w:rPr>
              <w:t>65</w:t>
            </w:r>
          </w:p>
        </w:tc>
        <w:tc>
          <w:tcPr>
            <w:tcW w:w="3142" w:type="dxa"/>
            <w:vAlign w:val="top"/>
          </w:tcPr>
          <w:p>
            <w:pPr>
              <w:pStyle w:val="TableText"/>
              <w:spacing w:before="144" w:line="183" w:lineRule="auto"/>
              <w:ind w:left="1467"/>
              <w:rPr>
                <w:sz w:val="19"/>
                <w:szCs w:val="19"/>
              </w:rPr>
            </w:pPr>
            <w:r>
              <w:rPr>
                <w:spacing w:val="-3"/>
                <w:sz w:val="19"/>
                <w:szCs w:val="19"/>
              </w:rPr>
              <w:t>60</w:t>
            </w:r>
          </w:p>
        </w:tc>
      </w:tr>
    </w:tbl>
    <w:p>
      <w:pPr>
        <w:pStyle w:val="BodyText"/>
        <w:spacing w:before="236" w:line="214" w:lineRule="auto"/>
        <w:ind w:left="115"/>
        <w:rPr>
          <w:sz w:val="18"/>
          <w:szCs w:val="18"/>
        </w:rPr>
      </w:pPr>
      <w:r>
        <w:rPr>
          <w:spacing w:val="-10"/>
          <w:sz w:val="18"/>
          <w:szCs w:val="18"/>
        </w:rPr>
        <w:t>资料来源：香港环境保护署网站 http:/sc.info.gov.hk/gb/www.epd.gov.hk/ep</w:t>
      </w:r>
      <w:r>
        <w:rPr>
          <w:spacing w:val="-11"/>
          <w:sz w:val="18"/>
          <w:szCs w:val="18"/>
        </w:rPr>
        <w:t>d/</w:t>
      </w:r>
    </w:p>
    <w:p>
      <w:pPr>
        <w:pStyle w:val="BodyText"/>
        <w:spacing w:before="130" w:line="339" w:lineRule="auto"/>
        <w:ind w:left="115" w:right="120" w:firstLine="429"/>
      </w:pPr>
      <w:r>
        <w:rPr>
          <w:spacing w:val="-2"/>
        </w:rPr>
        <w:t>澳门特别行政区轨道交通系统的建设尚在起步阶段，2019年12月10日，澳门的第一条轨道交通线</w:t>
      </w:r>
      <w:r>
        <w:rPr>
          <w:spacing w:val="15"/>
        </w:rPr>
        <w:t xml:space="preserve"> </w:t>
      </w:r>
      <w:r>
        <w:rPr>
          <w:spacing w:val="-2"/>
        </w:rPr>
        <w:t>正式通车，针对轨道噪声并未颁布排放标准，具体情况与香港类似，相关要求主要体现在《噪声影响</w:t>
      </w:r>
      <w:r>
        <w:rPr>
          <w:spacing w:val="4"/>
        </w:rPr>
        <w:t xml:space="preserve"> </w:t>
      </w:r>
      <w:r>
        <w:rPr>
          <w:spacing w:val="-4"/>
        </w:rPr>
        <w:t>评估指引》</w:t>
      </w:r>
      <w:r>
        <w:rPr>
          <w:spacing w:val="95"/>
        </w:rPr>
        <w:t xml:space="preserve"> </w:t>
      </w:r>
      <w:r>
        <w:rPr>
          <w:spacing w:val="-4"/>
        </w:rPr>
        <w:t>(2017年版)、</w:t>
      </w:r>
      <w:r>
        <w:rPr>
          <w:spacing w:val="84"/>
        </w:rPr>
        <w:t xml:space="preserve"> </w:t>
      </w:r>
      <w:r>
        <w:rPr>
          <w:spacing w:val="-4"/>
        </w:rPr>
        <w:t>《声学规定》</w:t>
      </w:r>
      <w:r>
        <w:rPr>
          <w:spacing w:val="53"/>
        </w:rPr>
        <w:t xml:space="preserve"> </w:t>
      </w:r>
      <w:r>
        <w:rPr>
          <w:spacing w:val="-4"/>
        </w:rPr>
        <w:t>(第96/2020号行政长官批示)等规范文件</w:t>
      </w:r>
      <w:r>
        <w:rPr>
          <w:spacing w:val="-5"/>
        </w:rPr>
        <w:t>中。此外根据澳</w:t>
      </w:r>
      <w:r>
        <w:t xml:space="preserve">  </w:t>
      </w:r>
      <w:r>
        <w:rPr>
          <w:spacing w:val="-7"/>
        </w:rPr>
        <w:t>门轻轨系统第一期综合环境评估资料显示，参照香港《噪声管制条例》</w:t>
      </w:r>
      <w:r>
        <w:rPr>
          <w:spacing w:val="78"/>
        </w:rPr>
        <w:t xml:space="preserve"> </w:t>
      </w:r>
      <w:r>
        <w:rPr>
          <w:spacing w:val="-7"/>
        </w:rPr>
        <w:t>《环境影响评估程序的技术备</w:t>
      </w:r>
      <w:r>
        <w:t xml:space="preserve"> </w:t>
      </w:r>
      <w:r>
        <w:t>忘录》,同时考虑可能受到轻轨运行噪声影响的敏感建筑位置及周边环境，对轻轨噪声制定了评估标</w:t>
      </w:r>
    </w:p>
    <w:p>
      <w:pPr>
        <w:pStyle w:val="BodyText"/>
        <w:spacing w:before="1" w:line="219" w:lineRule="auto"/>
        <w:ind w:left="115"/>
      </w:pPr>
      <w:r>
        <w:rPr>
          <w:spacing w:val="1"/>
        </w:rPr>
        <w:t>准，其中对日间及黄昏(7:00-23:00)、深夜(23:00-7:00)两个时段设定了建议限值，如表4.4所示。</w:t>
      </w:r>
    </w:p>
    <w:p>
      <w:pPr>
        <w:spacing w:before="186" w:line="222" w:lineRule="auto"/>
        <w:ind w:left="2918"/>
        <w:rPr>
          <w:rFonts w:ascii="SimHei" w:eastAsia="SimHei" w:hAnsi="SimHei" w:cs="SimHei"/>
          <w:sz w:val="21"/>
          <w:szCs w:val="21"/>
        </w:rPr>
      </w:pPr>
      <w:r>
        <w:rPr>
          <w:rFonts w:ascii="SimHei" w:eastAsia="SimHei" w:hAnsi="SimHei" w:cs="SimHei"/>
          <w:b/>
          <w:bCs/>
          <w:spacing w:val="-1"/>
          <w:sz w:val="21"/>
          <w:szCs w:val="21"/>
        </w:rPr>
        <w:t>表4.4</w:t>
      </w:r>
      <w:r>
        <w:rPr>
          <w:rFonts w:ascii="SimHei" w:eastAsia="SimHei" w:hAnsi="SimHei" w:cs="SimHei"/>
          <w:spacing w:val="-1"/>
          <w:sz w:val="21"/>
          <w:szCs w:val="21"/>
        </w:rPr>
        <w:t xml:space="preserve"> </w:t>
      </w:r>
      <w:r>
        <w:rPr>
          <w:rFonts w:ascii="SimHei" w:eastAsia="SimHei" w:hAnsi="SimHei" w:cs="SimHei"/>
          <w:b/>
          <w:bCs/>
          <w:spacing w:val="-1"/>
          <w:sz w:val="21"/>
          <w:szCs w:val="21"/>
        </w:rPr>
        <w:t>澳门轻轨预计可接受地噪声水平</w:t>
      </w:r>
    </w:p>
    <w:p>
      <w:pPr>
        <w:spacing w:line="18" w:lineRule="exact"/>
        <w:sectPr>
          <w:footerReference w:type="default" r:id="rId23"/>
          <w:pgSz w:w="11910" w:h="16840"/>
          <w:pgMar w:top="1431" w:right="1264" w:bottom="1155" w:left="1234" w:header="0" w:footer="1006" w:gutter="0"/>
          <w:pgNumType w:start="16"/>
          <w:cols w:space="708"/>
        </w:sectPr>
      </w:pPr>
    </w:p>
    <w:tbl>
      <w:tblPr>
        <w:tblStyle w:val="TableNormal2"/>
        <w:tblW w:w="938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30"/>
        <w:gridCol w:w="3077"/>
        <w:gridCol w:w="1673"/>
      </w:tblGrid>
      <w:tr>
        <w:tblPrEx>
          <w:tblW w:w="938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3"/>
        </w:trPr>
        <w:tc>
          <w:tcPr>
            <w:tcW w:w="4630" w:type="dxa"/>
            <w:vAlign w:val="top"/>
          </w:tcPr>
          <w:p>
            <w:pPr>
              <w:pStyle w:val="TableText"/>
              <w:spacing w:before="164" w:line="221" w:lineRule="auto"/>
              <w:ind w:left="1884"/>
            </w:pPr>
            <w:r>
              <w:rPr>
                <w:spacing w:val="2"/>
              </w:rPr>
              <w:t>区段名称</w:t>
            </w:r>
          </w:p>
        </w:tc>
        <w:tc>
          <w:tcPr>
            <w:tcW w:w="3077" w:type="dxa"/>
            <w:vAlign w:val="top"/>
          </w:tcPr>
          <w:p>
            <w:pPr>
              <w:pStyle w:val="TableText"/>
              <w:spacing w:before="33" w:line="215" w:lineRule="auto"/>
              <w:ind w:left="274" w:right="126" w:hanging="159"/>
            </w:pPr>
            <w:r>
              <w:rPr>
                <w:spacing w:val="-1"/>
              </w:rPr>
              <w:t>可接受的噪声等级(日间及黄昏</w:t>
            </w:r>
            <w:r>
              <w:rPr>
                <w:spacing w:val="3"/>
              </w:rPr>
              <w:t xml:space="preserve"> </w:t>
            </w:r>
            <w:r>
              <w:rPr>
                <w:spacing w:val="3"/>
              </w:rPr>
              <w:t>/深夜)*(</w:t>
            </w:r>
            <w:r>
              <w:t>Leg</w:t>
            </w:r>
            <w:r>
              <w:rPr>
                <w:spacing w:val="3"/>
              </w:rPr>
              <w:t>.30</w:t>
            </w:r>
            <w:r>
              <w:t>min</w:t>
            </w:r>
            <w:r>
              <w:rPr>
                <w:spacing w:val="3"/>
              </w:rPr>
              <w:t>,</w:t>
            </w:r>
            <w:r>
              <w:t>dB</w:t>
            </w:r>
            <w:r>
              <w:rPr>
                <w:spacing w:val="3"/>
              </w:rPr>
              <w:t>(A))</w:t>
            </w:r>
          </w:p>
        </w:tc>
        <w:tc>
          <w:tcPr>
            <w:tcW w:w="1673" w:type="dxa"/>
            <w:vAlign w:val="top"/>
          </w:tcPr>
          <w:p>
            <w:pPr>
              <w:pStyle w:val="TableText"/>
              <w:spacing w:before="33" w:line="215" w:lineRule="auto"/>
              <w:ind w:left="38" w:firstLine="59"/>
            </w:pPr>
            <w:r>
              <w:rPr>
                <w:spacing w:val="-2"/>
              </w:rPr>
              <w:t>深夜噪声等级限</w:t>
            </w:r>
            <w:r>
              <w:rPr>
                <w:spacing w:val="1"/>
              </w:rPr>
              <w:t xml:space="preserve">  </w:t>
            </w:r>
            <w:r>
              <w:rPr>
                <w:spacing w:val="6"/>
              </w:rPr>
              <w:t>值*(</w:t>
            </w:r>
            <w:r>
              <w:t>Lmax</w:t>
            </w:r>
            <w:r>
              <w:rPr>
                <w:spacing w:val="6"/>
              </w:rPr>
              <w:t>,</w:t>
            </w:r>
            <w:r>
              <w:t>dB</w:t>
            </w:r>
            <w:r>
              <w:rPr>
                <w:spacing w:val="6"/>
              </w:rPr>
              <w:t>(A))</w:t>
            </w:r>
          </w:p>
        </w:tc>
      </w:tr>
      <w:tr>
        <w:tblPrEx>
          <w:tblW w:w="9380" w:type="dxa"/>
          <w:tblInd w:w="15" w:type="dxa"/>
          <w:tblLayout w:type="fixed"/>
        </w:tblPrEx>
        <w:trPr>
          <w:trHeight w:val="369"/>
        </w:trPr>
        <w:tc>
          <w:tcPr>
            <w:tcW w:w="4630" w:type="dxa"/>
            <w:vAlign w:val="top"/>
          </w:tcPr>
          <w:p>
            <w:pPr>
              <w:pStyle w:val="TableText"/>
              <w:spacing w:before="81" w:line="220" w:lineRule="auto"/>
              <w:ind w:left="1884"/>
            </w:pPr>
            <w:r>
              <w:rPr>
                <w:spacing w:val="4"/>
              </w:rPr>
              <w:t>海洋花园</w:t>
            </w:r>
          </w:p>
        </w:tc>
        <w:tc>
          <w:tcPr>
            <w:tcW w:w="3077" w:type="dxa"/>
            <w:vAlign w:val="top"/>
          </w:tcPr>
          <w:p>
            <w:pPr>
              <w:pStyle w:val="TableText"/>
              <w:spacing w:before="86" w:line="224" w:lineRule="auto"/>
              <w:ind w:left="1265"/>
            </w:pPr>
            <w:r>
              <w:rPr>
                <w:spacing w:val="-3"/>
              </w:rPr>
              <w:t>70/60</w:t>
            </w:r>
          </w:p>
        </w:tc>
        <w:tc>
          <w:tcPr>
            <w:tcW w:w="1673"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8" w:line="183" w:lineRule="auto"/>
              <w:ind w:left="728"/>
            </w:pPr>
            <w:r>
              <w:rPr>
                <w:spacing w:val="-3"/>
              </w:rPr>
              <w:t>85</w:t>
            </w:r>
          </w:p>
        </w:tc>
      </w:tr>
      <w:tr>
        <w:tblPrEx>
          <w:tblW w:w="9380" w:type="dxa"/>
          <w:tblInd w:w="15" w:type="dxa"/>
          <w:tblLayout w:type="fixed"/>
        </w:tblPrEx>
        <w:trPr>
          <w:trHeight w:val="368"/>
        </w:trPr>
        <w:tc>
          <w:tcPr>
            <w:tcW w:w="4630" w:type="dxa"/>
            <w:vAlign w:val="top"/>
          </w:tcPr>
          <w:p>
            <w:pPr>
              <w:pStyle w:val="TableText"/>
              <w:spacing w:before="80" w:line="219" w:lineRule="auto"/>
              <w:ind w:left="1785"/>
            </w:pPr>
            <w:r>
              <w:rPr>
                <w:spacing w:val="-2"/>
              </w:rPr>
              <w:t>澳门赛马会</w:t>
            </w:r>
          </w:p>
        </w:tc>
        <w:tc>
          <w:tcPr>
            <w:tcW w:w="3077" w:type="dxa"/>
            <w:vAlign w:val="top"/>
          </w:tcPr>
          <w:p>
            <w:pPr>
              <w:pStyle w:val="TableText"/>
              <w:spacing w:before="87" w:line="224" w:lineRule="auto"/>
              <w:ind w:left="1265"/>
            </w:pPr>
            <w:r>
              <w:rPr>
                <w:spacing w:val="-3"/>
              </w:rPr>
              <w:t>70/60</w:t>
            </w:r>
          </w:p>
        </w:tc>
        <w:tc>
          <w:tcPr>
            <w:tcW w:w="1673" w:type="dxa"/>
            <w:vMerge/>
            <w:tcBorders>
              <w:top w:val="nil"/>
              <w:bottom w:val="nil"/>
            </w:tcBorders>
            <w:vAlign w:val="top"/>
          </w:tcPr>
          <w:p>
            <w:pPr>
              <w:rPr>
                <w:rFonts w:ascii="Arial"/>
                <w:sz w:val="21"/>
              </w:rPr>
            </w:pPr>
          </w:p>
        </w:tc>
      </w:tr>
      <w:tr>
        <w:tblPrEx>
          <w:tblW w:w="9380" w:type="dxa"/>
          <w:tblInd w:w="15" w:type="dxa"/>
          <w:tblLayout w:type="fixed"/>
        </w:tblPrEx>
        <w:trPr>
          <w:trHeight w:val="369"/>
        </w:trPr>
        <w:tc>
          <w:tcPr>
            <w:tcW w:w="4630" w:type="dxa"/>
            <w:vAlign w:val="top"/>
          </w:tcPr>
          <w:p>
            <w:pPr>
              <w:pStyle w:val="TableText"/>
              <w:spacing w:before="83" w:line="219" w:lineRule="auto"/>
              <w:ind w:left="1785"/>
            </w:pPr>
            <w:r>
              <w:rPr>
                <w:spacing w:val="3"/>
              </w:rPr>
              <w:t>路冰填海区</w:t>
            </w:r>
          </w:p>
        </w:tc>
        <w:tc>
          <w:tcPr>
            <w:tcW w:w="3077" w:type="dxa"/>
            <w:vAlign w:val="top"/>
          </w:tcPr>
          <w:p>
            <w:pPr>
              <w:pStyle w:val="TableText"/>
              <w:spacing w:before="89" w:line="224" w:lineRule="auto"/>
              <w:ind w:left="1265"/>
            </w:pPr>
            <w:r>
              <w:rPr>
                <w:spacing w:val="-3"/>
              </w:rPr>
              <w:t>70/60</w:t>
            </w:r>
          </w:p>
        </w:tc>
        <w:tc>
          <w:tcPr>
            <w:tcW w:w="1673" w:type="dxa"/>
            <w:vMerge/>
            <w:tcBorders>
              <w:top w:val="nil"/>
              <w:bottom w:val="nil"/>
            </w:tcBorders>
            <w:vAlign w:val="top"/>
          </w:tcPr>
          <w:p>
            <w:pPr>
              <w:rPr>
                <w:rFonts w:ascii="Arial"/>
                <w:sz w:val="21"/>
              </w:rPr>
            </w:pPr>
          </w:p>
        </w:tc>
      </w:tr>
      <w:tr>
        <w:tblPrEx>
          <w:tblW w:w="9380" w:type="dxa"/>
          <w:tblInd w:w="15" w:type="dxa"/>
          <w:tblLayout w:type="fixed"/>
        </w:tblPrEx>
        <w:trPr>
          <w:trHeight w:val="369"/>
        </w:trPr>
        <w:tc>
          <w:tcPr>
            <w:tcW w:w="4630" w:type="dxa"/>
            <w:vAlign w:val="top"/>
          </w:tcPr>
          <w:p>
            <w:pPr>
              <w:pStyle w:val="TableText"/>
              <w:spacing w:before="83" w:line="219" w:lineRule="auto"/>
              <w:ind w:left="415"/>
            </w:pPr>
            <w:r>
              <w:rPr>
                <w:spacing w:val="-1"/>
              </w:rPr>
              <w:t>路水生态保护区及澳门东亚运动会体育馆</w:t>
            </w:r>
          </w:p>
        </w:tc>
        <w:tc>
          <w:tcPr>
            <w:tcW w:w="3077" w:type="dxa"/>
            <w:vAlign w:val="top"/>
          </w:tcPr>
          <w:p>
            <w:pPr>
              <w:pStyle w:val="TableText"/>
              <w:spacing w:before="90" w:line="224" w:lineRule="auto"/>
              <w:ind w:left="1265"/>
            </w:pPr>
            <w:r>
              <w:rPr>
                <w:spacing w:val="-2"/>
              </w:rPr>
              <w:t>65/55</w:t>
            </w:r>
          </w:p>
        </w:tc>
        <w:tc>
          <w:tcPr>
            <w:tcW w:w="1673" w:type="dxa"/>
            <w:vMerge/>
            <w:tcBorders>
              <w:top w:val="nil"/>
              <w:bottom w:val="nil"/>
            </w:tcBorders>
            <w:vAlign w:val="top"/>
          </w:tcPr>
          <w:p>
            <w:pPr>
              <w:rPr>
                <w:rFonts w:ascii="Arial"/>
                <w:sz w:val="21"/>
              </w:rPr>
            </w:pPr>
          </w:p>
        </w:tc>
      </w:tr>
      <w:tr>
        <w:tblPrEx>
          <w:tblW w:w="9380" w:type="dxa"/>
          <w:tblInd w:w="15" w:type="dxa"/>
          <w:tblLayout w:type="fixed"/>
        </w:tblPrEx>
        <w:trPr>
          <w:trHeight w:val="368"/>
        </w:trPr>
        <w:tc>
          <w:tcPr>
            <w:tcW w:w="4630" w:type="dxa"/>
            <w:vAlign w:val="top"/>
          </w:tcPr>
          <w:p>
            <w:pPr>
              <w:pStyle w:val="TableText"/>
              <w:spacing w:before="84" w:line="219" w:lineRule="auto"/>
              <w:ind w:left="1675"/>
            </w:pPr>
            <w:r>
              <w:rPr>
                <w:spacing w:val="1"/>
              </w:rPr>
              <w:t>澳门科技大学</w:t>
            </w:r>
          </w:p>
        </w:tc>
        <w:tc>
          <w:tcPr>
            <w:tcW w:w="3077" w:type="dxa"/>
            <w:vAlign w:val="top"/>
          </w:tcPr>
          <w:p>
            <w:pPr>
              <w:pStyle w:val="TableText"/>
              <w:spacing w:before="91" w:line="224" w:lineRule="auto"/>
              <w:ind w:left="1265"/>
            </w:pPr>
            <w:r>
              <w:rPr>
                <w:spacing w:val="-2"/>
              </w:rPr>
              <w:t>65/55</w:t>
            </w:r>
          </w:p>
        </w:tc>
        <w:tc>
          <w:tcPr>
            <w:tcW w:w="1673" w:type="dxa"/>
            <w:vMerge/>
            <w:tcBorders>
              <w:top w:val="nil"/>
              <w:bottom w:val="nil"/>
            </w:tcBorders>
            <w:vAlign w:val="top"/>
          </w:tcPr>
          <w:p>
            <w:pPr>
              <w:rPr>
                <w:rFonts w:ascii="Arial"/>
                <w:sz w:val="21"/>
              </w:rPr>
            </w:pPr>
          </w:p>
        </w:tc>
      </w:tr>
      <w:tr>
        <w:tblPrEx>
          <w:tblW w:w="9380" w:type="dxa"/>
          <w:tblInd w:w="15" w:type="dxa"/>
          <w:tblLayout w:type="fixed"/>
        </w:tblPrEx>
        <w:trPr>
          <w:trHeight w:val="374"/>
        </w:trPr>
        <w:tc>
          <w:tcPr>
            <w:tcW w:w="4630" w:type="dxa"/>
            <w:vAlign w:val="top"/>
          </w:tcPr>
          <w:p>
            <w:pPr>
              <w:pStyle w:val="TableText"/>
              <w:spacing w:before="86" w:line="219" w:lineRule="auto"/>
              <w:ind w:left="1155"/>
            </w:pPr>
            <w:r>
              <w:rPr>
                <w:spacing w:val="1"/>
              </w:rPr>
              <w:t>伟龙马路及澳门国际机场</w:t>
            </w:r>
          </w:p>
        </w:tc>
        <w:tc>
          <w:tcPr>
            <w:tcW w:w="3077" w:type="dxa"/>
            <w:vAlign w:val="top"/>
          </w:tcPr>
          <w:p>
            <w:pPr>
              <w:pStyle w:val="TableText"/>
              <w:spacing w:before="93" w:line="224" w:lineRule="auto"/>
              <w:ind w:left="1265"/>
            </w:pPr>
            <w:r>
              <w:rPr>
                <w:spacing w:val="-3"/>
              </w:rPr>
              <w:t>70/60</w:t>
            </w:r>
          </w:p>
        </w:tc>
        <w:tc>
          <w:tcPr>
            <w:tcW w:w="1673" w:type="dxa"/>
            <w:vMerge/>
            <w:tcBorders>
              <w:top w:val="nil"/>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24"/>
          <w:type w:val="nextPage"/>
          <w:pgSz w:w="11910" w:h="16840"/>
          <w:pgMar w:top="1431" w:right="1264" w:bottom="1155" w:left="1234" w:header="0" w:footer="1006" w:gutter="0"/>
          <w:pgNumType w:start="17"/>
          <w:cols w:space="708"/>
          <w:titlePg w:val="0"/>
        </w:sectPr>
      </w:pPr>
    </w:p>
    <w:p>
      <w:pPr>
        <w:pStyle w:val="BodyText"/>
        <w:spacing w:before="46" w:line="219" w:lineRule="auto"/>
        <w:ind w:left="95"/>
        <w:rPr>
          <w:sz w:val="20"/>
          <w:szCs w:val="20"/>
        </w:rPr>
      </w:pPr>
      <w:r>
        <w:rPr>
          <w:spacing w:val="-20"/>
          <w:sz w:val="20"/>
          <w:szCs w:val="20"/>
        </w:rPr>
        <w:t>注：*“可接受的噪声等级”及“深夜噪声等级”指由轻轨发出的声音，不包括背景噪声。</w:t>
      </w:r>
    </w:p>
    <w:p>
      <w:pPr>
        <w:pStyle w:val="BodyText"/>
        <w:spacing w:before="112" w:line="369" w:lineRule="auto"/>
        <w:ind w:left="95" w:right="124" w:firstLine="439"/>
        <w:jc w:val="both"/>
        <w:rPr>
          <w:sz w:val="20"/>
          <w:szCs w:val="20"/>
        </w:rPr>
      </w:pPr>
      <w:r>
        <w:rPr>
          <w:spacing w:val="8"/>
          <w:sz w:val="20"/>
          <w:szCs w:val="20"/>
        </w:rPr>
        <w:t>在我国台湾地区，制定的《陆上运输系统噪音管制标准》</w:t>
      </w:r>
      <w:r>
        <w:rPr>
          <w:spacing w:val="7"/>
          <w:sz w:val="20"/>
          <w:szCs w:val="20"/>
        </w:rPr>
        <w:t>包括了高速公路、快速道路、铁路以及</w:t>
      </w:r>
      <w:r>
        <w:rPr>
          <w:sz w:val="20"/>
          <w:szCs w:val="20"/>
        </w:rPr>
        <w:t xml:space="preserve"> </w:t>
      </w:r>
      <w:r>
        <w:rPr>
          <w:spacing w:val="13"/>
          <w:sz w:val="20"/>
          <w:szCs w:val="20"/>
        </w:rPr>
        <w:t>城市轨道交通等交通干线噪声要求，时间划分为四段，针对城市轨道交通(大众捷运系统)噪声的要</w:t>
      </w:r>
    </w:p>
    <w:p>
      <w:pPr>
        <w:pStyle w:val="BodyText"/>
        <w:spacing w:line="219" w:lineRule="auto"/>
        <w:ind w:left="95"/>
        <w:rPr>
          <w:sz w:val="20"/>
          <w:szCs w:val="20"/>
        </w:rPr>
      </w:pPr>
      <w:r>
        <w:rPr>
          <w:spacing w:val="7"/>
          <w:sz w:val="20"/>
          <w:szCs w:val="20"/>
        </w:rPr>
        <w:t>求如表4.5所示。同时，此标准对轨道交通噪声的测量方法、步骤及数据计算做出了详细的说明。</w:t>
      </w:r>
    </w:p>
    <w:p>
      <w:pPr>
        <w:pStyle w:val="BodyText"/>
        <w:spacing w:before="178" w:line="221" w:lineRule="auto"/>
        <w:ind w:left="2017"/>
        <w:rPr>
          <w:sz w:val="20"/>
          <w:szCs w:val="20"/>
        </w:rPr>
      </w:pPr>
      <w:r>
        <w:rPr>
          <w:rFonts w:ascii="SimHei" w:eastAsia="SimHei" w:hAnsi="SimHei" w:cs="SimHei"/>
          <w:b/>
          <w:bCs/>
          <w:spacing w:val="5"/>
          <w:sz w:val="20"/>
          <w:szCs w:val="20"/>
        </w:rPr>
        <w:t>表4.5</w:t>
      </w:r>
      <w:r>
        <w:rPr>
          <w:rFonts w:ascii="SimHei" w:eastAsia="SimHei" w:hAnsi="SimHei" w:cs="SimHei"/>
          <w:spacing w:val="5"/>
          <w:sz w:val="20"/>
          <w:szCs w:val="20"/>
        </w:rPr>
        <w:t xml:space="preserve"> </w:t>
      </w:r>
      <w:r>
        <w:rPr>
          <w:rFonts w:ascii="SimHei" w:eastAsia="SimHei" w:hAnsi="SimHei" w:cs="SimHei"/>
          <w:b/>
          <w:bCs/>
          <w:spacing w:val="5"/>
          <w:sz w:val="20"/>
          <w:szCs w:val="20"/>
        </w:rPr>
        <w:t>中国台湾大众捷运系统交通噪音管制标准</w:t>
      </w:r>
      <w:r>
        <w:rPr>
          <w:rFonts w:ascii="SimHei" w:eastAsia="SimHei" w:hAnsi="SimHei" w:cs="SimHei"/>
          <w:spacing w:val="5"/>
          <w:sz w:val="20"/>
          <w:szCs w:val="20"/>
        </w:rPr>
        <w:t xml:space="preserve"> </w:t>
      </w:r>
      <w:r>
        <w:rPr>
          <w:b/>
          <w:bCs/>
          <w:spacing w:val="5"/>
          <w:sz w:val="20"/>
          <w:szCs w:val="20"/>
        </w:rPr>
        <w:t>(</w:t>
      </w:r>
      <w:r>
        <w:rPr>
          <w:b/>
          <w:bCs/>
          <w:sz w:val="20"/>
          <w:szCs w:val="20"/>
        </w:rPr>
        <w:t>dB</w:t>
      </w:r>
      <w:r>
        <w:rPr>
          <w:b/>
          <w:bCs/>
          <w:spacing w:val="5"/>
          <w:sz w:val="20"/>
          <w:szCs w:val="20"/>
        </w:rPr>
        <w:t>(A))</w:t>
      </w:r>
    </w:p>
    <w:p>
      <w:pPr>
        <w:spacing w:line="22" w:lineRule="exact"/>
      </w:pPr>
    </w:p>
    <w:tbl>
      <w:tblPr>
        <w:tblStyle w:val="TableNormal3"/>
        <w:tblW w:w="93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73"/>
        <w:gridCol w:w="1638"/>
        <w:gridCol w:w="1728"/>
        <w:gridCol w:w="1718"/>
        <w:gridCol w:w="2233"/>
      </w:tblGrid>
      <w:tr>
        <w:tblPrEx>
          <w:tblW w:w="93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2"/>
        </w:trPr>
        <w:tc>
          <w:tcPr>
            <w:tcW w:w="2073" w:type="dxa"/>
            <w:vMerge w:val="restart"/>
            <w:tcBorders>
              <w:bottom w:val="nil"/>
              <w:tl2br w:val="single" w:sz="4" w:space="0" w:color="000000"/>
            </w:tcBorders>
            <w:vAlign w:val="top"/>
          </w:tcPr>
          <w:p>
            <w:pPr>
              <w:pStyle w:val="TableText"/>
              <w:spacing w:before="35" w:line="318" w:lineRule="exact"/>
              <w:ind w:left="815"/>
            </w:pPr>
            <w:r>
              <w:rPr>
                <w:spacing w:val="4"/>
                <w:position w:val="7"/>
              </w:rPr>
              <w:t>时段</w:t>
            </w:r>
          </w:p>
          <w:p>
            <w:pPr>
              <w:pStyle w:val="TableText"/>
              <w:spacing w:line="219" w:lineRule="auto"/>
              <w:ind w:left="85"/>
            </w:pPr>
            <w:r>
              <w:rPr>
                <w:spacing w:val="6"/>
              </w:rPr>
              <w:t>管制区</w:t>
            </w:r>
          </w:p>
        </w:tc>
        <w:tc>
          <w:tcPr>
            <w:tcW w:w="5084" w:type="dxa"/>
            <w:gridSpan w:val="3"/>
            <w:vAlign w:val="top"/>
          </w:tcPr>
          <w:p>
            <w:pPr>
              <w:pStyle w:val="TableText"/>
              <w:spacing w:before="40" w:line="216" w:lineRule="auto"/>
              <w:ind w:left="1492"/>
            </w:pPr>
            <w:r>
              <w:t>小时等效声级(Lea,h</w:t>
            </w:r>
          </w:p>
        </w:tc>
        <w:tc>
          <w:tcPr>
            <w:tcW w:w="2233" w:type="dxa"/>
            <w:vMerge w:val="restart"/>
            <w:tcBorders>
              <w:bottom w:val="nil"/>
            </w:tcBorders>
            <w:vAlign w:val="top"/>
          </w:tcPr>
          <w:p>
            <w:pPr>
              <w:pStyle w:val="TableText"/>
              <w:spacing w:before="73" w:line="253" w:lineRule="auto"/>
              <w:ind w:left="378" w:right="420" w:firstLine="99"/>
            </w:pPr>
            <w:r>
              <w:rPr>
                <w:spacing w:val="-2"/>
              </w:rPr>
              <w:t>平均最大音量</w:t>
            </w:r>
            <w:r>
              <w:rPr>
                <w:spacing w:val="3"/>
              </w:rPr>
              <w:t xml:space="preserve"> </w:t>
            </w:r>
            <w:r>
              <w:rPr>
                <w:spacing w:val="-4"/>
              </w:rPr>
              <w:t>(Lmax.mean.Ih)</w:t>
            </w:r>
          </w:p>
        </w:tc>
      </w:tr>
      <w:tr>
        <w:tblPrEx>
          <w:tblW w:w="9390" w:type="dxa"/>
          <w:tblInd w:w="5" w:type="dxa"/>
          <w:tblLayout w:type="fixed"/>
        </w:tblPrEx>
        <w:trPr>
          <w:trHeight w:val="368"/>
        </w:trPr>
        <w:tc>
          <w:tcPr>
            <w:tcW w:w="2073" w:type="dxa"/>
            <w:vMerge/>
            <w:tcBorders>
              <w:top w:val="nil"/>
              <w:tl2br w:val="single" w:sz="4" w:space="0" w:color="000000"/>
            </w:tcBorders>
            <w:vAlign w:val="top"/>
          </w:tcPr>
          <w:p>
            <w:pPr>
              <w:rPr>
                <w:rFonts w:ascii="Arial"/>
                <w:sz w:val="21"/>
              </w:rPr>
            </w:pPr>
          </w:p>
        </w:tc>
        <w:tc>
          <w:tcPr>
            <w:tcW w:w="1638" w:type="dxa"/>
            <w:vAlign w:val="top"/>
          </w:tcPr>
          <w:p>
            <w:pPr>
              <w:pStyle w:val="TableText"/>
              <w:spacing w:before="82" w:line="220" w:lineRule="auto"/>
              <w:ind w:left="492"/>
            </w:pPr>
            <w:r>
              <w:rPr>
                <w:spacing w:val="3"/>
              </w:rPr>
              <w:t>早、晚</w:t>
            </w:r>
          </w:p>
        </w:tc>
        <w:tc>
          <w:tcPr>
            <w:tcW w:w="1728" w:type="dxa"/>
            <w:vAlign w:val="top"/>
          </w:tcPr>
          <w:p>
            <w:pPr>
              <w:pStyle w:val="TableText"/>
              <w:spacing w:before="84" w:line="222" w:lineRule="auto"/>
              <w:ind w:left="644"/>
            </w:pPr>
            <w:r>
              <w:rPr>
                <w:spacing w:val="-23"/>
              </w:rPr>
              <w:t>日</w:t>
            </w:r>
            <w:r>
              <w:rPr>
                <w:spacing w:val="-15"/>
              </w:rPr>
              <w:t xml:space="preserve"> </w:t>
            </w:r>
            <w:r>
              <w:rPr>
                <w:spacing w:val="-23"/>
              </w:rPr>
              <w:t>间</w:t>
            </w:r>
          </w:p>
        </w:tc>
        <w:tc>
          <w:tcPr>
            <w:tcW w:w="1718" w:type="dxa"/>
            <w:vAlign w:val="top"/>
          </w:tcPr>
          <w:p>
            <w:pPr>
              <w:pStyle w:val="TableText"/>
              <w:spacing w:before="81" w:line="219" w:lineRule="auto"/>
              <w:ind w:left="646"/>
            </w:pPr>
            <w:r>
              <w:rPr>
                <w:spacing w:val="10"/>
              </w:rPr>
              <w:t>夜间</w:t>
            </w:r>
          </w:p>
        </w:tc>
        <w:tc>
          <w:tcPr>
            <w:tcW w:w="2233" w:type="dxa"/>
            <w:vMerge/>
            <w:tcBorders>
              <w:top w:val="nil"/>
            </w:tcBorders>
            <w:vAlign w:val="top"/>
          </w:tcPr>
          <w:p>
            <w:pPr>
              <w:rPr>
                <w:rFonts w:ascii="Arial"/>
                <w:sz w:val="21"/>
              </w:rPr>
            </w:pPr>
          </w:p>
        </w:tc>
      </w:tr>
      <w:tr>
        <w:tblPrEx>
          <w:tblW w:w="9390" w:type="dxa"/>
          <w:tblInd w:w="5" w:type="dxa"/>
          <w:tblLayout w:type="fixed"/>
        </w:tblPrEx>
        <w:trPr>
          <w:trHeight w:val="367"/>
        </w:trPr>
        <w:tc>
          <w:tcPr>
            <w:tcW w:w="2073" w:type="dxa"/>
            <w:vAlign w:val="top"/>
          </w:tcPr>
          <w:p>
            <w:pPr>
              <w:pStyle w:val="TableText"/>
              <w:spacing w:before="83" w:line="219" w:lineRule="auto"/>
              <w:ind w:left="295"/>
            </w:pPr>
            <w:r>
              <w:rPr>
                <w:spacing w:val="-2"/>
              </w:rPr>
              <w:t>第一类、第二类</w:t>
            </w:r>
          </w:p>
        </w:tc>
        <w:tc>
          <w:tcPr>
            <w:tcW w:w="1638" w:type="dxa"/>
            <w:vAlign w:val="top"/>
          </w:tcPr>
          <w:p>
            <w:pPr>
              <w:pStyle w:val="TableText"/>
              <w:spacing w:before="137" w:line="183" w:lineRule="auto"/>
              <w:ind w:left="702"/>
            </w:pPr>
            <w:r>
              <w:rPr>
                <w:spacing w:val="-3"/>
              </w:rPr>
              <w:t>65</w:t>
            </w:r>
          </w:p>
        </w:tc>
        <w:tc>
          <w:tcPr>
            <w:tcW w:w="1728" w:type="dxa"/>
            <w:vAlign w:val="top"/>
          </w:tcPr>
          <w:p>
            <w:pPr>
              <w:pStyle w:val="TableText"/>
              <w:spacing w:before="137" w:line="183" w:lineRule="auto"/>
              <w:ind w:left="754"/>
            </w:pPr>
            <w:r>
              <w:rPr>
                <w:spacing w:val="-4"/>
              </w:rPr>
              <w:t>70</w:t>
            </w:r>
          </w:p>
        </w:tc>
        <w:tc>
          <w:tcPr>
            <w:tcW w:w="1718" w:type="dxa"/>
            <w:vAlign w:val="top"/>
          </w:tcPr>
          <w:p>
            <w:pPr>
              <w:pStyle w:val="TableText"/>
              <w:spacing w:before="137" w:line="183" w:lineRule="auto"/>
              <w:ind w:left="746"/>
            </w:pPr>
            <w:r>
              <w:rPr>
                <w:spacing w:val="-3"/>
              </w:rPr>
              <w:t>60</w:t>
            </w:r>
          </w:p>
        </w:tc>
        <w:tc>
          <w:tcPr>
            <w:tcW w:w="2233" w:type="dxa"/>
            <w:vAlign w:val="top"/>
          </w:tcPr>
          <w:p>
            <w:pPr>
              <w:pStyle w:val="TableText"/>
              <w:spacing w:before="137" w:line="183" w:lineRule="auto"/>
              <w:ind w:left="1008"/>
            </w:pPr>
            <w:r>
              <w:rPr>
                <w:spacing w:val="-3"/>
              </w:rPr>
              <w:t>80</w:t>
            </w:r>
          </w:p>
        </w:tc>
      </w:tr>
      <w:tr>
        <w:tblPrEx>
          <w:tblW w:w="9390" w:type="dxa"/>
          <w:tblInd w:w="5" w:type="dxa"/>
          <w:tblLayout w:type="fixed"/>
        </w:tblPrEx>
        <w:trPr>
          <w:trHeight w:val="362"/>
        </w:trPr>
        <w:tc>
          <w:tcPr>
            <w:tcW w:w="2073" w:type="dxa"/>
            <w:vAlign w:val="top"/>
          </w:tcPr>
          <w:p>
            <w:pPr>
              <w:pStyle w:val="TableText"/>
              <w:spacing w:before="86" w:line="219" w:lineRule="auto"/>
              <w:ind w:left="295"/>
            </w:pPr>
            <w:r>
              <w:rPr>
                <w:spacing w:val="-2"/>
              </w:rPr>
              <w:t>第三类、第四类</w:t>
            </w:r>
          </w:p>
        </w:tc>
        <w:tc>
          <w:tcPr>
            <w:tcW w:w="1638" w:type="dxa"/>
            <w:vAlign w:val="top"/>
          </w:tcPr>
          <w:p>
            <w:pPr>
              <w:pStyle w:val="TableText"/>
              <w:spacing w:before="140" w:line="183" w:lineRule="auto"/>
              <w:ind w:left="702"/>
            </w:pPr>
            <w:r>
              <w:rPr>
                <w:spacing w:val="-4"/>
              </w:rPr>
              <w:t>70</w:t>
            </w:r>
          </w:p>
        </w:tc>
        <w:tc>
          <w:tcPr>
            <w:tcW w:w="1728" w:type="dxa"/>
            <w:vAlign w:val="top"/>
          </w:tcPr>
          <w:p>
            <w:pPr>
              <w:pStyle w:val="TableText"/>
              <w:spacing w:before="141" w:line="182" w:lineRule="auto"/>
              <w:ind w:left="754"/>
            </w:pPr>
            <w:r>
              <w:rPr>
                <w:spacing w:val="-4"/>
              </w:rPr>
              <w:t>75</w:t>
            </w:r>
          </w:p>
        </w:tc>
        <w:tc>
          <w:tcPr>
            <w:tcW w:w="1718" w:type="dxa"/>
            <w:vAlign w:val="top"/>
          </w:tcPr>
          <w:p>
            <w:pPr>
              <w:pStyle w:val="TableText"/>
              <w:spacing w:before="140" w:line="183" w:lineRule="auto"/>
              <w:ind w:left="746"/>
            </w:pPr>
            <w:r>
              <w:rPr>
                <w:spacing w:val="-3"/>
              </w:rPr>
              <w:t>65</w:t>
            </w:r>
          </w:p>
        </w:tc>
        <w:tc>
          <w:tcPr>
            <w:tcW w:w="2233" w:type="dxa"/>
            <w:vAlign w:val="top"/>
          </w:tcPr>
          <w:p>
            <w:pPr>
              <w:pStyle w:val="TableText"/>
              <w:spacing w:before="140" w:line="183" w:lineRule="auto"/>
              <w:ind w:left="1008"/>
            </w:pPr>
            <w:r>
              <w:rPr>
                <w:spacing w:val="-3"/>
              </w:rPr>
              <w:t>85</w:t>
            </w:r>
          </w:p>
        </w:tc>
      </w:tr>
    </w:tbl>
    <w:p>
      <w:pPr>
        <w:pStyle w:val="BodyText"/>
        <w:spacing w:before="232" w:line="258" w:lineRule="auto"/>
        <w:ind w:left="95" w:right="138"/>
        <w:jc w:val="both"/>
        <w:rPr>
          <w:sz w:val="20"/>
          <w:szCs w:val="20"/>
        </w:rPr>
      </w:pPr>
      <w:r>
        <w:rPr>
          <w:spacing w:val="-20"/>
          <w:sz w:val="20"/>
          <w:szCs w:val="20"/>
        </w:rPr>
        <w:t>表中：早，指上午五点至上午七点；晚，指晚上八点至晚上十点；日间，指上午七</w:t>
      </w:r>
      <w:r>
        <w:rPr>
          <w:spacing w:val="-21"/>
          <w:sz w:val="20"/>
          <w:szCs w:val="20"/>
        </w:rPr>
        <w:t>点至晚上八点；夜间，指晚上十点</w:t>
      </w:r>
      <w:r>
        <w:rPr>
          <w:sz w:val="20"/>
          <w:szCs w:val="20"/>
        </w:rPr>
        <w:t xml:space="preserve"> </w:t>
      </w:r>
      <w:r>
        <w:rPr>
          <w:spacing w:val="-22"/>
          <w:sz w:val="20"/>
          <w:szCs w:val="20"/>
        </w:rPr>
        <w:t>至翌日上午五点。 一类区是指风景区、保护区；二类区是指文教区、学校用地、行政区、农业区、水岸发展区；三类</w:t>
      </w:r>
      <w:r>
        <w:rPr>
          <w:sz w:val="20"/>
          <w:szCs w:val="20"/>
        </w:rPr>
        <w:t xml:space="preserve"> </w:t>
      </w:r>
      <w:r>
        <w:rPr>
          <w:spacing w:val="-21"/>
          <w:sz w:val="20"/>
          <w:szCs w:val="20"/>
        </w:rPr>
        <w:t>区是指商业区、渔业区；四类区是指工业区、仓库区。</w:t>
      </w:r>
    </w:p>
    <w:p>
      <w:pPr>
        <w:pStyle w:val="BodyText"/>
        <w:spacing w:before="112" w:line="360" w:lineRule="auto"/>
        <w:ind w:left="95" w:right="135" w:firstLine="439"/>
        <w:jc w:val="both"/>
        <w:rPr>
          <w:sz w:val="20"/>
          <w:szCs w:val="20"/>
        </w:rPr>
      </w:pPr>
      <w:r>
        <w:rPr>
          <w:spacing w:val="8"/>
          <w:sz w:val="20"/>
          <w:szCs w:val="20"/>
        </w:rPr>
        <w:t>香港、澳门等地均没有城市轨道交通的排放标准，基</w:t>
      </w:r>
      <w:r>
        <w:rPr>
          <w:spacing w:val="7"/>
          <w:sz w:val="20"/>
          <w:szCs w:val="20"/>
        </w:rPr>
        <w:t>本上针对敏感建筑物制定的可接受标准，类</w:t>
      </w:r>
      <w:r>
        <w:rPr>
          <w:sz w:val="20"/>
          <w:szCs w:val="20"/>
        </w:rPr>
        <w:t xml:space="preserve"> </w:t>
      </w:r>
      <w:r>
        <w:rPr>
          <w:spacing w:val="8"/>
          <w:sz w:val="20"/>
          <w:szCs w:val="20"/>
        </w:rPr>
        <w:t>似于内地的声环境质量标准。测量位置也位于敏感建筑物或其周边，测量量为时间段等效声级和时间</w:t>
      </w:r>
      <w:r>
        <w:rPr>
          <w:spacing w:val="16"/>
          <w:sz w:val="20"/>
          <w:szCs w:val="20"/>
        </w:rPr>
        <w:t xml:space="preserve"> </w:t>
      </w:r>
      <w:r>
        <w:rPr>
          <w:spacing w:val="10"/>
          <w:sz w:val="20"/>
          <w:szCs w:val="20"/>
        </w:rPr>
        <w:t>段最大声级。台湾地区规定了1小时列车的等效声级</w:t>
      </w:r>
      <w:r>
        <w:rPr>
          <w:spacing w:val="9"/>
          <w:sz w:val="20"/>
          <w:szCs w:val="20"/>
        </w:rPr>
        <w:t>和单车最大声级的限值。测点在噪声敏感建筑物</w:t>
      </w:r>
      <w:r>
        <w:rPr>
          <w:sz w:val="20"/>
          <w:szCs w:val="20"/>
        </w:rPr>
        <w:t xml:space="preserve"> </w:t>
      </w:r>
      <w:r>
        <w:rPr>
          <w:spacing w:val="10"/>
          <w:sz w:val="20"/>
          <w:szCs w:val="20"/>
        </w:rPr>
        <w:t>处，但是测量的是轨道交通的贡献量，评价量为</w:t>
      </w:r>
      <w:r>
        <w:rPr>
          <w:spacing w:val="9"/>
          <w:sz w:val="20"/>
          <w:szCs w:val="20"/>
        </w:rPr>
        <w:t>扣除背景噪声后1小时列车通过的等效声级以及单车</w:t>
      </w:r>
    </w:p>
    <w:p>
      <w:pPr>
        <w:pStyle w:val="BodyText"/>
        <w:spacing w:before="1" w:line="219" w:lineRule="auto"/>
        <w:ind w:left="95"/>
        <w:rPr>
          <w:sz w:val="20"/>
          <w:szCs w:val="20"/>
        </w:rPr>
      </w:pPr>
      <w:r>
        <w:rPr>
          <w:sz w:val="20"/>
          <w:szCs w:val="20"/>
        </w:rPr>
        <w:t>最大声级。</w:t>
      </w:r>
    </w:p>
    <w:p>
      <w:pPr>
        <w:spacing w:before="171" w:line="222" w:lineRule="auto"/>
        <w:ind w:left="97"/>
        <w:outlineLvl w:val="6"/>
        <w:rPr>
          <w:rFonts w:ascii="SimHei" w:eastAsia="SimHei" w:hAnsi="SimHei" w:cs="SimHei"/>
          <w:sz w:val="24"/>
          <w:szCs w:val="24"/>
        </w:rPr>
      </w:pPr>
      <w:r>
        <w:rPr>
          <w:rFonts w:ascii="SimHei" w:eastAsia="SimHei" w:hAnsi="SimHei" w:cs="SimHei"/>
          <w:b/>
          <w:bCs/>
          <w:spacing w:val="-19"/>
          <w:sz w:val="24"/>
          <w:szCs w:val="24"/>
        </w:rPr>
        <w:t>4.2</w:t>
      </w:r>
      <w:r>
        <w:rPr>
          <w:rFonts w:ascii="SimHei" w:eastAsia="SimHei" w:hAnsi="SimHei" w:cs="SimHei"/>
          <w:spacing w:val="37"/>
          <w:sz w:val="24"/>
          <w:szCs w:val="24"/>
        </w:rPr>
        <w:t xml:space="preserve"> </w:t>
      </w:r>
      <w:r>
        <w:rPr>
          <w:rFonts w:ascii="SimHei" w:eastAsia="SimHei" w:hAnsi="SimHei" w:cs="SimHei"/>
          <w:b/>
          <w:bCs/>
          <w:spacing w:val="-19"/>
          <w:sz w:val="24"/>
          <w:szCs w:val="24"/>
        </w:rPr>
        <w:t>国外标准</w:t>
      </w:r>
    </w:p>
    <w:p>
      <w:pPr>
        <w:pStyle w:val="BodyText"/>
        <w:spacing w:before="123" w:line="359" w:lineRule="auto"/>
        <w:ind w:left="95" w:right="125" w:firstLine="489"/>
        <w:jc w:val="both"/>
        <w:rPr>
          <w:sz w:val="20"/>
          <w:szCs w:val="20"/>
        </w:rPr>
      </w:pPr>
      <w:r>
        <w:rPr>
          <w:spacing w:val="7"/>
          <w:sz w:val="20"/>
          <w:szCs w:val="20"/>
        </w:rPr>
        <w:t>目前在城市轨道交通噪声控制标准方面，国外多数国家</w:t>
      </w:r>
      <w:r>
        <w:rPr>
          <w:spacing w:val="6"/>
          <w:sz w:val="20"/>
          <w:szCs w:val="20"/>
        </w:rPr>
        <w:t>从20世纪90年代开始对轨道交通噪声标准</w:t>
      </w:r>
      <w:r>
        <w:rPr>
          <w:sz w:val="20"/>
          <w:szCs w:val="20"/>
        </w:rPr>
        <w:t xml:space="preserve"> </w:t>
      </w:r>
      <w:r>
        <w:rPr>
          <w:spacing w:val="8"/>
          <w:sz w:val="20"/>
          <w:szCs w:val="20"/>
        </w:rPr>
        <w:t>做了或多或少的规定，但主要是针对铁路等传统轨道交通形式，对于轻轨、地铁等新型轨道交通规定</w:t>
      </w:r>
      <w:r>
        <w:rPr>
          <w:spacing w:val="9"/>
          <w:sz w:val="20"/>
          <w:szCs w:val="20"/>
        </w:rPr>
        <w:t xml:space="preserve"> </w:t>
      </w:r>
      <w:r>
        <w:rPr>
          <w:spacing w:val="7"/>
          <w:sz w:val="20"/>
          <w:szCs w:val="20"/>
        </w:rPr>
        <w:t>的较少，大部分均没有单独的标准。其中，法定必须执行的噪声排放标准主要针对列车运行通过声级</w:t>
      </w:r>
    </w:p>
    <w:p>
      <w:pPr>
        <w:pStyle w:val="BodyText"/>
        <w:spacing w:line="216" w:lineRule="auto"/>
        <w:ind w:left="95"/>
        <w:rPr>
          <w:sz w:val="20"/>
          <w:szCs w:val="20"/>
        </w:rPr>
      </w:pPr>
      <w:r>
        <w:rPr>
          <w:spacing w:val="6"/>
          <w:sz w:val="20"/>
          <w:szCs w:val="20"/>
        </w:rPr>
        <w:t>限制，评价量大多采用列车通过最大声级L</w:t>
      </w:r>
      <w:r>
        <w:rPr>
          <w:rFonts w:ascii="Calibri" w:eastAsia="Calibri" w:hAnsi="Calibri" w:cs="Calibri"/>
          <w:spacing w:val="6"/>
          <w:sz w:val="20"/>
          <w:szCs w:val="20"/>
        </w:rPr>
        <w:t>₄</w:t>
      </w:r>
      <w:r>
        <w:rPr>
          <w:sz w:val="20"/>
          <w:szCs w:val="20"/>
        </w:rPr>
        <w:t>max</w:t>
      </w:r>
      <w:r>
        <w:rPr>
          <w:spacing w:val="6"/>
          <w:sz w:val="20"/>
          <w:szCs w:val="20"/>
        </w:rPr>
        <w:t>,</w:t>
      </w:r>
      <w:r>
        <w:rPr>
          <w:spacing w:val="-31"/>
          <w:sz w:val="20"/>
          <w:szCs w:val="20"/>
        </w:rPr>
        <w:t xml:space="preserve"> </w:t>
      </w:r>
      <w:r>
        <w:rPr>
          <w:spacing w:val="6"/>
          <w:sz w:val="20"/>
          <w:szCs w:val="20"/>
        </w:rPr>
        <w:t>测点位置统一为距离线路中心线7.5m</w:t>
      </w:r>
      <w:r>
        <w:rPr>
          <w:spacing w:val="-38"/>
          <w:sz w:val="20"/>
          <w:szCs w:val="20"/>
        </w:rPr>
        <w:t xml:space="preserve"> </w:t>
      </w:r>
      <w:r>
        <w:rPr>
          <w:spacing w:val="6"/>
          <w:sz w:val="20"/>
          <w:szCs w:val="20"/>
        </w:rPr>
        <w:t>或25m</w:t>
      </w:r>
      <w:r>
        <w:rPr>
          <w:spacing w:val="-27"/>
          <w:sz w:val="20"/>
          <w:szCs w:val="20"/>
        </w:rPr>
        <w:t xml:space="preserve"> </w:t>
      </w:r>
      <w:r>
        <w:rPr>
          <w:spacing w:val="6"/>
          <w:sz w:val="20"/>
          <w:szCs w:val="20"/>
        </w:rPr>
        <w:t>处；而对</w:t>
      </w:r>
    </w:p>
    <w:p>
      <w:pPr>
        <w:pStyle w:val="BodyText"/>
        <w:spacing w:before="136" w:line="413" w:lineRule="exact"/>
        <w:ind w:left="95"/>
        <w:rPr>
          <w:sz w:val="20"/>
          <w:szCs w:val="20"/>
        </w:rPr>
      </w:pPr>
      <w:r>
        <w:rPr>
          <w:spacing w:val="10"/>
          <w:position w:val="16"/>
          <w:sz w:val="20"/>
          <w:szCs w:val="20"/>
        </w:rPr>
        <w:t>于环境质量标准，大多为非强制执行标准，评价量大多采用昼夜间等效声级</w:t>
      </w:r>
      <w:r>
        <w:rPr>
          <w:rFonts w:ascii="Times New Roman" w:eastAsia="Times New Roman" w:hAnsi="Times New Roman" w:cs="Times New Roman"/>
          <w:position w:val="16"/>
          <w:sz w:val="20"/>
          <w:szCs w:val="20"/>
        </w:rPr>
        <w:t>LAeg</w:t>
      </w:r>
      <w:r>
        <w:rPr>
          <w:rFonts w:ascii="Times New Roman" w:eastAsia="Times New Roman" w:hAnsi="Times New Roman" w:cs="Times New Roman"/>
          <w:spacing w:val="10"/>
          <w:position w:val="16"/>
          <w:sz w:val="20"/>
          <w:szCs w:val="20"/>
        </w:rPr>
        <w:t>,</w:t>
      </w:r>
      <w:r>
        <w:rPr>
          <w:spacing w:val="10"/>
          <w:position w:val="16"/>
          <w:sz w:val="20"/>
          <w:szCs w:val="20"/>
        </w:rPr>
        <w:t>测点位</w:t>
      </w:r>
      <w:r>
        <w:rPr>
          <w:spacing w:val="9"/>
          <w:position w:val="16"/>
          <w:sz w:val="20"/>
          <w:szCs w:val="20"/>
        </w:rPr>
        <w:t>置一般位于</w:t>
      </w:r>
    </w:p>
    <w:p>
      <w:pPr>
        <w:pStyle w:val="BodyText"/>
        <w:spacing w:line="219" w:lineRule="auto"/>
        <w:ind w:left="95"/>
        <w:rPr>
          <w:sz w:val="20"/>
          <w:szCs w:val="20"/>
        </w:rPr>
      </w:pPr>
      <w:r>
        <w:rPr>
          <w:spacing w:val="3"/>
          <w:sz w:val="20"/>
          <w:szCs w:val="20"/>
        </w:rPr>
        <w:t>敏感建筑室外1</w:t>
      </w:r>
      <w:r>
        <w:rPr>
          <w:rFonts w:ascii="Times New Roman" w:eastAsia="Times New Roman" w:hAnsi="Times New Roman" w:cs="Times New Roman"/>
          <w:spacing w:val="3"/>
          <w:sz w:val="20"/>
          <w:szCs w:val="20"/>
        </w:rPr>
        <w:t>m</w:t>
      </w:r>
      <w:r>
        <w:rPr>
          <w:spacing w:val="3"/>
          <w:sz w:val="20"/>
          <w:szCs w:val="20"/>
        </w:rPr>
        <w:t>。</w:t>
      </w:r>
    </w:p>
    <w:p>
      <w:pPr>
        <w:spacing w:before="118" w:line="222" w:lineRule="auto"/>
        <w:ind w:left="97"/>
        <w:outlineLvl w:val="6"/>
        <w:rPr>
          <w:rFonts w:ascii="SimHei" w:eastAsia="SimHei" w:hAnsi="SimHei" w:cs="SimHei"/>
          <w:sz w:val="20"/>
          <w:szCs w:val="20"/>
        </w:rPr>
      </w:pPr>
      <w:r>
        <w:rPr>
          <w:rFonts w:ascii="SimHei" w:eastAsia="SimHei" w:hAnsi="SimHei" w:cs="SimHei"/>
          <w:b/>
          <w:bCs/>
          <w:spacing w:val="-14"/>
          <w:sz w:val="20"/>
          <w:szCs w:val="20"/>
        </w:rPr>
        <w:t>4.2.1</w:t>
      </w:r>
      <w:r>
        <w:rPr>
          <w:rFonts w:ascii="SimHei" w:eastAsia="SimHei" w:hAnsi="SimHei" w:cs="SimHei"/>
          <w:spacing w:val="14"/>
          <w:sz w:val="20"/>
          <w:szCs w:val="20"/>
        </w:rPr>
        <w:t xml:space="preserve"> </w:t>
      </w:r>
      <w:r>
        <w:rPr>
          <w:rFonts w:ascii="SimHei" w:eastAsia="SimHei" w:hAnsi="SimHei" w:cs="SimHei"/>
          <w:b/>
          <w:bCs/>
          <w:spacing w:val="-14"/>
          <w:sz w:val="20"/>
          <w:szCs w:val="20"/>
        </w:rPr>
        <w:t>欧盟</w:t>
      </w:r>
    </w:p>
    <w:p>
      <w:pPr>
        <w:pStyle w:val="BodyText"/>
        <w:spacing w:before="103" w:line="360" w:lineRule="auto"/>
        <w:ind w:left="95" w:right="55" w:firstLine="439"/>
        <w:rPr>
          <w:sz w:val="20"/>
          <w:szCs w:val="20"/>
        </w:rPr>
      </w:pPr>
      <w:r>
        <w:rPr>
          <w:spacing w:val="8"/>
          <w:sz w:val="20"/>
          <w:szCs w:val="20"/>
        </w:rPr>
        <w:t>欧盟针对高噪声产品制定发布了一系列噪声限值指令，同时成立了噪声专家网络及工作组，拟定</w:t>
      </w:r>
      <w:r>
        <w:rPr>
          <w:spacing w:val="6"/>
          <w:sz w:val="20"/>
          <w:szCs w:val="20"/>
        </w:rPr>
        <w:t xml:space="preserve"> </w:t>
      </w:r>
      <w:r>
        <w:rPr>
          <w:spacing w:val="7"/>
          <w:sz w:val="20"/>
          <w:szCs w:val="20"/>
        </w:rPr>
        <w:t>适用于各成员国的噪声政策。2002年发布了环境</w:t>
      </w:r>
      <w:r>
        <w:rPr>
          <w:spacing w:val="6"/>
          <w:sz w:val="20"/>
          <w:szCs w:val="20"/>
        </w:rPr>
        <w:t>噪声指令(2002/49/</w:t>
      </w:r>
      <w:r>
        <w:rPr>
          <w:rFonts w:ascii="Times New Roman" w:eastAsia="Times New Roman" w:hAnsi="Times New Roman" w:cs="Times New Roman"/>
          <w:sz w:val="20"/>
          <w:szCs w:val="20"/>
        </w:rPr>
        <w:t>EC</w:t>
      </w:r>
      <w:r>
        <w:rPr>
          <w:rFonts w:ascii="Times New Roman" w:eastAsia="Times New Roman" w:hAnsi="Times New Roman" w:cs="Times New Roman"/>
          <w:spacing w:val="6"/>
          <w:sz w:val="20"/>
          <w:szCs w:val="20"/>
        </w:rPr>
        <w:t xml:space="preserve">),     </w:t>
      </w:r>
      <w:r>
        <w:rPr>
          <w:spacing w:val="6"/>
          <w:sz w:val="20"/>
          <w:szCs w:val="20"/>
        </w:rPr>
        <w:t>统一了噪声评价量</w:t>
      </w:r>
      <w:r>
        <w:rPr>
          <w:rFonts w:ascii="Times New Roman" w:eastAsia="Times New Roman" w:hAnsi="Times New Roman" w:cs="Times New Roman"/>
          <w:sz w:val="20"/>
          <w:szCs w:val="20"/>
        </w:rPr>
        <w:t>Laen</w:t>
      </w:r>
      <w:r>
        <w:rPr>
          <w:spacing w:val="6"/>
          <w:sz w:val="20"/>
          <w:szCs w:val="20"/>
        </w:rPr>
        <w:t xml:space="preserve">和  </w:t>
      </w:r>
      <w:r>
        <w:rPr>
          <w:rFonts w:ascii="Times New Roman" w:eastAsia="Times New Roman" w:hAnsi="Times New Roman" w:cs="Times New Roman"/>
          <w:sz w:val="20"/>
          <w:szCs w:val="20"/>
        </w:rPr>
        <w:t>Lign</w:t>
      </w:r>
      <w:r>
        <w:rPr>
          <w:rFonts w:ascii="Times New Roman" w:eastAsia="Times New Roman" w:hAnsi="Times New Roman" w:cs="Times New Roman"/>
          <w:spacing w:val="58"/>
          <w:sz w:val="20"/>
          <w:szCs w:val="20"/>
        </w:rPr>
        <w:t xml:space="preserve"> </w:t>
      </w:r>
      <w:r>
        <w:rPr>
          <w:spacing w:val="5"/>
          <w:sz w:val="20"/>
          <w:szCs w:val="20"/>
        </w:rPr>
        <w:t>(测点应为地面1.5</w:t>
      </w:r>
      <w:r>
        <w:rPr>
          <w:rFonts w:ascii="Times New Roman" w:eastAsia="Times New Roman" w:hAnsi="Times New Roman" w:cs="Times New Roman"/>
          <w:spacing w:val="5"/>
          <w:sz w:val="20"/>
          <w:szCs w:val="20"/>
        </w:rPr>
        <w:t>m</w:t>
      </w:r>
      <w:r>
        <w:rPr>
          <w:spacing w:val="5"/>
          <w:sz w:val="20"/>
          <w:szCs w:val="20"/>
        </w:rPr>
        <w:t>以上、预测点为地面以上4.0</w:t>
      </w:r>
      <w:r>
        <w:rPr>
          <w:rFonts w:ascii="Times New Roman" w:eastAsia="Times New Roman" w:hAnsi="Times New Roman" w:cs="Times New Roman"/>
          <w:spacing w:val="5"/>
          <w:sz w:val="20"/>
          <w:szCs w:val="20"/>
        </w:rPr>
        <w:t xml:space="preserve">m±0.2m),     </w:t>
      </w:r>
      <w:r>
        <w:rPr>
          <w:spacing w:val="5"/>
          <w:sz w:val="20"/>
          <w:szCs w:val="20"/>
        </w:rPr>
        <w:t>要求各成员国每五年绘制噪声地图、</w:t>
      </w:r>
      <w:r>
        <w:rPr>
          <w:sz w:val="20"/>
          <w:szCs w:val="20"/>
        </w:rPr>
        <w:t xml:space="preserve"> </w:t>
      </w:r>
      <w:r>
        <w:rPr>
          <w:spacing w:val="8"/>
          <w:sz w:val="20"/>
          <w:szCs w:val="20"/>
        </w:rPr>
        <w:t>制定噪声管理行动计划，主要应包括公路、铁路、机场和居住区，向公众通报噪声暴露水平及影响，</w:t>
      </w:r>
    </w:p>
    <w:p>
      <w:pPr>
        <w:pStyle w:val="BodyText"/>
        <w:spacing w:before="1" w:line="218" w:lineRule="auto"/>
        <w:ind w:left="95"/>
        <w:rPr>
          <w:sz w:val="20"/>
          <w:szCs w:val="20"/>
        </w:rPr>
      </w:pPr>
      <w:r>
        <w:rPr>
          <w:spacing w:val="8"/>
          <w:sz w:val="20"/>
          <w:szCs w:val="20"/>
        </w:rPr>
        <w:t>解决噪声污染问题。但该指令并没有设定具体的噪声限值。</w:t>
      </w:r>
    </w:p>
    <w:p>
      <w:pPr>
        <w:pStyle w:val="BodyText"/>
        <w:spacing w:before="174" w:line="219" w:lineRule="auto"/>
        <w:ind w:left="655"/>
        <w:rPr>
          <w:sz w:val="20"/>
          <w:szCs w:val="20"/>
        </w:rPr>
        <w:sectPr>
          <w:footerReference w:type="default" r:id="rId25"/>
          <w:pgSz w:w="11910" w:h="16840"/>
          <w:pgMar w:top="1431" w:right="1264" w:bottom="1152" w:left="1244" w:header="0" w:footer="993" w:gutter="0"/>
          <w:pgNumType w:start="18"/>
          <w:cols w:space="708"/>
        </w:sectPr>
      </w:pPr>
      <w:r>
        <w:rPr>
          <w:spacing w:val="14"/>
          <w:sz w:val="20"/>
          <w:szCs w:val="20"/>
        </w:rPr>
        <w:t>(1)欧盟轨道车辆噪声排放限值</w:t>
      </w:r>
    </w:p>
    <w:p>
      <w:pPr>
        <w:pStyle w:val="BodyText"/>
        <w:spacing w:before="153" w:line="359" w:lineRule="auto"/>
        <w:ind w:left="95" w:right="127" w:firstLine="439"/>
        <w:rPr>
          <w:sz w:val="20"/>
          <w:szCs w:val="20"/>
        </w:rPr>
      </w:pPr>
      <w:r>
        <w:rPr>
          <w:spacing w:val="8"/>
          <w:sz w:val="20"/>
          <w:szCs w:val="20"/>
        </w:rPr>
        <w:t>为统一各成员国的铁路设备规格，欧盟先后颁布了针对轨道交通系统的理事会指令及针对不同机</w:t>
      </w:r>
      <w:r>
        <w:rPr>
          <w:sz w:val="20"/>
          <w:szCs w:val="20"/>
        </w:rPr>
        <w:t xml:space="preserve"> </w:t>
      </w:r>
      <w:r>
        <w:rPr>
          <w:spacing w:val="8"/>
          <w:sz w:val="20"/>
          <w:szCs w:val="20"/>
        </w:rPr>
        <w:t>车车辆噪声子系统的互通性技术规范，分别规定了轨道交通机车车辆、动车组等的噪声排放限值。欧</w:t>
      </w:r>
      <w:r>
        <w:rPr>
          <w:spacing w:val="5"/>
          <w:sz w:val="20"/>
          <w:szCs w:val="20"/>
        </w:rPr>
        <w:t xml:space="preserve"> </w:t>
      </w:r>
      <w:r>
        <w:rPr>
          <w:spacing w:val="6"/>
          <w:sz w:val="20"/>
          <w:szCs w:val="20"/>
        </w:rPr>
        <w:t>盟噪声互通性</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TSI</w:t>
      </w:r>
      <w:r>
        <w:rPr>
          <w:rFonts w:ascii="Times New Roman" w:eastAsia="Times New Roman" w:hAnsi="Times New Roman" w:cs="Times New Roman"/>
          <w:spacing w:val="6"/>
          <w:sz w:val="20"/>
          <w:szCs w:val="20"/>
        </w:rPr>
        <w:t xml:space="preserve">) </w:t>
      </w:r>
      <w:r>
        <w:rPr>
          <w:spacing w:val="6"/>
          <w:sz w:val="20"/>
          <w:szCs w:val="20"/>
        </w:rPr>
        <w:t>技术规范《委员会决议：跨欧洲常规铁路系统的机车车辆噪声子系统互通性技术规</w:t>
      </w:r>
    </w:p>
    <w:p>
      <w:pPr>
        <w:pStyle w:val="BodyText"/>
        <w:spacing w:line="216" w:lineRule="auto"/>
        <w:ind w:left="95"/>
        <w:rPr>
          <w:sz w:val="20"/>
          <w:szCs w:val="20"/>
        </w:rPr>
      </w:pPr>
      <w:r>
        <w:rPr>
          <w:spacing w:val="7"/>
          <w:sz w:val="20"/>
          <w:szCs w:val="20"/>
        </w:rPr>
        <w:t>范》</w:t>
      </w:r>
      <w:r>
        <w:rPr>
          <w:spacing w:val="57"/>
          <w:sz w:val="20"/>
          <w:szCs w:val="20"/>
        </w:rPr>
        <w:t xml:space="preserve"> </w:t>
      </w:r>
      <w:r>
        <w:rPr>
          <w:spacing w:val="7"/>
          <w:sz w:val="20"/>
          <w:szCs w:val="20"/>
        </w:rPr>
        <w:t>(1304/2014,2019.5.27修订)对轨道交通制订的噪声排放限值包括定置噪声和通过噪声限值。</w:t>
      </w:r>
    </w:p>
    <w:p>
      <w:pPr>
        <w:pStyle w:val="BodyText"/>
        <w:spacing w:before="159" w:line="219" w:lineRule="auto"/>
        <w:ind w:left="95"/>
        <w:rPr>
          <w:sz w:val="20"/>
          <w:szCs w:val="20"/>
        </w:rPr>
      </w:pPr>
      <w:r>
        <w:rPr>
          <w:spacing w:val="3"/>
          <w:sz w:val="20"/>
          <w:szCs w:val="20"/>
        </w:rPr>
        <w:t>定置、起动和通过噪声均在距轨道中心线7.5</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10"/>
          <w:sz w:val="20"/>
          <w:szCs w:val="20"/>
        </w:rPr>
        <w:t xml:space="preserve"> </w:t>
      </w:r>
      <w:r>
        <w:rPr>
          <w:spacing w:val="3"/>
          <w:sz w:val="20"/>
          <w:szCs w:val="20"/>
        </w:rPr>
        <w:t>、高于轨面1.2</w:t>
      </w:r>
      <w:r>
        <w:rPr>
          <w:rFonts w:ascii="Times New Roman" w:eastAsia="Times New Roman" w:hAnsi="Times New Roman" w:cs="Times New Roman"/>
          <w:spacing w:val="3"/>
          <w:sz w:val="20"/>
          <w:szCs w:val="20"/>
        </w:rPr>
        <w:t>m</w:t>
      </w:r>
      <w:r>
        <w:rPr>
          <w:spacing w:val="3"/>
          <w:sz w:val="20"/>
          <w:szCs w:val="20"/>
        </w:rPr>
        <w:t>处测量，测量方法执行</w:t>
      </w:r>
      <w:r>
        <w:rPr>
          <w:sz w:val="20"/>
          <w:szCs w:val="20"/>
        </w:rPr>
        <w:t>ISO</w:t>
      </w:r>
      <w:r>
        <w:rPr>
          <w:spacing w:val="63"/>
          <w:sz w:val="20"/>
          <w:szCs w:val="20"/>
        </w:rPr>
        <w:t xml:space="preserve"> </w:t>
      </w:r>
      <w:r>
        <w:rPr>
          <w:spacing w:val="3"/>
          <w:sz w:val="20"/>
          <w:szCs w:val="20"/>
        </w:rPr>
        <w:t>3095的有关</w:t>
      </w:r>
    </w:p>
    <w:p>
      <w:pPr>
        <w:spacing w:line="219" w:lineRule="auto"/>
        <w:rPr>
          <w:sz w:val="20"/>
          <w:szCs w:val="20"/>
        </w:rPr>
        <w:sectPr>
          <w:footerReference w:type="default" r:id="rId26"/>
          <w:type w:val="nextPage"/>
          <w:pgSz w:w="11910" w:h="16840"/>
          <w:pgMar w:top="1431" w:right="1264" w:bottom="1152" w:left="1244" w:header="0" w:footer="993" w:gutter="0"/>
          <w:pgNumType w:start="19"/>
          <w:cols w:space="708"/>
          <w:titlePg w:val="0"/>
        </w:sectPr>
      </w:pPr>
    </w:p>
    <w:p>
      <w:pPr>
        <w:pStyle w:val="BodyText"/>
        <w:spacing w:before="85" w:line="370" w:lineRule="auto"/>
        <w:ind w:left="75" w:right="97"/>
        <w:jc w:val="both"/>
        <w:rPr>
          <w:sz w:val="20"/>
          <w:szCs w:val="20"/>
        </w:rPr>
      </w:pPr>
      <w:r>
        <w:rPr>
          <w:spacing w:val="11"/>
          <w:sz w:val="20"/>
          <w:szCs w:val="20"/>
        </w:rPr>
        <w:t>规定；通过噪声均按80</w:t>
      </w:r>
      <w:r>
        <w:rPr>
          <w:rFonts w:ascii="Times New Roman" w:eastAsia="Times New Roman" w:hAnsi="Times New Roman" w:cs="Times New Roman"/>
          <w:sz w:val="20"/>
          <w:szCs w:val="20"/>
        </w:rPr>
        <w:t>km</w:t>
      </w:r>
      <w:r>
        <w:rPr>
          <w:rFonts w:ascii="Times New Roman" w:eastAsia="Times New Roman" w:hAnsi="Times New Roman" w:cs="Times New Roman"/>
          <w:spacing w:val="11"/>
          <w:sz w:val="20"/>
          <w:szCs w:val="20"/>
        </w:rPr>
        <w:t>/h</w:t>
      </w:r>
      <w:r>
        <w:rPr>
          <w:spacing w:val="11"/>
          <w:sz w:val="20"/>
          <w:szCs w:val="20"/>
        </w:rPr>
        <w:t>定速运行(或以最大速度运行，换算为80</w:t>
      </w:r>
      <w:r>
        <w:rPr>
          <w:rFonts w:ascii="Times New Roman" w:eastAsia="Times New Roman" w:hAnsi="Times New Roman" w:cs="Times New Roman"/>
          <w:sz w:val="20"/>
          <w:szCs w:val="20"/>
        </w:rPr>
        <w:t>km</w:t>
      </w:r>
      <w:r>
        <w:rPr>
          <w:rFonts w:ascii="Times New Roman" w:eastAsia="Times New Roman" w:hAnsi="Times New Roman" w:cs="Times New Roman"/>
          <w:spacing w:val="11"/>
          <w:sz w:val="20"/>
          <w:szCs w:val="20"/>
        </w:rPr>
        <w:t>/h</w:t>
      </w:r>
      <w:r>
        <w:rPr>
          <w:spacing w:val="11"/>
          <w:sz w:val="20"/>
          <w:szCs w:val="20"/>
        </w:rPr>
        <w:t>噪声值)。由表中可知，同</w:t>
      </w:r>
      <w:r>
        <w:rPr>
          <w:spacing w:val="18"/>
          <w:sz w:val="20"/>
          <w:szCs w:val="20"/>
        </w:rPr>
        <w:t xml:space="preserve"> </w:t>
      </w:r>
      <w:r>
        <w:rPr>
          <w:spacing w:val="8"/>
          <w:sz w:val="20"/>
          <w:szCs w:val="20"/>
        </w:rPr>
        <w:t>样边界条件下，内燃机车噪声限值宽松于电力机车，内燃动车组噪声</w:t>
      </w:r>
      <w:r>
        <w:rPr>
          <w:spacing w:val="7"/>
          <w:sz w:val="20"/>
          <w:szCs w:val="20"/>
        </w:rPr>
        <w:t>限值宽松于电动车组，这和技术</w:t>
      </w:r>
    </w:p>
    <w:p>
      <w:pPr>
        <w:pStyle w:val="BodyText"/>
        <w:spacing w:line="220" w:lineRule="auto"/>
        <w:ind w:left="75"/>
        <w:rPr>
          <w:sz w:val="20"/>
          <w:szCs w:val="20"/>
        </w:rPr>
      </w:pPr>
      <w:r>
        <w:rPr>
          <w:spacing w:val="-2"/>
          <w:sz w:val="20"/>
          <w:szCs w:val="20"/>
        </w:rPr>
        <w:t>可达性有关。</w:t>
      </w:r>
    </w:p>
    <w:p>
      <w:pPr>
        <w:pStyle w:val="BodyText"/>
        <w:spacing w:before="197" w:line="202" w:lineRule="auto"/>
        <w:ind w:left="2488"/>
      </w:pPr>
      <w:r>
        <w:rPr>
          <w:b/>
          <w:bCs/>
          <w:spacing w:val="-3"/>
        </w:rPr>
        <w:t>表4.6AEIF专家组对轨道车辆的噪声排放限值</w:t>
      </w:r>
    </w:p>
    <w:tbl>
      <w:tblPr>
        <w:tblStyle w:val="TableNormal4"/>
        <w:tblW w:w="93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1848"/>
        <w:gridCol w:w="1279"/>
        <w:gridCol w:w="1528"/>
        <w:gridCol w:w="1608"/>
        <w:gridCol w:w="2083"/>
      </w:tblGrid>
      <w:tr>
        <w:tblPrEx>
          <w:tblW w:w="93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2812" w:type="dxa"/>
            <w:gridSpan w:val="2"/>
            <w:vAlign w:val="top"/>
          </w:tcPr>
          <w:p>
            <w:pPr>
              <w:pStyle w:val="TableText"/>
              <w:spacing w:before="113" w:line="219" w:lineRule="auto"/>
              <w:ind w:left="995"/>
              <w:rPr>
                <w:sz w:val="20"/>
                <w:szCs w:val="20"/>
              </w:rPr>
            </w:pPr>
            <w:r>
              <w:rPr>
                <w:spacing w:val="-2"/>
                <w:sz w:val="20"/>
                <w:szCs w:val="20"/>
              </w:rPr>
              <w:t>运行条件</w:t>
            </w:r>
          </w:p>
        </w:tc>
        <w:tc>
          <w:tcPr>
            <w:tcW w:w="2807" w:type="dxa"/>
            <w:gridSpan w:val="2"/>
            <w:vAlign w:val="top"/>
          </w:tcPr>
          <w:p>
            <w:pPr>
              <w:pStyle w:val="TableText"/>
              <w:spacing w:before="113" w:line="219" w:lineRule="auto"/>
              <w:ind w:left="793"/>
              <w:rPr>
                <w:sz w:val="20"/>
                <w:szCs w:val="20"/>
              </w:rPr>
            </w:pPr>
            <w:r>
              <w:rPr>
                <w:spacing w:val="1"/>
                <w:sz w:val="20"/>
                <w:szCs w:val="20"/>
              </w:rPr>
              <w:t>定置噪声限值</w:t>
            </w:r>
          </w:p>
        </w:tc>
        <w:tc>
          <w:tcPr>
            <w:tcW w:w="1608" w:type="dxa"/>
            <w:vAlign w:val="top"/>
          </w:tcPr>
          <w:p>
            <w:pPr>
              <w:pStyle w:val="TableText"/>
              <w:spacing w:before="113" w:line="219" w:lineRule="auto"/>
              <w:ind w:left="196"/>
              <w:rPr>
                <w:sz w:val="20"/>
                <w:szCs w:val="20"/>
              </w:rPr>
            </w:pPr>
            <w:r>
              <w:rPr>
                <w:spacing w:val="-2"/>
                <w:sz w:val="20"/>
                <w:szCs w:val="20"/>
              </w:rPr>
              <w:t>启动噪声限值</w:t>
            </w:r>
          </w:p>
        </w:tc>
        <w:tc>
          <w:tcPr>
            <w:tcW w:w="2083" w:type="dxa"/>
            <w:vAlign w:val="top"/>
          </w:tcPr>
          <w:p>
            <w:pPr>
              <w:pStyle w:val="TableText"/>
              <w:spacing w:before="113" w:line="219" w:lineRule="auto"/>
              <w:ind w:left="238"/>
              <w:rPr>
                <w:sz w:val="20"/>
                <w:szCs w:val="20"/>
              </w:rPr>
            </w:pPr>
            <w:r>
              <w:rPr>
                <w:spacing w:val="-2"/>
                <w:sz w:val="20"/>
                <w:szCs w:val="20"/>
              </w:rPr>
              <w:t>列车运行噪声限值</w:t>
            </w:r>
          </w:p>
        </w:tc>
      </w:tr>
      <w:tr>
        <w:tblPrEx>
          <w:tblW w:w="9310" w:type="dxa"/>
          <w:tblInd w:w="5" w:type="dxa"/>
          <w:tblLayout w:type="fixed"/>
        </w:tblPrEx>
        <w:trPr>
          <w:trHeight w:val="619"/>
        </w:trPr>
        <w:tc>
          <w:tcPr>
            <w:tcW w:w="2812" w:type="dxa"/>
            <w:gridSpan w:val="2"/>
            <w:vAlign w:val="top"/>
          </w:tcPr>
          <w:p>
            <w:pPr>
              <w:pStyle w:val="TableText"/>
              <w:spacing w:before="209" w:line="220" w:lineRule="auto"/>
              <w:ind w:left="895"/>
              <w:rPr>
                <w:sz w:val="20"/>
                <w:szCs w:val="20"/>
              </w:rPr>
            </w:pPr>
            <w:r>
              <w:rPr>
                <w:spacing w:val="7"/>
                <w:sz w:val="20"/>
                <w:szCs w:val="20"/>
              </w:rPr>
              <w:t>指标(单位)</w:t>
            </w:r>
          </w:p>
        </w:tc>
        <w:tc>
          <w:tcPr>
            <w:tcW w:w="1279" w:type="dxa"/>
            <w:vAlign w:val="top"/>
          </w:tcPr>
          <w:p>
            <w:pPr>
              <w:pStyle w:val="TableText"/>
              <w:spacing w:before="113" w:line="289" w:lineRule="exact"/>
              <w:ind w:left="283"/>
              <w:rPr>
                <w:sz w:val="20"/>
                <w:szCs w:val="20"/>
              </w:rPr>
            </w:pPr>
            <w:r>
              <w:rPr>
                <w:spacing w:val="-1"/>
                <w:position w:val="9"/>
                <w:sz w:val="20"/>
                <w:szCs w:val="20"/>
              </w:rPr>
              <w:t>LpAeq,I</w:t>
            </w:r>
          </w:p>
          <w:p>
            <w:pPr>
              <w:pStyle w:val="TableText"/>
              <w:spacing w:line="190" w:lineRule="auto"/>
              <w:ind w:left="283"/>
              <w:rPr>
                <w:sz w:val="20"/>
                <w:szCs w:val="20"/>
              </w:rPr>
            </w:pPr>
            <w:r>
              <w:rPr>
                <w:spacing w:val="-6"/>
                <w:sz w:val="20"/>
                <w:szCs w:val="20"/>
              </w:rPr>
              <w:t>(dB(A))</w:t>
            </w:r>
          </w:p>
        </w:tc>
        <w:tc>
          <w:tcPr>
            <w:tcW w:w="1528" w:type="dxa"/>
            <w:vAlign w:val="top"/>
          </w:tcPr>
          <w:p>
            <w:pPr>
              <w:pStyle w:val="TableText"/>
              <w:spacing w:before="73" w:line="273" w:lineRule="auto"/>
              <w:ind w:left="684" w:right="20" w:hanging="680"/>
              <w:rPr>
                <w:sz w:val="14"/>
                <w:szCs w:val="14"/>
              </w:rPr>
            </w:pPr>
            <w:r>
              <w:rPr>
                <w:spacing w:val="-1"/>
                <w:sz w:val="20"/>
                <w:szCs w:val="20"/>
              </w:rPr>
              <w:t>L'pAeg.r(dB(A))</w:t>
            </w:r>
            <w:r>
              <w:rPr>
                <w:spacing w:val="7"/>
                <w:sz w:val="20"/>
                <w:szCs w:val="20"/>
              </w:rPr>
              <w:t xml:space="preserve"> </w:t>
            </w:r>
            <w:r>
              <w:rPr>
                <w:spacing w:val="-2"/>
                <w:sz w:val="14"/>
                <w:szCs w:val="14"/>
              </w:rPr>
              <w:t>**</w:t>
            </w:r>
          </w:p>
        </w:tc>
        <w:tc>
          <w:tcPr>
            <w:tcW w:w="1608" w:type="dxa"/>
            <w:vAlign w:val="top"/>
          </w:tcPr>
          <w:p>
            <w:pPr>
              <w:pStyle w:val="TableText"/>
              <w:spacing w:before="203" w:line="214" w:lineRule="auto"/>
              <w:ind w:left="96"/>
              <w:rPr>
                <w:sz w:val="20"/>
                <w:szCs w:val="20"/>
              </w:rPr>
            </w:pPr>
            <w:r>
              <w:rPr>
                <w:spacing w:val="-1"/>
                <w:sz w:val="20"/>
                <w:szCs w:val="20"/>
              </w:rPr>
              <w:t>LpAFmax(dB(A))</w:t>
            </w:r>
          </w:p>
        </w:tc>
        <w:tc>
          <w:tcPr>
            <w:tcW w:w="2083" w:type="dxa"/>
            <w:vAlign w:val="top"/>
          </w:tcPr>
          <w:p>
            <w:pPr>
              <w:pStyle w:val="TableText"/>
              <w:spacing w:before="73" w:line="247" w:lineRule="auto"/>
              <w:ind w:left="538" w:right="141" w:hanging="400"/>
              <w:rPr>
                <w:sz w:val="20"/>
                <w:szCs w:val="20"/>
              </w:rPr>
            </w:pPr>
            <w:r>
              <w:rPr>
                <w:spacing w:val="-1"/>
                <w:sz w:val="20"/>
                <w:szCs w:val="20"/>
              </w:rPr>
              <w:t>速度80km/h,LpAeg.T</w:t>
            </w:r>
            <w:r>
              <w:rPr>
                <w:spacing w:val="7"/>
                <w:sz w:val="20"/>
                <w:szCs w:val="20"/>
              </w:rPr>
              <w:t xml:space="preserve"> </w:t>
            </w:r>
            <w:r>
              <w:rPr>
                <w:spacing w:val="-4"/>
                <w:sz w:val="20"/>
                <w:szCs w:val="20"/>
              </w:rPr>
              <w:t>(dB(A))***</w:t>
            </w:r>
          </w:p>
        </w:tc>
      </w:tr>
      <w:tr>
        <w:tblPrEx>
          <w:tblW w:w="9310" w:type="dxa"/>
          <w:tblInd w:w="5" w:type="dxa"/>
          <w:tblLayout w:type="fixed"/>
        </w:tblPrEx>
        <w:trPr>
          <w:trHeight w:val="629"/>
        </w:trPr>
        <w:tc>
          <w:tcPr>
            <w:tcW w:w="964" w:type="dxa"/>
            <w:vMerge w:val="restart"/>
            <w:tcBorders>
              <w:bottom w:val="nil"/>
            </w:tcBorders>
            <w:vAlign w:val="top"/>
          </w:tcPr>
          <w:p>
            <w:pPr>
              <w:spacing w:line="323" w:lineRule="auto"/>
              <w:rPr>
                <w:rFonts w:ascii="Arial"/>
                <w:sz w:val="21"/>
              </w:rPr>
            </w:pPr>
          </w:p>
          <w:p>
            <w:pPr>
              <w:pStyle w:val="TableText"/>
              <w:spacing w:before="65" w:line="309" w:lineRule="exact"/>
              <w:ind w:left="275"/>
              <w:rPr>
                <w:sz w:val="20"/>
                <w:szCs w:val="20"/>
              </w:rPr>
            </w:pPr>
            <w:r>
              <w:rPr>
                <w:spacing w:val="14"/>
                <w:position w:val="8"/>
                <w:sz w:val="20"/>
                <w:szCs w:val="20"/>
              </w:rPr>
              <w:t>电力</w:t>
            </w:r>
          </w:p>
          <w:p>
            <w:pPr>
              <w:pStyle w:val="TableText"/>
              <w:spacing w:line="218" w:lineRule="auto"/>
              <w:ind w:left="275"/>
              <w:rPr>
                <w:sz w:val="20"/>
                <w:szCs w:val="20"/>
              </w:rPr>
            </w:pPr>
            <w:r>
              <w:rPr>
                <w:spacing w:val="-2"/>
                <w:sz w:val="20"/>
                <w:szCs w:val="20"/>
              </w:rPr>
              <w:t>机车</w:t>
            </w:r>
          </w:p>
        </w:tc>
        <w:tc>
          <w:tcPr>
            <w:tcW w:w="1848" w:type="dxa"/>
            <w:vAlign w:val="top"/>
          </w:tcPr>
          <w:p>
            <w:pPr>
              <w:pStyle w:val="TableText"/>
              <w:spacing w:before="79" w:line="340" w:lineRule="exact"/>
              <w:ind w:left="511"/>
              <w:rPr>
                <w:sz w:val="20"/>
                <w:szCs w:val="20"/>
              </w:rPr>
            </w:pPr>
            <w:r>
              <w:rPr>
                <w:spacing w:val="4"/>
                <w:position w:val="10"/>
                <w:sz w:val="20"/>
                <w:szCs w:val="20"/>
              </w:rPr>
              <w:t>总牵引力</w:t>
            </w:r>
          </w:p>
          <w:p>
            <w:pPr>
              <w:pStyle w:val="TableText"/>
              <w:spacing w:line="184" w:lineRule="auto"/>
              <w:ind w:left="511"/>
              <w:rPr>
                <w:sz w:val="20"/>
                <w:szCs w:val="20"/>
              </w:rPr>
            </w:pPr>
            <w:r>
              <w:rPr>
                <w:spacing w:val="-1"/>
                <w:sz w:val="20"/>
                <w:szCs w:val="20"/>
              </w:rPr>
              <w:t>P&lt;4500kW</w:t>
            </w:r>
          </w:p>
        </w:tc>
        <w:tc>
          <w:tcPr>
            <w:tcW w:w="1279" w:type="dxa"/>
            <w:vMerge w:val="restart"/>
            <w:tcBorders>
              <w:bottom w:val="nil"/>
            </w:tcBorders>
            <w:vAlign w:val="top"/>
          </w:tcPr>
          <w:p>
            <w:pPr>
              <w:spacing w:line="261" w:lineRule="auto"/>
              <w:rPr>
                <w:rFonts w:ascii="Arial"/>
                <w:sz w:val="21"/>
              </w:rPr>
            </w:pPr>
          </w:p>
          <w:p>
            <w:pPr>
              <w:spacing w:line="262" w:lineRule="auto"/>
              <w:rPr>
                <w:rFonts w:ascii="Arial"/>
                <w:sz w:val="21"/>
              </w:rPr>
            </w:pPr>
          </w:p>
          <w:p>
            <w:pPr>
              <w:pStyle w:val="TableText"/>
              <w:spacing w:before="65" w:line="183" w:lineRule="auto"/>
              <w:ind w:left="533"/>
              <w:rPr>
                <w:sz w:val="20"/>
                <w:szCs w:val="20"/>
              </w:rPr>
            </w:pPr>
            <w:r>
              <w:rPr>
                <w:spacing w:val="-4"/>
                <w:sz w:val="20"/>
                <w:szCs w:val="20"/>
              </w:rPr>
              <w:t>70</w:t>
            </w:r>
          </w:p>
        </w:tc>
        <w:tc>
          <w:tcPr>
            <w:tcW w:w="1528" w:type="dxa"/>
            <w:vMerge w:val="restart"/>
            <w:tcBorders>
              <w:bottom w:val="nil"/>
            </w:tcBorders>
            <w:vAlign w:val="top"/>
          </w:tcPr>
          <w:p>
            <w:pPr>
              <w:spacing w:line="262" w:lineRule="auto"/>
              <w:rPr>
                <w:rFonts w:ascii="Arial"/>
                <w:sz w:val="21"/>
              </w:rPr>
            </w:pPr>
          </w:p>
          <w:p>
            <w:pPr>
              <w:spacing w:line="262" w:lineRule="auto"/>
              <w:rPr>
                <w:rFonts w:ascii="Arial"/>
                <w:sz w:val="21"/>
              </w:rPr>
            </w:pPr>
          </w:p>
          <w:p>
            <w:pPr>
              <w:pStyle w:val="TableText"/>
              <w:spacing w:before="65" w:line="182" w:lineRule="auto"/>
              <w:ind w:left="654"/>
              <w:rPr>
                <w:sz w:val="20"/>
                <w:szCs w:val="20"/>
              </w:rPr>
            </w:pPr>
            <w:r>
              <w:rPr>
                <w:spacing w:val="-4"/>
                <w:sz w:val="20"/>
                <w:szCs w:val="20"/>
              </w:rPr>
              <w:t>75</w:t>
            </w:r>
          </w:p>
        </w:tc>
        <w:tc>
          <w:tcPr>
            <w:tcW w:w="1608" w:type="dxa"/>
            <w:vAlign w:val="top"/>
          </w:tcPr>
          <w:p>
            <w:pPr>
              <w:pStyle w:val="TableText"/>
              <w:spacing w:before="270" w:line="184" w:lineRule="auto"/>
              <w:ind w:left="696"/>
              <w:rPr>
                <w:sz w:val="20"/>
                <w:szCs w:val="20"/>
              </w:rPr>
            </w:pPr>
            <w:r>
              <w:rPr>
                <w:spacing w:val="-3"/>
                <w:sz w:val="20"/>
                <w:szCs w:val="20"/>
              </w:rPr>
              <w:t>81</w:t>
            </w:r>
          </w:p>
        </w:tc>
        <w:tc>
          <w:tcPr>
            <w:tcW w:w="2083" w:type="dxa"/>
            <w:vMerge w:val="restart"/>
            <w:tcBorders>
              <w:bottom w:val="nil"/>
            </w:tcBorders>
            <w:vAlign w:val="top"/>
          </w:tcPr>
          <w:p>
            <w:pPr>
              <w:spacing w:line="261" w:lineRule="auto"/>
              <w:rPr>
                <w:rFonts w:ascii="Arial"/>
                <w:sz w:val="21"/>
              </w:rPr>
            </w:pPr>
          </w:p>
          <w:p>
            <w:pPr>
              <w:spacing w:line="262" w:lineRule="auto"/>
              <w:rPr>
                <w:rFonts w:ascii="Arial"/>
                <w:sz w:val="21"/>
              </w:rPr>
            </w:pPr>
          </w:p>
          <w:p>
            <w:pPr>
              <w:pStyle w:val="TableText"/>
              <w:spacing w:before="65" w:line="183" w:lineRule="auto"/>
              <w:ind w:left="938"/>
              <w:rPr>
                <w:sz w:val="20"/>
                <w:szCs w:val="20"/>
              </w:rPr>
            </w:pPr>
            <w:r>
              <w:rPr>
                <w:spacing w:val="-3"/>
                <w:sz w:val="20"/>
                <w:szCs w:val="20"/>
              </w:rPr>
              <w:t>84</w:t>
            </w:r>
          </w:p>
        </w:tc>
      </w:tr>
      <w:tr>
        <w:tblPrEx>
          <w:tblW w:w="9310" w:type="dxa"/>
          <w:tblInd w:w="5" w:type="dxa"/>
          <w:tblLayout w:type="fixed"/>
        </w:tblPrEx>
        <w:trPr>
          <w:trHeight w:val="629"/>
        </w:trPr>
        <w:tc>
          <w:tcPr>
            <w:tcW w:w="964" w:type="dxa"/>
            <w:vMerge/>
            <w:tcBorders>
              <w:top w:val="nil"/>
            </w:tcBorders>
            <w:vAlign w:val="top"/>
          </w:tcPr>
          <w:p>
            <w:pPr>
              <w:rPr>
                <w:rFonts w:ascii="Arial"/>
                <w:sz w:val="21"/>
              </w:rPr>
            </w:pPr>
          </w:p>
        </w:tc>
        <w:tc>
          <w:tcPr>
            <w:tcW w:w="1848" w:type="dxa"/>
            <w:vAlign w:val="top"/>
          </w:tcPr>
          <w:p>
            <w:pPr>
              <w:pStyle w:val="TableText"/>
              <w:spacing w:before="70" w:line="349" w:lineRule="exact"/>
              <w:ind w:left="511"/>
              <w:rPr>
                <w:sz w:val="20"/>
                <w:szCs w:val="20"/>
              </w:rPr>
            </w:pPr>
            <w:r>
              <w:rPr>
                <w:spacing w:val="4"/>
                <w:position w:val="11"/>
                <w:sz w:val="20"/>
                <w:szCs w:val="20"/>
              </w:rPr>
              <w:t>总牵引力</w:t>
            </w:r>
          </w:p>
          <w:p>
            <w:pPr>
              <w:pStyle w:val="TableText"/>
              <w:spacing w:before="1" w:line="183" w:lineRule="auto"/>
              <w:ind w:left="461"/>
              <w:rPr>
                <w:sz w:val="20"/>
                <w:szCs w:val="20"/>
              </w:rPr>
            </w:pPr>
            <w:r>
              <w:rPr>
                <w:spacing w:val="-1"/>
                <w:sz w:val="20"/>
                <w:szCs w:val="20"/>
              </w:rPr>
              <w:t>P≥4500kW</w:t>
            </w:r>
          </w:p>
        </w:tc>
        <w:tc>
          <w:tcPr>
            <w:tcW w:w="1279" w:type="dxa"/>
            <w:vMerge/>
            <w:tcBorders>
              <w:top w:val="nil"/>
            </w:tcBorders>
            <w:vAlign w:val="top"/>
          </w:tcPr>
          <w:p>
            <w:pPr>
              <w:rPr>
                <w:rFonts w:ascii="Arial"/>
                <w:sz w:val="21"/>
              </w:rPr>
            </w:pPr>
          </w:p>
        </w:tc>
        <w:tc>
          <w:tcPr>
            <w:tcW w:w="1528" w:type="dxa"/>
            <w:vMerge/>
            <w:tcBorders>
              <w:top w:val="nil"/>
            </w:tcBorders>
            <w:vAlign w:val="top"/>
          </w:tcPr>
          <w:p>
            <w:pPr>
              <w:rPr>
                <w:rFonts w:ascii="Arial"/>
                <w:sz w:val="21"/>
              </w:rPr>
            </w:pPr>
          </w:p>
        </w:tc>
        <w:tc>
          <w:tcPr>
            <w:tcW w:w="1608" w:type="dxa"/>
            <w:vAlign w:val="top"/>
          </w:tcPr>
          <w:p>
            <w:pPr>
              <w:pStyle w:val="TableText"/>
              <w:spacing w:before="272" w:line="183" w:lineRule="auto"/>
              <w:ind w:left="696"/>
              <w:rPr>
                <w:sz w:val="20"/>
                <w:szCs w:val="20"/>
              </w:rPr>
            </w:pPr>
            <w:r>
              <w:rPr>
                <w:spacing w:val="-3"/>
                <w:sz w:val="20"/>
                <w:szCs w:val="20"/>
              </w:rPr>
              <w:t>84</w:t>
            </w:r>
          </w:p>
        </w:tc>
        <w:tc>
          <w:tcPr>
            <w:tcW w:w="2083" w:type="dxa"/>
            <w:vMerge/>
            <w:tcBorders>
              <w:top w:val="nil"/>
            </w:tcBorders>
            <w:vAlign w:val="top"/>
          </w:tcPr>
          <w:p>
            <w:pPr>
              <w:rPr>
                <w:rFonts w:ascii="Arial"/>
                <w:sz w:val="21"/>
              </w:rPr>
            </w:pPr>
          </w:p>
        </w:tc>
      </w:tr>
      <w:tr>
        <w:tblPrEx>
          <w:tblW w:w="9310" w:type="dxa"/>
          <w:tblInd w:w="5" w:type="dxa"/>
          <w:tblLayout w:type="fixed"/>
        </w:tblPrEx>
        <w:trPr>
          <w:trHeight w:val="609"/>
        </w:trPr>
        <w:tc>
          <w:tcPr>
            <w:tcW w:w="964" w:type="dxa"/>
            <w:vMerge w:val="restart"/>
            <w:tcBorders>
              <w:bottom w:val="nil"/>
            </w:tcBorders>
            <w:vAlign w:val="top"/>
          </w:tcPr>
          <w:p>
            <w:pPr>
              <w:spacing w:line="315" w:lineRule="auto"/>
              <w:rPr>
                <w:rFonts w:ascii="Arial"/>
                <w:sz w:val="21"/>
              </w:rPr>
            </w:pPr>
          </w:p>
          <w:p>
            <w:pPr>
              <w:pStyle w:val="TableText"/>
              <w:spacing w:before="65" w:line="319" w:lineRule="exact"/>
              <w:ind w:left="275"/>
              <w:rPr>
                <w:sz w:val="20"/>
                <w:szCs w:val="20"/>
              </w:rPr>
            </w:pPr>
            <w:r>
              <w:rPr>
                <w:spacing w:val="3"/>
                <w:position w:val="8"/>
                <w:sz w:val="20"/>
                <w:szCs w:val="20"/>
              </w:rPr>
              <w:t>内燃</w:t>
            </w:r>
          </w:p>
          <w:p>
            <w:pPr>
              <w:pStyle w:val="TableText"/>
              <w:spacing w:line="218" w:lineRule="auto"/>
              <w:ind w:left="275"/>
              <w:rPr>
                <w:sz w:val="20"/>
                <w:szCs w:val="20"/>
              </w:rPr>
            </w:pPr>
            <w:r>
              <w:rPr>
                <w:spacing w:val="-2"/>
                <w:sz w:val="20"/>
                <w:szCs w:val="20"/>
              </w:rPr>
              <w:t>机车</w:t>
            </w:r>
          </w:p>
        </w:tc>
        <w:tc>
          <w:tcPr>
            <w:tcW w:w="1848" w:type="dxa"/>
            <w:vAlign w:val="top"/>
          </w:tcPr>
          <w:p>
            <w:pPr>
              <w:pStyle w:val="TableText"/>
              <w:spacing w:before="72" w:line="243" w:lineRule="auto"/>
              <w:ind w:left="460" w:right="117" w:hanging="350"/>
              <w:rPr>
                <w:sz w:val="20"/>
                <w:szCs w:val="20"/>
              </w:rPr>
            </w:pPr>
            <w:r>
              <w:rPr>
                <w:spacing w:val="1"/>
                <w:sz w:val="20"/>
                <w:szCs w:val="20"/>
              </w:rPr>
              <w:t>发动机输出轴功率</w:t>
            </w:r>
            <w:r>
              <w:rPr>
                <w:sz w:val="20"/>
                <w:szCs w:val="20"/>
              </w:rPr>
              <w:t xml:space="preserve"> </w:t>
            </w:r>
            <w:r>
              <w:rPr>
                <w:spacing w:val="-1"/>
                <w:sz w:val="20"/>
                <w:szCs w:val="20"/>
              </w:rPr>
              <w:t>P&lt;2000 kW</w:t>
            </w:r>
          </w:p>
        </w:tc>
        <w:tc>
          <w:tcPr>
            <w:tcW w:w="1279" w:type="dxa"/>
            <w:vMerge w:val="restart"/>
            <w:tcBorders>
              <w:bottom w:val="nil"/>
            </w:tcBorders>
            <w:vAlign w:val="top"/>
          </w:tcPr>
          <w:p>
            <w:pPr>
              <w:spacing w:line="257" w:lineRule="auto"/>
              <w:rPr>
                <w:rFonts w:ascii="Arial"/>
                <w:sz w:val="21"/>
              </w:rPr>
            </w:pPr>
          </w:p>
          <w:p>
            <w:pPr>
              <w:spacing w:line="257" w:lineRule="auto"/>
              <w:rPr>
                <w:rFonts w:ascii="Arial"/>
                <w:sz w:val="21"/>
              </w:rPr>
            </w:pPr>
          </w:p>
          <w:p>
            <w:pPr>
              <w:pStyle w:val="TableText"/>
              <w:spacing w:before="65" w:line="184" w:lineRule="auto"/>
              <w:ind w:left="533"/>
              <w:rPr>
                <w:sz w:val="20"/>
                <w:szCs w:val="20"/>
              </w:rPr>
            </w:pPr>
            <w:r>
              <w:rPr>
                <w:spacing w:val="-4"/>
                <w:sz w:val="20"/>
                <w:szCs w:val="20"/>
              </w:rPr>
              <w:t>71</w:t>
            </w:r>
          </w:p>
        </w:tc>
        <w:tc>
          <w:tcPr>
            <w:tcW w:w="1528" w:type="dxa"/>
            <w:vMerge w:val="restart"/>
            <w:tcBorders>
              <w:bottom w:val="nil"/>
            </w:tcBorders>
            <w:vAlign w:val="top"/>
          </w:tcPr>
          <w:p>
            <w:pPr>
              <w:spacing w:line="257" w:lineRule="auto"/>
              <w:rPr>
                <w:rFonts w:ascii="Arial"/>
                <w:sz w:val="21"/>
              </w:rPr>
            </w:pPr>
          </w:p>
          <w:p>
            <w:pPr>
              <w:spacing w:line="258" w:lineRule="auto"/>
              <w:rPr>
                <w:rFonts w:ascii="Arial"/>
                <w:sz w:val="21"/>
              </w:rPr>
            </w:pPr>
          </w:p>
          <w:p>
            <w:pPr>
              <w:pStyle w:val="TableText"/>
              <w:spacing w:before="65" w:line="183" w:lineRule="auto"/>
              <w:ind w:left="654"/>
              <w:rPr>
                <w:sz w:val="20"/>
                <w:szCs w:val="20"/>
              </w:rPr>
            </w:pPr>
            <w:r>
              <w:rPr>
                <w:spacing w:val="-4"/>
                <w:sz w:val="20"/>
                <w:szCs w:val="20"/>
              </w:rPr>
              <w:t>78</w:t>
            </w:r>
          </w:p>
        </w:tc>
        <w:tc>
          <w:tcPr>
            <w:tcW w:w="1608" w:type="dxa"/>
            <w:vAlign w:val="top"/>
          </w:tcPr>
          <w:p>
            <w:pPr>
              <w:pStyle w:val="TableText"/>
              <w:spacing w:before="263" w:line="183" w:lineRule="auto"/>
              <w:ind w:left="696"/>
              <w:rPr>
                <w:sz w:val="20"/>
                <w:szCs w:val="20"/>
              </w:rPr>
            </w:pPr>
            <w:r>
              <w:rPr>
                <w:spacing w:val="-3"/>
                <w:sz w:val="20"/>
                <w:szCs w:val="20"/>
              </w:rPr>
              <w:t>85</w:t>
            </w:r>
          </w:p>
        </w:tc>
        <w:tc>
          <w:tcPr>
            <w:tcW w:w="2083" w:type="dxa"/>
            <w:vMerge w:val="restart"/>
            <w:tcBorders>
              <w:bottom w:val="nil"/>
            </w:tcBorders>
            <w:vAlign w:val="top"/>
          </w:tcPr>
          <w:p>
            <w:pPr>
              <w:spacing w:line="257" w:lineRule="auto"/>
              <w:rPr>
                <w:rFonts w:ascii="Arial"/>
                <w:sz w:val="21"/>
              </w:rPr>
            </w:pPr>
          </w:p>
          <w:p>
            <w:pPr>
              <w:spacing w:line="258" w:lineRule="auto"/>
              <w:rPr>
                <w:rFonts w:ascii="Arial"/>
                <w:sz w:val="21"/>
              </w:rPr>
            </w:pPr>
          </w:p>
          <w:p>
            <w:pPr>
              <w:pStyle w:val="TableText"/>
              <w:spacing w:before="65" w:line="183" w:lineRule="auto"/>
              <w:ind w:left="938"/>
              <w:rPr>
                <w:sz w:val="20"/>
                <w:szCs w:val="20"/>
              </w:rPr>
            </w:pPr>
            <w:r>
              <w:rPr>
                <w:spacing w:val="-3"/>
                <w:sz w:val="20"/>
                <w:szCs w:val="20"/>
              </w:rPr>
              <w:t>85</w:t>
            </w:r>
          </w:p>
        </w:tc>
      </w:tr>
      <w:tr>
        <w:tblPrEx>
          <w:tblW w:w="9310" w:type="dxa"/>
          <w:tblInd w:w="5" w:type="dxa"/>
          <w:tblLayout w:type="fixed"/>
        </w:tblPrEx>
        <w:trPr>
          <w:trHeight w:val="629"/>
        </w:trPr>
        <w:tc>
          <w:tcPr>
            <w:tcW w:w="964" w:type="dxa"/>
            <w:vMerge/>
            <w:tcBorders>
              <w:top w:val="nil"/>
            </w:tcBorders>
            <w:vAlign w:val="top"/>
          </w:tcPr>
          <w:p>
            <w:pPr>
              <w:rPr>
                <w:rFonts w:ascii="Arial"/>
                <w:sz w:val="21"/>
              </w:rPr>
            </w:pPr>
          </w:p>
        </w:tc>
        <w:tc>
          <w:tcPr>
            <w:tcW w:w="1848" w:type="dxa"/>
            <w:vAlign w:val="top"/>
          </w:tcPr>
          <w:p>
            <w:pPr>
              <w:pStyle w:val="TableText"/>
              <w:spacing w:before="62" w:line="257" w:lineRule="auto"/>
              <w:ind w:left="460" w:right="117" w:hanging="350"/>
              <w:rPr>
                <w:sz w:val="20"/>
                <w:szCs w:val="20"/>
              </w:rPr>
            </w:pPr>
            <w:r>
              <w:rPr>
                <w:spacing w:val="1"/>
                <w:sz w:val="20"/>
                <w:szCs w:val="20"/>
              </w:rPr>
              <w:t>发动机输出轴功率</w:t>
            </w:r>
            <w:r>
              <w:rPr>
                <w:sz w:val="20"/>
                <w:szCs w:val="20"/>
              </w:rPr>
              <w:t xml:space="preserve"> </w:t>
            </w:r>
            <w:r>
              <w:rPr>
                <w:spacing w:val="-1"/>
                <w:sz w:val="20"/>
                <w:szCs w:val="20"/>
              </w:rPr>
              <w:t>P≥2000kW</w:t>
            </w:r>
          </w:p>
        </w:tc>
        <w:tc>
          <w:tcPr>
            <w:tcW w:w="1279" w:type="dxa"/>
            <w:vMerge/>
            <w:tcBorders>
              <w:top w:val="nil"/>
            </w:tcBorders>
            <w:vAlign w:val="top"/>
          </w:tcPr>
          <w:p>
            <w:pPr>
              <w:rPr>
                <w:rFonts w:ascii="Arial"/>
                <w:sz w:val="21"/>
              </w:rPr>
            </w:pPr>
          </w:p>
        </w:tc>
        <w:tc>
          <w:tcPr>
            <w:tcW w:w="1528" w:type="dxa"/>
            <w:vMerge/>
            <w:tcBorders>
              <w:top w:val="nil"/>
            </w:tcBorders>
            <w:vAlign w:val="top"/>
          </w:tcPr>
          <w:p>
            <w:pPr>
              <w:rPr>
                <w:rFonts w:ascii="Arial"/>
                <w:sz w:val="21"/>
              </w:rPr>
            </w:pPr>
          </w:p>
        </w:tc>
        <w:tc>
          <w:tcPr>
            <w:tcW w:w="1608" w:type="dxa"/>
            <w:vAlign w:val="top"/>
          </w:tcPr>
          <w:p>
            <w:pPr>
              <w:pStyle w:val="TableText"/>
              <w:spacing w:before="274" w:line="183" w:lineRule="auto"/>
              <w:ind w:left="696"/>
              <w:rPr>
                <w:sz w:val="20"/>
                <w:szCs w:val="20"/>
              </w:rPr>
            </w:pPr>
            <w:r>
              <w:rPr>
                <w:spacing w:val="-3"/>
                <w:sz w:val="20"/>
                <w:szCs w:val="20"/>
              </w:rPr>
              <w:t>87</w:t>
            </w:r>
          </w:p>
        </w:tc>
        <w:tc>
          <w:tcPr>
            <w:tcW w:w="2083" w:type="dxa"/>
            <w:vMerge/>
            <w:tcBorders>
              <w:top w:val="nil"/>
            </w:tcBorders>
            <w:vAlign w:val="top"/>
          </w:tcPr>
          <w:p>
            <w:pPr>
              <w:rPr>
                <w:rFonts w:ascii="Arial"/>
                <w:sz w:val="21"/>
              </w:rPr>
            </w:pPr>
          </w:p>
        </w:tc>
      </w:tr>
      <w:tr>
        <w:tblPrEx>
          <w:tblW w:w="9310" w:type="dxa"/>
          <w:tblInd w:w="5" w:type="dxa"/>
          <w:tblLayout w:type="fixed"/>
        </w:tblPrEx>
        <w:trPr>
          <w:trHeight w:val="419"/>
        </w:trPr>
        <w:tc>
          <w:tcPr>
            <w:tcW w:w="964" w:type="dxa"/>
            <w:vMerge w:val="restart"/>
            <w:tcBorders>
              <w:bottom w:val="nil"/>
            </w:tcBorders>
            <w:vAlign w:val="top"/>
          </w:tcPr>
          <w:p>
            <w:pPr>
              <w:pStyle w:val="TableText"/>
              <w:spacing w:before="184" w:line="310" w:lineRule="exact"/>
              <w:ind w:left="275"/>
              <w:rPr>
                <w:sz w:val="20"/>
                <w:szCs w:val="20"/>
              </w:rPr>
            </w:pPr>
            <w:r>
              <w:rPr>
                <w:spacing w:val="7"/>
                <w:position w:val="8"/>
                <w:sz w:val="20"/>
                <w:szCs w:val="20"/>
              </w:rPr>
              <w:t>电动</w:t>
            </w:r>
          </w:p>
          <w:p>
            <w:pPr>
              <w:pStyle w:val="TableText"/>
              <w:spacing w:line="219" w:lineRule="auto"/>
              <w:ind w:left="275"/>
              <w:rPr>
                <w:sz w:val="20"/>
                <w:szCs w:val="20"/>
              </w:rPr>
            </w:pPr>
            <w:r>
              <w:rPr>
                <w:spacing w:val="-3"/>
                <w:sz w:val="20"/>
                <w:szCs w:val="20"/>
              </w:rPr>
              <w:t>车组</w:t>
            </w:r>
          </w:p>
        </w:tc>
        <w:tc>
          <w:tcPr>
            <w:tcW w:w="1848" w:type="dxa"/>
            <w:vAlign w:val="top"/>
          </w:tcPr>
          <w:p>
            <w:pPr>
              <w:pStyle w:val="TableText"/>
              <w:spacing w:before="114" w:line="219" w:lineRule="auto"/>
              <w:ind w:left="110"/>
              <w:rPr>
                <w:sz w:val="20"/>
                <w:szCs w:val="20"/>
              </w:rPr>
            </w:pPr>
            <w:r>
              <w:rPr>
                <w:spacing w:val="-1"/>
                <w:sz w:val="20"/>
                <w:szCs w:val="20"/>
              </w:rPr>
              <w:t>最高时速&lt;250km/h</w:t>
            </w:r>
          </w:p>
        </w:tc>
        <w:tc>
          <w:tcPr>
            <w:tcW w:w="1279" w:type="dxa"/>
            <w:vMerge w:val="restart"/>
            <w:tcBorders>
              <w:bottom w:val="nil"/>
            </w:tcBorders>
            <w:vAlign w:val="top"/>
          </w:tcPr>
          <w:p>
            <w:pPr>
              <w:spacing w:line="318" w:lineRule="auto"/>
              <w:rPr>
                <w:rFonts w:ascii="Arial"/>
                <w:sz w:val="21"/>
              </w:rPr>
            </w:pPr>
          </w:p>
          <w:p>
            <w:pPr>
              <w:pStyle w:val="TableText"/>
              <w:spacing w:before="65" w:line="183" w:lineRule="auto"/>
              <w:ind w:left="533"/>
              <w:rPr>
                <w:sz w:val="20"/>
                <w:szCs w:val="20"/>
              </w:rPr>
            </w:pPr>
            <w:r>
              <w:rPr>
                <w:spacing w:val="-3"/>
                <w:sz w:val="20"/>
                <w:szCs w:val="20"/>
              </w:rPr>
              <w:t>65</w:t>
            </w:r>
          </w:p>
        </w:tc>
        <w:tc>
          <w:tcPr>
            <w:tcW w:w="1528" w:type="dxa"/>
            <w:vMerge w:val="restart"/>
            <w:tcBorders>
              <w:bottom w:val="nil"/>
            </w:tcBorders>
            <w:vAlign w:val="top"/>
          </w:tcPr>
          <w:p>
            <w:pPr>
              <w:spacing w:line="318" w:lineRule="auto"/>
              <w:rPr>
                <w:rFonts w:ascii="Arial"/>
                <w:sz w:val="21"/>
              </w:rPr>
            </w:pPr>
          </w:p>
          <w:p>
            <w:pPr>
              <w:pStyle w:val="TableText"/>
              <w:spacing w:before="65" w:line="183" w:lineRule="auto"/>
              <w:ind w:left="654"/>
              <w:rPr>
                <w:sz w:val="20"/>
                <w:szCs w:val="20"/>
              </w:rPr>
            </w:pPr>
            <w:r>
              <w:rPr>
                <w:spacing w:val="-3"/>
                <w:sz w:val="20"/>
                <w:szCs w:val="20"/>
              </w:rPr>
              <w:t>68</w:t>
            </w:r>
          </w:p>
        </w:tc>
        <w:tc>
          <w:tcPr>
            <w:tcW w:w="1608" w:type="dxa"/>
            <w:vAlign w:val="top"/>
          </w:tcPr>
          <w:p>
            <w:pPr>
              <w:pStyle w:val="TableText"/>
              <w:spacing w:before="165" w:line="183" w:lineRule="auto"/>
              <w:ind w:left="696"/>
              <w:rPr>
                <w:sz w:val="20"/>
                <w:szCs w:val="20"/>
              </w:rPr>
            </w:pPr>
            <w:r>
              <w:rPr>
                <w:spacing w:val="-3"/>
                <w:sz w:val="20"/>
                <w:szCs w:val="20"/>
              </w:rPr>
              <w:t>80</w:t>
            </w:r>
          </w:p>
        </w:tc>
        <w:tc>
          <w:tcPr>
            <w:tcW w:w="2083" w:type="dxa"/>
            <w:vMerge w:val="restart"/>
            <w:tcBorders>
              <w:bottom w:val="nil"/>
            </w:tcBorders>
            <w:vAlign w:val="top"/>
          </w:tcPr>
          <w:p>
            <w:pPr>
              <w:spacing w:line="318" w:lineRule="auto"/>
              <w:rPr>
                <w:rFonts w:ascii="Arial"/>
                <w:sz w:val="21"/>
              </w:rPr>
            </w:pPr>
          </w:p>
          <w:p>
            <w:pPr>
              <w:pStyle w:val="TableText"/>
              <w:spacing w:before="65" w:line="183" w:lineRule="auto"/>
              <w:ind w:left="938"/>
              <w:rPr>
                <w:sz w:val="20"/>
                <w:szCs w:val="20"/>
              </w:rPr>
            </w:pPr>
            <w:r>
              <w:rPr>
                <w:spacing w:val="-3"/>
                <w:sz w:val="20"/>
                <w:szCs w:val="20"/>
              </w:rPr>
              <w:t>80</w:t>
            </w:r>
          </w:p>
        </w:tc>
      </w:tr>
      <w:tr>
        <w:tblPrEx>
          <w:tblW w:w="9310" w:type="dxa"/>
          <w:tblInd w:w="5" w:type="dxa"/>
          <w:tblLayout w:type="fixed"/>
        </w:tblPrEx>
        <w:trPr>
          <w:trHeight w:val="419"/>
        </w:trPr>
        <w:tc>
          <w:tcPr>
            <w:tcW w:w="964" w:type="dxa"/>
            <w:vMerge/>
            <w:tcBorders>
              <w:top w:val="nil"/>
            </w:tcBorders>
            <w:vAlign w:val="top"/>
          </w:tcPr>
          <w:p>
            <w:pPr>
              <w:rPr>
                <w:rFonts w:ascii="Arial"/>
                <w:sz w:val="21"/>
              </w:rPr>
            </w:pPr>
          </w:p>
        </w:tc>
        <w:tc>
          <w:tcPr>
            <w:tcW w:w="1848" w:type="dxa"/>
            <w:vAlign w:val="top"/>
          </w:tcPr>
          <w:p>
            <w:pPr>
              <w:pStyle w:val="TableText"/>
              <w:spacing w:before="115" w:line="219" w:lineRule="auto"/>
              <w:ind w:left="110"/>
              <w:rPr>
                <w:sz w:val="20"/>
                <w:szCs w:val="20"/>
              </w:rPr>
            </w:pPr>
            <w:r>
              <w:rPr>
                <w:spacing w:val="-1"/>
                <w:sz w:val="20"/>
                <w:szCs w:val="20"/>
              </w:rPr>
              <w:t>最高时速&gt;250km/h</w:t>
            </w:r>
          </w:p>
        </w:tc>
        <w:tc>
          <w:tcPr>
            <w:tcW w:w="1279" w:type="dxa"/>
            <w:vMerge/>
            <w:tcBorders>
              <w:top w:val="nil"/>
            </w:tcBorders>
            <w:vAlign w:val="top"/>
          </w:tcPr>
          <w:p>
            <w:pPr>
              <w:rPr>
                <w:rFonts w:ascii="Arial"/>
                <w:sz w:val="21"/>
              </w:rPr>
            </w:pPr>
          </w:p>
        </w:tc>
        <w:tc>
          <w:tcPr>
            <w:tcW w:w="1528" w:type="dxa"/>
            <w:vMerge/>
            <w:tcBorders>
              <w:top w:val="nil"/>
            </w:tcBorders>
            <w:vAlign w:val="top"/>
          </w:tcPr>
          <w:p>
            <w:pPr>
              <w:rPr>
                <w:rFonts w:ascii="Arial"/>
                <w:sz w:val="21"/>
              </w:rPr>
            </w:pPr>
          </w:p>
        </w:tc>
        <w:tc>
          <w:tcPr>
            <w:tcW w:w="1608" w:type="dxa"/>
            <w:vAlign w:val="top"/>
          </w:tcPr>
          <w:p>
            <w:pPr>
              <w:pStyle w:val="TableText"/>
              <w:spacing w:before="166" w:line="183" w:lineRule="auto"/>
              <w:ind w:left="696"/>
              <w:rPr>
                <w:sz w:val="20"/>
                <w:szCs w:val="20"/>
              </w:rPr>
            </w:pPr>
            <w:r>
              <w:rPr>
                <w:spacing w:val="-3"/>
                <w:sz w:val="20"/>
                <w:szCs w:val="20"/>
              </w:rPr>
              <w:t>83</w:t>
            </w:r>
          </w:p>
        </w:tc>
        <w:tc>
          <w:tcPr>
            <w:tcW w:w="2083" w:type="dxa"/>
            <w:vMerge/>
            <w:tcBorders>
              <w:top w:val="nil"/>
            </w:tcBorders>
            <w:vAlign w:val="top"/>
          </w:tcPr>
          <w:p>
            <w:pPr>
              <w:rPr>
                <w:rFonts w:ascii="Arial"/>
                <w:sz w:val="21"/>
              </w:rPr>
            </w:pPr>
          </w:p>
        </w:tc>
      </w:tr>
      <w:tr>
        <w:tblPrEx>
          <w:tblW w:w="9310" w:type="dxa"/>
          <w:tblInd w:w="5" w:type="dxa"/>
          <w:tblLayout w:type="fixed"/>
        </w:tblPrEx>
        <w:trPr>
          <w:trHeight w:val="629"/>
        </w:trPr>
        <w:tc>
          <w:tcPr>
            <w:tcW w:w="964" w:type="dxa"/>
            <w:vMerge w:val="restart"/>
            <w:tcBorders>
              <w:bottom w:val="nil"/>
            </w:tcBorders>
            <w:vAlign w:val="top"/>
          </w:tcPr>
          <w:p>
            <w:pPr>
              <w:spacing w:line="309" w:lineRule="auto"/>
              <w:rPr>
                <w:rFonts w:ascii="Arial"/>
                <w:sz w:val="21"/>
              </w:rPr>
            </w:pPr>
          </w:p>
          <w:p>
            <w:pPr>
              <w:pStyle w:val="TableText"/>
              <w:spacing w:before="65" w:line="219" w:lineRule="auto"/>
              <w:ind w:left="175"/>
              <w:rPr>
                <w:sz w:val="20"/>
                <w:szCs w:val="20"/>
              </w:rPr>
            </w:pPr>
            <w:r>
              <w:rPr>
                <w:spacing w:val="4"/>
                <w:sz w:val="20"/>
                <w:szCs w:val="20"/>
              </w:rPr>
              <w:t>内燃动</w:t>
            </w:r>
          </w:p>
          <w:p>
            <w:pPr>
              <w:pStyle w:val="TableText"/>
              <w:spacing w:before="82" w:line="219" w:lineRule="auto"/>
              <w:ind w:left="275"/>
              <w:rPr>
                <w:sz w:val="20"/>
                <w:szCs w:val="20"/>
              </w:rPr>
            </w:pPr>
            <w:r>
              <w:rPr>
                <w:spacing w:val="-3"/>
                <w:sz w:val="20"/>
                <w:szCs w:val="20"/>
              </w:rPr>
              <w:t>车组</w:t>
            </w:r>
          </w:p>
        </w:tc>
        <w:tc>
          <w:tcPr>
            <w:tcW w:w="1848" w:type="dxa"/>
            <w:vAlign w:val="top"/>
          </w:tcPr>
          <w:p>
            <w:pPr>
              <w:pStyle w:val="TableText"/>
              <w:spacing w:before="65" w:line="247" w:lineRule="auto"/>
              <w:ind w:left="160" w:right="117" w:hanging="50"/>
              <w:rPr>
                <w:sz w:val="20"/>
                <w:szCs w:val="20"/>
              </w:rPr>
            </w:pPr>
            <w:r>
              <w:rPr>
                <w:spacing w:val="1"/>
                <w:sz w:val="20"/>
                <w:szCs w:val="20"/>
              </w:rPr>
              <w:t>发动机输出轴功率</w:t>
            </w:r>
            <w:r>
              <w:rPr>
                <w:sz w:val="20"/>
                <w:szCs w:val="20"/>
              </w:rPr>
              <w:t xml:space="preserve"> </w:t>
            </w:r>
            <w:r>
              <w:rPr>
                <w:spacing w:val="-1"/>
                <w:sz w:val="20"/>
                <w:szCs w:val="20"/>
              </w:rPr>
              <w:t>p&lt;560 kW/engine</w:t>
            </w:r>
          </w:p>
        </w:tc>
        <w:tc>
          <w:tcPr>
            <w:tcW w:w="1279" w:type="dxa"/>
            <w:vMerge w:val="restart"/>
            <w:tcBorders>
              <w:bottom w:val="nil"/>
            </w:tcBorders>
            <w:vAlign w:val="top"/>
          </w:tcPr>
          <w:p>
            <w:pPr>
              <w:spacing w:line="254" w:lineRule="auto"/>
              <w:rPr>
                <w:rFonts w:ascii="Arial"/>
                <w:sz w:val="21"/>
              </w:rPr>
            </w:pPr>
          </w:p>
          <w:p>
            <w:pPr>
              <w:spacing w:line="255" w:lineRule="auto"/>
              <w:rPr>
                <w:rFonts w:ascii="Arial"/>
                <w:sz w:val="21"/>
              </w:rPr>
            </w:pPr>
          </w:p>
          <w:p>
            <w:pPr>
              <w:pStyle w:val="TableText"/>
              <w:spacing w:before="65" w:line="183" w:lineRule="auto"/>
              <w:ind w:left="533"/>
              <w:rPr>
                <w:sz w:val="20"/>
                <w:szCs w:val="20"/>
              </w:rPr>
            </w:pPr>
            <w:r>
              <w:rPr>
                <w:spacing w:val="-4"/>
                <w:sz w:val="20"/>
                <w:szCs w:val="20"/>
              </w:rPr>
              <w:t>72</w:t>
            </w:r>
          </w:p>
        </w:tc>
        <w:tc>
          <w:tcPr>
            <w:tcW w:w="1528" w:type="dxa"/>
            <w:vMerge w:val="restart"/>
            <w:tcBorders>
              <w:bottom w:val="nil"/>
            </w:tcBorders>
            <w:vAlign w:val="top"/>
          </w:tcPr>
          <w:p>
            <w:pPr>
              <w:spacing w:line="254" w:lineRule="auto"/>
              <w:rPr>
                <w:rFonts w:ascii="Arial"/>
                <w:sz w:val="21"/>
              </w:rPr>
            </w:pPr>
          </w:p>
          <w:p>
            <w:pPr>
              <w:spacing w:line="255" w:lineRule="auto"/>
              <w:rPr>
                <w:rFonts w:ascii="Arial"/>
                <w:sz w:val="21"/>
              </w:rPr>
            </w:pPr>
          </w:p>
          <w:p>
            <w:pPr>
              <w:pStyle w:val="TableText"/>
              <w:spacing w:before="65" w:line="183" w:lineRule="auto"/>
              <w:ind w:left="654"/>
              <w:rPr>
                <w:sz w:val="20"/>
                <w:szCs w:val="20"/>
              </w:rPr>
            </w:pPr>
            <w:r>
              <w:rPr>
                <w:spacing w:val="-4"/>
                <w:sz w:val="20"/>
                <w:szCs w:val="20"/>
              </w:rPr>
              <w:t>76</w:t>
            </w:r>
          </w:p>
        </w:tc>
        <w:tc>
          <w:tcPr>
            <w:tcW w:w="1608" w:type="dxa"/>
            <w:vAlign w:val="top"/>
          </w:tcPr>
          <w:p>
            <w:pPr>
              <w:pStyle w:val="TableText"/>
              <w:spacing w:before="277" w:line="183" w:lineRule="auto"/>
              <w:ind w:left="696"/>
              <w:rPr>
                <w:sz w:val="20"/>
                <w:szCs w:val="20"/>
              </w:rPr>
            </w:pPr>
            <w:r>
              <w:rPr>
                <w:spacing w:val="-3"/>
                <w:sz w:val="20"/>
                <w:szCs w:val="20"/>
              </w:rPr>
              <w:t>82</w:t>
            </w:r>
          </w:p>
        </w:tc>
        <w:tc>
          <w:tcPr>
            <w:tcW w:w="2083" w:type="dxa"/>
            <w:vMerge w:val="restart"/>
            <w:tcBorders>
              <w:bottom w:val="nil"/>
            </w:tcBorders>
            <w:vAlign w:val="top"/>
          </w:tcPr>
          <w:p>
            <w:pPr>
              <w:spacing w:line="254" w:lineRule="auto"/>
              <w:rPr>
                <w:rFonts w:ascii="Arial"/>
                <w:sz w:val="21"/>
              </w:rPr>
            </w:pPr>
          </w:p>
          <w:p>
            <w:pPr>
              <w:spacing w:line="254" w:lineRule="auto"/>
              <w:rPr>
                <w:rFonts w:ascii="Arial"/>
                <w:sz w:val="21"/>
              </w:rPr>
            </w:pPr>
          </w:p>
          <w:p>
            <w:pPr>
              <w:pStyle w:val="TableText"/>
              <w:spacing w:before="65" w:line="184" w:lineRule="auto"/>
              <w:ind w:left="938"/>
              <w:rPr>
                <w:sz w:val="20"/>
                <w:szCs w:val="20"/>
              </w:rPr>
            </w:pPr>
            <w:r>
              <w:rPr>
                <w:spacing w:val="-3"/>
                <w:sz w:val="20"/>
                <w:szCs w:val="20"/>
              </w:rPr>
              <w:t>81</w:t>
            </w:r>
          </w:p>
        </w:tc>
      </w:tr>
      <w:tr>
        <w:tblPrEx>
          <w:tblW w:w="9310" w:type="dxa"/>
          <w:tblInd w:w="5" w:type="dxa"/>
          <w:tblLayout w:type="fixed"/>
        </w:tblPrEx>
        <w:trPr>
          <w:trHeight w:val="604"/>
        </w:trPr>
        <w:tc>
          <w:tcPr>
            <w:tcW w:w="964" w:type="dxa"/>
            <w:vMerge/>
            <w:tcBorders>
              <w:top w:val="nil"/>
            </w:tcBorders>
            <w:vAlign w:val="top"/>
          </w:tcPr>
          <w:p>
            <w:pPr>
              <w:rPr>
                <w:rFonts w:ascii="Arial"/>
                <w:sz w:val="21"/>
              </w:rPr>
            </w:pPr>
          </w:p>
        </w:tc>
        <w:tc>
          <w:tcPr>
            <w:tcW w:w="1848" w:type="dxa"/>
            <w:vAlign w:val="top"/>
          </w:tcPr>
          <w:p>
            <w:pPr>
              <w:pStyle w:val="TableText"/>
              <w:spacing w:before="67" w:line="243" w:lineRule="auto"/>
              <w:ind w:left="110" w:right="117"/>
              <w:rPr>
                <w:sz w:val="20"/>
                <w:szCs w:val="20"/>
              </w:rPr>
            </w:pPr>
            <w:r>
              <w:rPr>
                <w:spacing w:val="1"/>
                <w:sz w:val="20"/>
                <w:szCs w:val="20"/>
              </w:rPr>
              <w:t>发动机输出轴功率</w:t>
            </w:r>
            <w:r>
              <w:rPr>
                <w:sz w:val="20"/>
                <w:szCs w:val="20"/>
              </w:rPr>
              <w:t xml:space="preserve"> </w:t>
            </w:r>
            <w:r>
              <w:rPr>
                <w:spacing w:val="-1"/>
                <w:sz w:val="20"/>
                <w:szCs w:val="20"/>
              </w:rPr>
              <w:t>P≥560 kW/engine</w:t>
            </w:r>
          </w:p>
        </w:tc>
        <w:tc>
          <w:tcPr>
            <w:tcW w:w="1279" w:type="dxa"/>
            <w:vMerge/>
            <w:tcBorders>
              <w:top w:val="nil"/>
            </w:tcBorders>
            <w:vAlign w:val="top"/>
          </w:tcPr>
          <w:p>
            <w:pPr>
              <w:rPr>
                <w:rFonts w:ascii="Arial"/>
                <w:sz w:val="21"/>
              </w:rPr>
            </w:pPr>
          </w:p>
        </w:tc>
        <w:tc>
          <w:tcPr>
            <w:tcW w:w="1528" w:type="dxa"/>
            <w:vMerge/>
            <w:tcBorders>
              <w:top w:val="nil"/>
            </w:tcBorders>
            <w:vAlign w:val="top"/>
          </w:tcPr>
          <w:p>
            <w:pPr>
              <w:rPr>
                <w:rFonts w:ascii="Arial"/>
                <w:sz w:val="21"/>
              </w:rPr>
            </w:pPr>
          </w:p>
        </w:tc>
        <w:tc>
          <w:tcPr>
            <w:tcW w:w="1608" w:type="dxa"/>
            <w:vAlign w:val="top"/>
          </w:tcPr>
          <w:p>
            <w:pPr>
              <w:pStyle w:val="TableText"/>
              <w:spacing w:before="258" w:line="183" w:lineRule="auto"/>
              <w:ind w:left="696"/>
              <w:rPr>
                <w:sz w:val="20"/>
                <w:szCs w:val="20"/>
              </w:rPr>
            </w:pPr>
            <w:r>
              <w:rPr>
                <w:spacing w:val="-3"/>
                <w:sz w:val="20"/>
                <w:szCs w:val="20"/>
              </w:rPr>
              <w:t>83</w:t>
            </w:r>
          </w:p>
        </w:tc>
        <w:tc>
          <w:tcPr>
            <w:tcW w:w="2083" w:type="dxa"/>
            <w:vMerge/>
            <w:tcBorders>
              <w:top w:val="nil"/>
            </w:tcBorders>
            <w:vAlign w:val="top"/>
          </w:tcPr>
          <w:p>
            <w:pPr>
              <w:rPr>
                <w:rFonts w:ascii="Arial"/>
                <w:sz w:val="21"/>
              </w:rPr>
            </w:pPr>
          </w:p>
        </w:tc>
      </w:tr>
    </w:tbl>
    <w:p>
      <w:pPr>
        <w:pStyle w:val="BodyText"/>
        <w:spacing w:before="223" w:line="219" w:lineRule="auto"/>
        <w:ind w:left="75"/>
        <w:rPr>
          <w:sz w:val="20"/>
          <w:szCs w:val="20"/>
        </w:rPr>
      </w:pPr>
      <w:r>
        <w:rPr>
          <w:spacing w:val="-16"/>
          <w:sz w:val="20"/>
          <w:szCs w:val="20"/>
        </w:rPr>
        <w:t>*注：均为距轨道中心线7.5</w:t>
      </w:r>
      <w:r>
        <w:rPr>
          <w:rFonts w:ascii="Times New Roman" w:eastAsia="Times New Roman" w:hAnsi="Times New Roman" w:cs="Times New Roman"/>
          <w:spacing w:val="-16"/>
          <w:sz w:val="20"/>
          <w:szCs w:val="20"/>
        </w:rPr>
        <w:t>m</w:t>
      </w:r>
      <w:r>
        <w:rPr>
          <w:spacing w:val="-16"/>
          <w:sz w:val="20"/>
          <w:szCs w:val="20"/>
        </w:rPr>
        <w:t>、高于轨面1.2</w:t>
      </w:r>
      <w:r>
        <w:rPr>
          <w:rFonts w:ascii="Times New Roman" w:eastAsia="Times New Roman" w:hAnsi="Times New Roman" w:cs="Times New Roman"/>
          <w:spacing w:val="-16"/>
          <w:sz w:val="20"/>
          <w:szCs w:val="20"/>
        </w:rPr>
        <w:t>m</w:t>
      </w:r>
      <w:r>
        <w:rPr>
          <w:spacing w:val="-16"/>
          <w:sz w:val="20"/>
          <w:szCs w:val="20"/>
        </w:rPr>
        <w:t>处声级。</w:t>
      </w:r>
    </w:p>
    <w:p>
      <w:pPr>
        <w:pStyle w:val="BodyText"/>
        <w:spacing w:before="118" w:line="259" w:lineRule="auto"/>
        <w:ind w:left="75" w:right="64"/>
        <w:rPr>
          <w:sz w:val="20"/>
          <w:szCs w:val="20"/>
        </w:rPr>
      </w:pPr>
      <w:r>
        <w:rPr>
          <w:spacing w:val="-14"/>
          <w:sz w:val="20"/>
          <w:szCs w:val="20"/>
        </w:rPr>
        <w:t>**注：</w:t>
      </w:r>
      <w:r>
        <w:rPr>
          <w:rFonts w:ascii="Times New Roman" w:eastAsia="Times New Roman" w:hAnsi="Times New Roman" w:cs="Times New Roman"/>
          <w:spacing w:val="-14"/>
          <w:sz w:val="20"/>
          <w:szCs w:val="20"/>
        </w:rPr>
        <w:t>L'pdegr</w:t>
      </w:r>
      <w:r>
        <w:rPr>
          <w:spacing w:val="-14"/>
          <w:sz w:val="20"/>
          <w:szCs w:val="20"/>
        </w:rPr>
        <w:t>指的是考虑主空气压缩机的最</w:t>
      </w:r>
      <w:r>
        <w:rPr>
          <w:spacing w:val="-15"/>
          <w:sz w:val="20"/>
          <w:szCs w:val="20"/>
        </w:rPr>
        <w:t>近测量位置</w:t>
      </w:r>
      <w:r>
        <w:rPr>
          <w:rFonts w:ascii="Times New Roman" w:eastAsia="Times New Roman" w:hAnsi="Times New Roman" w:cs="Times New Roman"/>
          <w:spacing w:val="-15"/>
          <w:sz w:val="20"/>
          <w:szCs w:val="20"/>
        </w:rPr>
        <w:t xml:space="preserve">i </w:t>
      </w:r>
      <w:r>
        <w:rPr>
          <w:spacing w:val="-15"/>
          <w:sz w:val="20"/>
          <w:szCs w:val="20"/>
        </w:rPr>
        <w:t>处的等效声级；此外，还规定了最近测量位置</w:t>
      </w:r>
      <w:r>
        <w:rPr>
          <w:rFonts w:ascii="Times New Roman" w:eastAsia="Times New Roman" w:hAnsi="Times New Roman" w:cs="Times New Roman"/>
          <w:spacing w:val="-15"/>
          <w:sz w:val="20"/>
          <w:szCs w:val="20"/>
        </w:rPr>
        <w:t xml:space="preserve">i </w:t>
      </w:r>
      <w:r>
        <w:rPr>
          <w:spacing w:val="-15"/>
          <w:sz w:val="20"/>
          <w:szCs w:val="20"/>
        </w:rPr>
        <w:t>处的考虑空</w:t>
      </w:r>
      <w:r>
        <w:rPr>
          <w:sz w:val="20"/>
          <w:szCs w:val="20"/>
        </w:rPr>
        <w:t xml:space="preserve"> </w:t>
      </w:r>
      <w:r>
        <w:rPr>
          <w:spacing w:val="-13"/>
          <w:sz w:val="20"/>
          <w:szCs w:val="20"/>
        </w:rPr>
        <w:t>气干燥器排气阀最大脉冲噪声的</w:t>
      </w:r>
      <w:r>
        <w:rPr>
          <w:rFonts w:ascii="Times New Roman" w:eastAsia="Times New Roman" w:hAnsi="Times New Roman" w:cs="Times New Roman"/>
          <w:spacing w:val="-13"/>
          <w:sz w:val="20"/>
          <w:szCs w:val="20"/>
        </w:rPr>
        <w:t xml:space="preserve">AF </w:t>
      </w:r>
      <w:r>
        <w:rPr>
          <w:spacing w:val="-13"/>
          <w:sz w:val="20"/>
          <w:szCs w:val="20"/>
        </w:rPr>
        <w:t xml:space="preserve">计权最大声级 </w:t>
      </w:r>
      <w:r>
        <w:rPr>
          <w:rFonts w:ascii="Times New Roman" w:eastAsia="Times New Roman" w:hAnsi="Times New Roman" w:cs="Times New Roman"/>
          <w:spacing w:val="-13"/>
          <w:sz w:val="20"/>
          <w:szCs w:val="20"/>
        </w:rPr>
        <w:t>(L'paFma)</w:t>
      </w:r>
      <w:r>
        <w:rPr>
          <w:rFonts w:ascii="Times New Roman" w:eastAsia="Times New Roman" w:hAnsi="Times New Roman" w:cs="Times New Roman"/>
          <w:spacing w:val="23"/>
          <w:sz w:val="20"/>
          <w:szCs w:val="20"/>
        </w:rPr>
        <w:t xml:space="preserve"> </w:t>
      </w:r>
      <w:r>
        <w:rPr>
          <w:spacing w:val="-13"/>
          <w:sz w:val="20"/>
          <w:szCs w:val="20"/>
        </w:rPr>
        <w:t>限值为85</w:t>
      </w:r>
      <w:r>
        <w:rPr>
          <w:rFonts w:ascii="Times New Roman" w:eastAsia="Times New Roman" w:hAnsi="Times New Roman" w:cs="Times New Roman"/>
          <w:spacing w:val="-13"/>
          <w:sz w:val="20"/>
          <w:szCs w:val="20"/>
        </w:rPr>
        <w:t>dB(A)</w:t>
      </w:r>
      <w:r>
        <w:rPr>
          <w:spacing w:val="-13"/>
          <w:sz w:val="20"/>
          <w:szCs w:val="20"/>
        </w:rPr>
        <w:t>。</w:t>
      </w:r>
    </w:p>
    <w:p>
      <w:pPr>
        <w:pStyle w:val="BodyText"/>
        <w:spacing w:before="147" w:line="386" w:lineRule="exact"/>
        <w:ind w:left="75"/>
        <w:rPr>
          <w:sz w:val="20"/>
          <w:szCs w:val="20"/>
        </w:rPr>
      </w:pPr>
      <w:r>
        <w:rPr>
          <w:spacing w:val="-18"/>
          <w:position w:val="14"/>
          <w:sz w:val="20"/>
          <w:szCs w:val="20"/>
        </w:rPr>
        <w:t>***注：Tp指的是车辆通过的时间，等于车辆长度/速度。</w:t>
      </w:r>
    </w:p>
    <w:p>
      <w:pPr>
        <w:pStyle w:val="BodyText"/>
        <w:spacing w:line="219" w:lineRule="auto"/>
        <w:ind w:left="615"/>
        <w:rPr>
          <w:sz w:val="20"/>
          <w:szCs w:val="20"/>
        </w:rPr>
      </w:pPr>
      <w:r>
        <w:rPr>
          <w:spacing w:val="13"/>
          <w:sz w:val="20"/>
          <w:szCs w:val="20"/>
        </w:rPr>
        <w:t>(2)欧盟各国铁路交通声环境质量标准</w:t>
      </w:r>
    </w:p>
    <w:p>
      <w:pPr>
        <w:pStyle w:val="BodyText"/>
        <w:spacing w:before="191" w:line="360" w:lineRule="auto"/>
        <w:ind w:left="75" w:right="54" w:firstLine="429"/>
        <w:jc w:val="both"/>
        <w:rPr>
          <w:sz w:val="20"/>
          <w:szCs w:val="20"/>
        </w:rPr>
        <w:sectPr>
          <w:footerReference w:type="default" r:id="rId27"/>
          <w:pgSz w:w="11910" w:h="16840"/>
          <w:pgMar w:top="1431" w:right="1304" w:bottom="1155" w:left="1284" w:header="0" w:footer="1006" w:gutter="0"/>
          <w:pgNumType w:start="20"/>
          <w:cols w:space="708"/>
        </w:sectPr>
      </w:pPr>
      <w:r>
        <w:rPr>
          <w:spacing w:val="8"/>
          <w:sz w:val="20"/>
          <w:szCs w:val="20"/>
        </w:rPr>
        <w:t>欧盟部分国家在制定铁路噪声标准的过程中，考虑到既有线路、新建线路</w:t>
      </w:r>
      <w:r>
        <w:rPr>
          <w:spacing w:val="7"/>
          <w:sz w:val="20"/>
          <w:szCs w:val="20"/>
        </w:rPr>
        <w:t>、普速铁路、高速铁路</w:t>
      </w:r>
      <w:r>
        <w:rPr>
          <w:sz w:val="20"/>
          <w:szCs w:val="20"/>
        </w:rPr>
        <w:t xml:space="preserve"> </w:t>
      </w:r>
      <w:r>
        <w:rPr>
          <w:spacing w:val="8"/>
          <w:sz w:val="20"/>
          <w:szCs w:val="20"/>
        </w:rPr>
        <w:t>的噪声特性、环境影响以及治理难易等存在较大差别，因此在制定声环境质量标准时</w:t>
      </w:r>
      <w:r>
        <w:rPr>
          <w:spacing w:val="7"/>
          <w:sz w:val="20"/>
          <w:szCs w:val="20"/>
        </w:rPr>
        <w:t>进行了分类。例</w:t>
      </w:r>
      <w:r>
        <w:rPr>
          <w:sz w:val="20"/>
          <w:szCs w:val="20"/>
        </w:rPr>
        <w:t xml:space="preserve"> </w:t>
      </w:r>
      <w:r>
        <w:rPr>
          <w:spacing w:val="7"/>
          <w:sz w:val="20"/>
          <w:szCs w:val="20"/>
        </w:rPr>
        <w:t>如，丹麦将铁路线路分为新建铁路和既有铁路，既有铁路的噪</w:t>
      </w:r>
      <w:r>
        <w:rPr>
          <w:spacing w:val="6"/>
          <w:sz w:val="20"/>
          <w:szCs w:val="20"/>
        </w:rPr>
        <w:t>声值限值比新建铁路的噪声限值高5</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 xml:space="preserve">   </w:t>
      </w:r>
      <w:r>
        <w:rPr>
          <w:spacing w:val="8"/>
          <w:sz w:val="20"/>
          <w:szCs w:val="20"/>
        </w:rPr>
        <w:t>法国将铁路线路分为新建高速铁路、改建高速铁路、新建普速铁路和改建普速铁路，改建铁路的噪声</w:t>
      </w:r>
      <w:r>
        <w:rPr>
          <w:spacing w:val="9"/>
          <w:sz w:val="20"/>
          <w:szCs w:val="20"/>
        </w:rPr>
        <w:t xml:space="preserve"> </w:t>
      </w:r>
      <w:r>
        <w:rPr>
          <w:spacing w:val="9"/>
          <w:sz w:val="20"/>
          <w:szCs w:val="20"/>
        </w:rPr>
        <w:t>限值比新建铁路的噪声限值高5</w:t>
      </w:r>
      <w:r>
        <w:rPr>
          <w:rFonts w:ascii="Times New Roman" w:eastAsia="Times New Roman" w:hAnsi="Times New Roman" w:cs="Times New Roman"/>
          <w:sz w:val="20"/>
          <w:szCs w:val="20"/>
        </w:rPr>
        <w:t>dB</w:t>
      </w:r>
      <w:r>
        <w:rPr>
          <w:rFonts w:ascii="Times New Roman" w:eastAsia="Times New Roman" w:hAnsi="Times New Roman" w:cs="Times New Roman"/>
          <w:spacing w:val="9"/>
          <w:sz w:val="20"/>
          <w:szCs w:val="20"/>
        </w:rPr>
        <w:t xml:space="preserve">,   </w:t>
      </w:r>
      <w:r>
        <w:rPr>
          <w:spacing w:val="9"/>
          <w:sz w:val="20"/>
          <w:szCs w:val="20"/>
        </w:rPr>
        <w:t>德国，意大利等国家也采取了类似的分类方法。其评价量均采用</w:t>
      </w:r>
      <w:r>
        <w:rPr>
          <w:spacing w:val="5"/>
          <w:sz w:val="20"/>
          <w:szCs w:val="20"/>
        </w:rPr>
        <w:t xml:space="preserve"> </w:t>
      </w:r>
      <w:r>
        <w:rPr>
          <w:spacing w:val="9"/>
          <w:sz w:val="20"/>
          <w:szCs w:val="20"/>
        </w:rPr>
        <w:t>等效声级，其中瑞典、挪威和丹麦三国采用的是24小时等效声级</w:t>
      </w:r>
      <w:r>
        <w:rPr>
          <w:spacing w:val="8"/>
          <w:sz w:val="20"/>
          <w:szCs w:val="20"/>
        </w:rPr>
        <w:t>作为评价量，其它国家均采用白天、</w:t>
      </w:r>
    </w:p>
    <w:p>
      <w:pPr>
        <w:pStyle w:val="BodyText"/>
        <w:spacing w:before="1" w:line="217" w:lineRule="auto"/>
        <w:ind w:left="75"/>
        <w:rPr>
          <w:sz w:val="20"/>
          <w:szCs w:val="20"/>
        </w:rPr>
      </w:pPr>
      <w:r>
        <w:rPr>
          <w:spacing w:val="8"/>
          <w:sz w:val="20"/>
          <w:szCs w:val="20"/>
        </w:rPr>
        <w:t>夜间等效声级作为评价量。测点位置为敏感建筑物户外自由声场或户外1~2m</w:t>
      </w:r>
      <w:r>
        <w:rPr>
          <w:spacing w:val="-23"/>
          <w:sz w:val="20"/>
          <w:szCs w:val="20"/>
        </w:rPr>
        <w:t xml:space="preserve"> </w:t>
      </w:r>
      <w:r>
        <w:rPr>
          <w:spacing w:val="8"/>
          <w:sz w:val="20"/>
          <w:szCs w:val="20"/>
        </w:rPr>
        <w:t>处测量。</w:t>
      </w:r>
    </w:p>
    <w:p>
      <w:pPr>
        <w:pStyle w:val="BodyText"/>
        <w:spacing w:before="215" w:line="355" w:lineRule="auto"/>
        <w:ind w:left="75" w:right="83" w:firstLine="419"/>
        <w:jc w:val="both"/>
        <w:rPr>
          <w:sz w:val="20"/>
          <w:szCs w:val="20"/>
        </w:rPr>
      </w:pPr>
      <w:r>
        <w:rPr>
          <w:spacing w:val="8"/>
          <w:sz w:val="20"/>
          <w:szCs w:val="20"/>
        </w:rPr>
        <w:t>欧洲各国的轨道噪声标准都是独立的标准，与城市区域环境噪声标准互不交叉使用，按照轨道噪</w:t>
      </w:r>
      <w:r>
        <w:rPr>
          <w:spacing w:val="4"/>
          <w:sz w:val="20"/>
          <w:szCs w:val="20"/>
        </w:rPr>
        <w:t xml:space="preserve"> </w:t>
      </w:r>
      <w:r>
        <w:rPr>
          <w:spacing w:val="8"/>
          <w:sz w:val="20"/>
          <w:szCs w:val="20"/>
        </w:rPr>
        <w:t>声的特点和不同的敏感建筑，根据不同敏感建筑的使用功能特点制定了不同轨道噪声限值。欧</w:t>
      </w:r>
      <w:r>
        <w:rPr>
          <w:spacing w:val="7"/>
          <w:sz w:val="20"/>
          <w:szCs w:val="20"/>
        </w:rPr>
        <w:t>盟各国</w:t>
      </w:r>
      <w:r>
        <w:rPr>
          <w:sz w:val="20"/>
          <w:szCs w:val="20"/>
        </w:rPr>
        <w:t xml:space="preserve"> </w:t>
      </w:r>
      <w:r>
        <w:rPr>
          <w:spacing w:val="9"/>
          <w:sz w:val="20"/>
          <w:szCs w:val="20"/>
        </w:rPr>
        <w:t>室外噪声限值中，对于新建线路，澳大利亚白天室外噪声限值最大，为70</w:t>
      </w:r>
      <w:r>
        <w:rPr>
          <w:rFonts w:ascii="Times New Roman" w:eastAsia="Times New Roman" w:hAnsi="Times New Roman" w:cs="Times New Roman"/>
          <w:sz w:val="20"/>
          <w:szCs w:val="20"/>
        </w:rPr>
        <w:t>dB</w:t>
      </w:r>
      <w:r>
        <w:rPr>
          <w:rFonts w:ascii="Times New Roman" w:eastAsia="Times New Roman" w:hAnsi="Times New Roman" w:cs="Times New Roman"/>
          <w:spacing w:val="9"/>
          <w:sz w:val="20"/>
          <w:szCs w:val="20"/>
        </w:rPr>
        <w:t xml:space="preserve">(A),   </w:t>
      </w:r>
      <w:r>
        <w:rPr>
          <w:spacing w:val="9"/>
          <w:sz w:val="20"/>
          <w:szCs w:val="20"/>
        </w:rPr>
        <w:t>葡萄牙白</w:t>
      </w:r>
      <w:r>
        <w:rPr>
          <w:spacing w:val="8"/>
          <w:sz w:val="20"/>
          <w:szCs w:val="20"/>
        </w:rPr>
        <w:t>天噪声限</w:t>
      </w:r>
      <w:r>
        <w:rPr>
          <w:sz w:val="20"/>
          <w:szCs w:val="20"/>
        </w:rPr>
        <w:t xml:space="preserve"> </w:t>
      </w:r>
      <w:r>
        <w:rPr>
          <w:spacing w:val="5"/>
          <w:sz w:val="20"/>
          <w:szCs w:val="20"/>
        </w:rPr>
        <w:t>值最小，为55</w:t>
      </w:r>
      <w:r>
        <w:rPr>
          <w:sz w:val="20"/>
          <w:szCs w:val="20"/>
        </w:rPr>
        <w:t>dB</w:t>
      </w:r>
      <w:r>
        <w:rPr>
          <w:spacing w:val="5"/>
          <w:sz w:val="20"/>
          <w:szCs w:val="20"/>
        </w:rPr>
        <w:t>(A), 其他国家的白天室外噪声限值均在55</w:t>
      </w:r>
      <w:r>
        <w:rPr>
          <w:sz w:val="20"/>
          <w:szCs w:val="20"/>
        </w:rPr>
        <w:t>dB</w:t>
      </w:r>
      <w:r>
        <w:rPr>
          <w:spacing w:val="5"/>
          <w:sz w:val="20"/>
          <w:szCs w:val="20"/>
        </w:rPr>
        <w:t>(A)~7</w:t>
      </w:r>
      <w:r>
        <w:rPr>
          <w:spacing w:val="4"/>
          <w:sz w:val="20"/>
          <w:szCs w:val="20"/>
        </w:rPr>
        <w:t>0</w:t>
      </w:r>
      <w:r>
        <w:rPr>
          <w:sz w:val="20"/>
          <w:szCs w:val="20"/>
        </w:rPr>
        <w:t>dB</w:t>
      </w:r>
      <w:r>
        <w:rPr>
          <w:spacing w:val="4"/>
          <w:sz w:val="20"/>
          <w:szCs w:val="20"/>
        </w:rPr>
        <w:t>(A) 的范围内；法国和澳大利亚</w:t>
      </w:r>
    </w:p>
    <w:p>
      <w:pPr>
        <w:pStyle w:val="BodyText"/>
        <w:spacing w:line="212" w:lineRule="auto"/>
        <w:ind w:left="75"/>
        <w:rPr>
          <w:sz w:val="20"/>
          <w:szCs w:val="20"/>
        </w:rPr>
      </w:pPr>
      <w:r>
        <w:rPr>
          <w:spacing w:val="7"/>
          <w:sz w:val="20"/>
          <w:szCs w:val="20"/>
        </w:rPr>
        <w:t>夜间室外噪声限值最大，为60</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 xml:space="preserve">(A),   </w:t>
      </w:r>
      <w:r>
        <w:rPr>
          <w:spacing w:val="7"/>
          <w:sz w:val="20"/>
          <w:szCs w:val="20"/>
        </w:rPr>
        <w:t>葡萄牙的夜</w:t>
      </w:r>
      <w:r>
        <w:rPr>
          <w:spacing w:val="6"/>
          <w:sz w:val="20"/>
          <w:szCs w:val="20"/>
        </w:rPr>
        <w:t>间室外噪声限值仍然最小，为45</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(A),</w:t>
      </w:r>
      <w:r>
        <w:rPr>
          <w:rFonts w:ascii="Times New Roman" w:eastAsia="Times New Roman" w:hAnsi="Times New Roman" w:cs="Times New Roman"/>
          <w:spacing w:val="23"/>
          <w:sz w:val="20"/>
          <w:szCs w:val="20"/>
        </w:rPr>
        <w:t xml:space="preserve">  </w:t>
      </w:r>
      <w:r>
        <w:rPr>
          <w:spacing w:val="6"/>
          <w:sz w:val="20"/>
          <w:szCs w:val="20"/>
        </w:rPr>
        <w:t>其它国家的</w:t>
      </w:r>
    </w:p>
    <w:p>
      <w:pPr>
        <w:spacing w:line="212" w:lineRule="auto"/>
        <w:rPr>
          <w:sz w:val="20"/>
          <w:szCs w:val="20"/>
        </w:rPr>
        <w:sectPr>
          <w:footerReference w:type="default" r:id="rId28"/>
          <w:type w:val="nextPage"/>
          <w:pgSz w:w="11910" w:h="16840"/>
          <w:pgMar w:top="1431" w:right="1304" w:bottom="1155" w:left="1284" w:header="0" w:footer="1006" w:gutter="0"/>
          <w:pgNumType w:start="21"/>
          <w:cols w:space="708"/>
          <w:titlePg w:val="0"/>
        </w:sectPr>
      </w:pPr>
    </w:p>
    <w:p>
      <w:pPr>
        <w:pStyle w:val="BodyText"/>
        <w:spacing w:before="76" w:line="356" w:lineRule="auto"/>
        <w:ind w:right="8"/>
        <w:jc w:val="both"/>
        <w:rPr>
          <w:rFonts w:ascii="Times New Roman" w:eastAsia="Times New Roman" w:hAnsi="Times New Roman" w:cs="Times New Roman"/>
          <w:sz w:val="20"/>
          <w:szCs w:val="20"/>
        </w:rPr>
      </w:pPr>
      <w:r>
        <w:drawing>
          <wp:anchor distT="0" distB="0" distL="0" distR="0" simplePos="0" relativeHeight="251662336" behindDoc="0" locked="0" layoutInCell="0" allowOverlap="1">
            <wp:simplePos x="0" y="0"/>
            <wp:positionH relativeFrom="page">
              <wp:posOffset>3035274</wp:posOffset>
            </wp:positionH>
            <wp:positionV relativeFrom="page">
              <wp:posOffset>2781332</wp:posOffset>
            </wp:positionV>
            <wp:extent cx="1625634"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9"/>
                    <a:stretch>
                      <a:fillRect/>
                    </a:stretch>
                  </pic:blipFill>
                  <pic:spPr>
                    <a:xfrm>
                      <a:off x="0" y="0"/>
                      <a:ext cx="1625634" cy="6350"/>
                    </a:xfrm>
                    <a:prstGeom prst="rect">
                      <a:avLst/>
                    </a:prstGeom>
                  </pic:spPr>
                </pic:pic>
              </a:graphicData>
            </a:graphic>
          </wp:anchor>
        </w:drawing>
      </w:r>
      <w:r>
        <w:rPr>
          <w:spacing w:val="7"/>
          <w:sz w:val="20"/>
          <w:szCs w:val="20"/>
        </w:rPr>
        <w:t>夜间室外限值均在45</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(A)~60</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(A)</w:t>
      </w:r>
      <w:r>
        <w:rPr>
          <w:rFonts w:ascii="Times New Roman" w:eastAsia="Times New Roman" w:hAnsi="Times New Roman" w:cs="Times New Roman"/>
          <w:spacing w:val="40"/>
          <w:sz w:val="20"/>
          <w:szCs w:val="20"/>
        </w:rPr>
        <w:t xml:space="preserve"> </w:t>
      </w:r>
      <w:r>
        <w:rPr>
          <w:spacing w:val="7"/>
          <w:sz w:val="20"/>
          <w:szCs w:val="20"/>
        </w:rPr>
        <w:t>的范围内。对于既有轨道交通，荷兰白天室外噪声限值最大，为</w:t>
      </w:r>
      <w:r>
        <w:rPr>
          <w:sz w:val="20"/>
          <w:szCs w:val="20"/>
        </w:rPr>
        <w:t xml:space="preserve"> </w:t>
      </w:r>
      <w:r>
        <w:rPr>
          <w:rFonts w:ascii="Times New Roman" w:eastAsia="Times New Roman" w:hAnsi="Times New Roman" w:cs="Times New Roman"/>
          <w:spacing w:val="5"/>
          <w:sz w:val="20"/>
          <w:szCs w:val="20"/>
        </w:rPr>
        <w:t>73</w:t>
      </w:r>
      <w:r>
        <w:rPr>
          <w:rFonts w:ascii="Times New Roman" w:eastAsia="Times New Roman" w:hAnsi="Times New Roman" w:cs="Times New Roman"/>
          <w:sz w:val="20"/>
          <w:szCs w:val="20"/>
        </w:rPr>
        <w:t>dB</w:t>
      </w:r>
      <w:r>
        <w:rPr>
          <w:rFonts w:ascii="Times New Roman" w:eastAsia="Times New Roman" w:hAnsi="Times New Roman" w:cs="Times New Roman"/>
          <w:spacing w:val="5"/>
          <w:sz w:val="20"/>
          <w:szCs w:val="20"/>
        </w:rPr>
        <w:t xml:space="preserve">(A),   </w:t>
      </w:r>
      <w:r>
        <w:rPr>
          <w:spacing w:val="5"/>
          <w:sz w:val="20"/>
          <w:szCs w:val="20"/>
        </w:rPr>
        <w:t>芬兰白天噪声限值最小，为54</w:t>
      </w:r>
      <w:r>
        <w:rPr>
          <w:rFonts w:ascii="Times New Roman" w:eastAsia="Times New Roman" w:hAnsi="Times New Roman" w:cs="Times New Roman"/>
          <w:sz w:val="20"/>
          <w:szCs w:val="20"/>
        </w:rPr>
        <w:t>dB</w:t>
      </w:r>
      <w:r>
        <w:rPr>
          <w:rFonts w:ascii="Times New Roman" w:eastAsia="Times New Roman" w:hAnsi="Times New Roman" w:cs="Times New Roman"/>
          <w:spacing w:val="5"/>
          <w:sz w:val="20"/>
          <w:szCs w:val="20"/>
        </w:rPr>
        <w:t xml:space="preserve">(A),    </w:t>
      </w:r>
      <w:r>
        <w:rPr>
          <w:spacing w:val="5"/>
          <w:sz w:val="20"/>
          <w:szCs w:val="20"/>
        </w:rPr>
        <w:t>其他国家的白天室外噪声限值均在54</w:t>
      </w:r>
      <w:r>
        <w:rPr>
          <w:rFonts w:ascii="Times New Roman" w:eastAsia="Times New Roman" w:hAnsi="Times New Roman" w:cs="Times New Roman"/>
          <w:sz w:val="20"/>
          <w:szCs w:val="20"/>
        </w:rPr>
        <w:t>dB</w:t>
      </w:r>
      <w:r>
        <w:rPr>
          <w:rFonts w:ascii="Times New Roman" w:eastAsia="Times New Roman" w:hAnsi="Times New Roman" w:cs="Times New Roman"/>
          <w:spacing w:val="5"/>
          <w:sz w:val="20"/>
          <w:szCs w:val="20"/>
        </w:rPr>
        <w:t>(A</w:t>
      </w:r>
      <w:r>
        <w:rPr>
          <w:rFonts w:ascii="Times New Roman" w:eastAsia="Times New Roman" w:hAnsi="Times New Roman" w:cs="Times New Roman"/>
          <w:spacing w:val="4"/>
          <w:sz w:val="20"/>
          <w:szCs w:val="20"/>
        </w:rPr>
        <w:t>)~73</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 xml:space="preserve">(A)  </w:t>
      </w:r>
      <w:r>
        <w:rPr>
          <w:spacing w:val="6"/>
          <w:sz w:val="20"/>
          <w:szCs w:val="20"/>
        </w:rPr>
        <w:t>的范围内；瑞士夜间室外噪声限值最大，为64</w:t>
      </w:r>
      <w:r>
        <w:rPr>
          <w:sz w:val="20"/>
          <w:szCs w:val="20"/>
        </w:rPr>
        <w:t>dB</w:t>
      </w:r>
      <w:r>
        <w:rPr>
          <w:spacing w:val="5"/>
          <w:sz w:val="20"/>
          <w:szCs w:val="20"/>
        </w:rPr>
        <w:t>(A),</w:t>
      </w:r>
      <w:r>
        <w:rPr>
          <w:spacing w:val="42"/>
          <w:sz w:val="20"/>
          <w:szCs w:val="20"/>
        </w:rPr>
        <w:t xml:space="preserve"> </w:t>
      </w:r>
      <w:r>
        <w:rPr>
          <w:spacing w:val="5"/>
          <w:sz w:val="20"/>
          <w:szCs w:val="20"/>
        </w:rPr>
        <w:t>波兰的夜间室外噪声限值最小，为48</w:t>
      </w:r>
      <w:r>
        <w:rPr>
          <w:sz w:val="20"/>
          <w:szCs w:val="20"/>
        </w:rPr>
        <w:t>dB</w:t>
      </w:r>
      <w:r>
        <w:rPr>
          <w:spacing w:val="5"/>
          <w:sz w:val="20"/>
          <w:szCs w:val="20"/>
        </w:rPr>
        <w:t>(A),</w:t>
      </w:r>
      <w:r>
        <w:rPr>
          <w:spacing w:val="32"/>
          <w:sz w:val="20"/>
          <w:szCs w:val="20"/>
        </w:rPr>
        <w:t xml:space="preserve"> </w:t>
      </w:r>
      <w:r>
        <w:rPr>
          <w:spacing w:val="5"/>
          <w:sz w:val="20"/>
          <w:szCs w:val="20"/>
        </w:rPr>
        <w:t>其</w:t>
      </w:r>
      <w:r>
        <w:rPr>
          <w:sz w:val="20"/>
          <w:szCs w:val="20"/>
        </w:rPr>
        <w:t xml:space="preserve"> </w:t>
      </w:r>
      <w:r>
        <w:rPr>
          <w:spacing w:val="7"/>
          <w:sz w:val="20"/>
          <w:szCs w:val="20"/>
        </w:rPr>
        <w:t>他国家的黑夜室外噪声限值均在48</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(A)~64</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(A)</w:t>
      </w:r>
      <w:r>
        <w:rPr>
          <w:rFonts w:ascii="Times New Roman" w:eastAsia="Times New Roman" w:hAnsi="Times New Roman" w:cs="Times New Roman"/>
          <w:spacing w:val="40"/>
          <w:w w:val="101"/>
          <w:sz w:val="20"/>
          <w:szCs w:val="20"/>
        </w:rPr>
        <w:t xml:space="preserve"> </w:t>
      </w:r>
      <w:r>
        <w:rPr>
          <w:spacing w:val="7"/>
          <w:sz w:val="20"/>
          <w:szCs w:val="20"/>
        </w:rPr>
        <w:t>的范围内。既有轨道交通噪声限值比新建线路宽松</w:t>
      </w:r>
      <w:r>
        <w:rPr>
          <w:sz w:val="20"/>
          <w:szCs w:val="20"/>
        </w:rPr>
        <w:t xml:space="preserve"> </w:t>
      </w:r>
      <w:r>
        <w:rPr>
          <w:spacing w:val="-7"/>
          <w:sz w:val="20"/>
          <w:szCs w:val="20"/>
        </w:rPr>
        <w:t>一些。(资料来源：</w:t>
      </w:r>
      <w:r>
        <w:rPr>
          <w:rFonts w:ascii="Times New Roman" w:eastAsia="Times New Roman" w:hAnsi="Times New Roman" w:cs="Times New Roman"/>
          <w:spacing w:val="-7"/>
          <w:sz w:val="20"/>
          <w:szCs w:val="20"/>
        </w:rPr>
        <w:t>EU Commission.Consul</w:t>
      </w:r>
      <w:r>
        <w:rPr>
          <w:rFonts w:ascii="Times New Roman" w:eastAsia="Times New Roman" w:hAnsi="Times New Roman" w:cs="Times New Roman"/>
          <w:spacing w:val="-8"/>
          <w:sz w:val="20"/>
          <w:szCs w:val="20"/>
        </w:rPr>
        <w:t>ting Engineers-Noise and Vibration Control,A study of</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8"/>
          <w:sz w:val="20"/>
          <w:szCs w:val="20"/>
        </w:rPr>
        <w:t>European Priorities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8"/>
          <w:sz w:val="20"/>
          <w:szCs w:val="20"/>
        </w:rPr>
        <w:t>and</w:t>
      </w:r>
    </w:p>
    <w:p>
      <w:pPr>
        <w:spacing w:line="191"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Strategies for Railway Noise Ab</w:t>
      </w:r>
      <w:r>
        <w:rPr>
          <w:rFonts w:ascii="Times New Roman" w:eastAsia="Times New Roman" w:hAnsi="Times New Roman" w:cs="Times New Roman"/>
          <w:spacing w:val="-8"/>
          <w:sz w:val="20"/>
          <w:szCs w:val="20"/>
        </w:rPr>
        <w:t>atement.2002.2)</w:t>
      </w:r>
    </w:p>
    <w:p>
      <w:pPr>
        <w:spacing w:line="243" w:lineRule="auto"/>
        <w:rPr>
          <w:rFonts w:ascii="Arial"/>
          <w:sz w:val="21"/>
        </w:rPr>
      </w:pPr>
    </w:p>
    <w:p>
      <w:pPr>
        <w:spacing w:before="55" w:line="198" w:lineRule="auto"/>
        <w:ind w:left="1750"/>
        <w:rPr>
          <w:rFonts w:ascii="Arial" w:eastAsia="Arial" w:hAnsi="Arial" w:cs="Arial"/>
          <w:sz w:val="19"/>
          <w:szCs w:val="19"/>
        </w:rPr>
      </w:pPr>
      <w:r>
        <w:rPr>
          <w:rFonts w:ascii="Arial" w:eastAsia="Arial" w:hAnsi="Arial" w:cs="Arial"/>
          <w:b/>
          <w:bCs/>
          <w:spacing w:val="-13"/>
          <w:sz w:val="19"/>
          <w:szCs w:val="19"/>
        </w:rPr>
        <w:t>Exterior Residential (LAeq)Noise</w:t>
      </w:r>
      <w:r>
        <w:rPr>
          <w:rFonts w:ascii="Arial" w:eastAsia="Arial" w:hAnsi="Arial" w:cs="Arial"/>
          <w:b/>
          <w:bCs/>
          <w:spacing w:val="6"/>
          <w:sz w:val="19"/>
          <w:szCs w:val="19"/>
        </w:rPr>
        <w:t xml:space="preserve"> </w:t>
      </w:r>
      <w:r>
        <w:rPr>
          <w:rFonts w:ascii="Arial" w:eastAsia="Arial" w:hAnsi="Arial" w:cs="Arial"/>
          <w:b/>
          <w:bCs/>
          <w:spacing w:val="-13"/>
          <w:sz w:val="19"/>
          <w:szCs w:val="19"/>
        </w:rPr>
        <w:t>Limits for New and</w:t>
      </w:r>
      <w:r>
        <w:rPr>
          <w:rFonts w:ascii="Arial" w:eastAsia="Arial" w:hAnsi="Arial" w:cs="Arial"/>
          <w:b/>
          <w:bCs/>
          <w:spacing w:val="5"/>
          <w:sz w:val="19"/>
          <w:szCs w:val="19"/>
        </w:rPr>
        <w:t xml:space="preserve"> </w:t>
      </w:r>
      <w:r>
        <w:rPr>
          <w:rFonts w:ascii="Arial" w:eastAsia="Arial" w:hAnsi="Arial" w:cs="Arial"/>
          <w:b/>
          <w:bCs/>
          <w:spacing w:val="-13"/>
          <w:sz w:val="19"/>
          <w:szCs w:val="19"/>
        </w:rPr>
        <w:t>Upgraded</w:t>
      </w:r>
      <w:r>
        <w:rPr>
          <w:rFonts w:ascii="Arial" w:eastAsia="Arial" w:hAnsi="Arial" w:cs="Arial"/>
          <w:b/>
          <w:bCs/>
          <w:spacing w:val="5"/>
          <w:sz w:val="19"/>
          <w:szCs w:val="19"/>
        </w:rPr>
        <w:t xml:space="preserve"> </w:t>
      </w:r>
      <w:r>
        <w:rPr>
          <w:rFonts w:ascii="Arial" w:eastAsia="Arial" w:hAnsi="Arial" w:cs="Arial"/>
          <w:b/>
          <w:bCs/>
          <w:spacing w:val="-13"/>
          <w:sz w:val="19"/>
          <w:szCs w:val="19"/>
        </w:rPr>
        <w:t>Railw</w:t>
      </w:r>
      <w:r>
        <w:rPr>
          <w:rFonts w:ascii="Arial" w:eastAsia="Arial" w:hAnsi="Arial" w:cs="Arial"/>
          <w:b/>
          <w:bCs/>
          <w:spacing w:val="-14"/>
          <w:sz w:val="19"/>
          <w:szCs w:val="19"/>
        </w:rPr>
        <w:t>ay</w:t>
      </w:r>
      <w:r>
        <w:rPr>
          <w:rFonts w:ascii="Arial" w:eastAsia="Arial" w:hAnsi="Arial" w:cs="Arial"/>
          <w:b/>
          <w:bCs/>
          <w:spacing w:val="6"/>
          <w:sz w:val="19"/>
          <w:szCs w:val="19"/>
        </w:rPr>
        <w:t xml:space="preserve"> </w:t>
      </w:r>
      <w:r>
        <w:rPr>
          <w:rFonts w:ascii="Arial" w:eastAsia="Arial" w:hAnsi="Arial" w:cs="Arial"/>
          <w:b/>
          <w:bCs/>
          <w:spacing w:val="-14"/>
          <w:sz w:val="19"/>
          <w:szCs w:val="19"/>
        </w:rPr>
        <w:t>Lines</w:t>
      </w:r>
    </w:p>
    <w:p>
      <w:pPr>
        <w:spacing w:before="2" w:line="201" w:lineRule="exact"/>
        <w:ind w:left="3949"/>
        <w:rPr>
          <w:rFonts w:ascii="Arial" w:eastAsia="Arial" w:hAnsi="Arial" w:cs="Arial"/>
          <w:sz w:val="14"/>
          <w:szCs w:val="14"/>
        </w:rPr>
      </w:pPr>
      <w:r>
        <w:rPr>
          <w:rFonts w:ascii="Arial" w:eastAsia="Arial" w:hAnsi="Arial" w:cs="Arial"/>
          <w:b/>
          <w:bCs/>
          <w:spacing w:val="-1"/>
          <w:position w:val="2"/>
          <w:sz w:val="14"/>
          <w:szCs w:val="14"/>
        </w:rPr>
        <w:t>(normalised</w:t>
      </w:r>
      <w:r>
        <w:rPr>
          <w:rFonts w:ascii="Arial" w:eastAsia="Arial" w:hAnsi="Arial" w:cs="Arial"/>
          <w:b/>
          <w:bCs/>
          <w:spacing w:val="27"/>
          <w:w w:val="102"/>
          <w:position w:val="2"/>
          <w:sz w:val="14"/>
          <w:szCs w:val="14"/>
        </w:rPr>
        <w:t xml:space="preserve"> </w:t>
      </w:r>
      <w:r>
        <w:rPr>
          <w:rFonts w:ascii="Arial" w:eastAsia="Arial" w:hAnsi="Arial" w:cs="Arial"/>
          <w:b/>
          <w:bCs/>
          <w:spacing w:val="-1"/>
          <w:position w:val="2"/>
          <w:sz w:val="14"/>
          <w:szCs w:val="14"/>
        </w:rPr>
        <w:t>to</w:t>
      </w:r>
      <w:r>
        <w:rPr>
          <w:rFonts w:ascii="Arial" w:eastAsia="Arial" w:hAnsi="Arial" w:cs="Arial"/>
          <w:b/>
          <w:bCs/>
          <w:spacing w:val="19"/>
          <w:position w:val="2"/>
          <w:sz w:val="14"/>
          <w:szCs w:val="14"/>
        </w:rPr>
        <w:t xml:space="preserve"> </w:t>
      </w:r>
      <w:r>
        <w:rPr>
          <w:rFonts w:ascii="Arial" w:eastAsia="Arial" w:hAnsi="Arial" w:cs="Arial"/>
          <w:b/>
          <w:bCs/>
          <w:spacing w:val="-1"/>
          <w:position w:val="2"/>
          <w:sz w:val="14"/>
          <w:szCs w:val="14"/>
        </w:rPr>
        <w:t>free</w:t>
      </w:r>
      <w:r>
        <w:rPr>
          <w:rFonts w:ascii="Arial" w:eastAsia="Arial" w:hAnsi="Arial" w:cs="Arial"/>
          <w:b/>
          <w:bCs/>
          <w:spacing w:val="19"/>
          <w:position w:val="2"/>
          <w:sz w:val="14"/>
          <w:szCs w:val="14"/>
        </w:rPr>
        <w:t xml:space="preserve"> </w:t>
      </w:r>
      <w:r>
        <w:rPr>
          <w:rFonts w:ascii="Arial" w:eastAsia="Arial" w:hAnsi="Arial" w:cs="Arial"/>
          <w:b/>
          <w:bCs/>
          <w:spacing w:val="-1"/>
          <w:position w:val="2"/>
          <w:sz w:val="14"/>
          <w:szCs w:val="14"/>
        </w:rPr>
        <w:t>field)</w:t>
      </w:r>
    </w:p>
    <w:p>
      <w:pPr>
        <w:spacing w:before="104" w:line="175" w:lineRule="exact"/>
        <w:ind w:left="3520"/>
        <w:rPr>
          <w:rFonts w:ascii="Arial" w:eastAsia="Arial" w:hAnsi="Arial" w:cs="Arial"/>
          <w:sz w:val="13"/>
          <w:szCs w:val="13"/>
        </w:rPr>
      </w:pPr>
      <w:r>
        <w:rPr>
          <w:rFonts w:ascii="Arial" w:eastAsia="Arial" w:hAnsi="Arial" w:cs="Arial"/>
          <w:spacing w:val="-1"/>
          <w:position w:val="2"/>
          <w:sz w:val="13"/>
          <w:szCs w:val="13"/>
        </w:rPr>
        <w:t>Day         Evening    ■N</w:t>
      </w:r>
      <w:r>
        <w:rPr>
          <w:rFonts w:ascii="Arial" w:eastAsia="Arial" w:hAnsi="Arial" w:cs="Arial"/>
          <w:spacing w:val="-2"/>
          <w:position w:val="2"/>
          <w:sz w:val="13"/>
          <w:szCs w:val="13"/>
        </w:rPr>
        <w:t>ight</w:t>
      </w:r>
      <w:r>
        <w:rPr>
          <w:rFonts w:ascii="Arial" w:eastAsia="Arial" w:hAnsi="Arial" w:cs="Arial"/>
          <w:spacing w:val="1"/>
          <w:position w:val="2"/>
          <w:sz w:val="13"/>
          <w:szCs w:val="13"/>
        </w:rPr>
        <w:t xml:space="preserve">    </w:t>
      </w:r>
      <w:r>
        <w:rPr>
          <w:rFonts w:ascii="Arial" w:eastAsia="Arial" w:hAnsi="Arial" w:cs="Arial"/>
          <w:spacing w:val="-2"/>
          <w:position w:val="2"/>
          <w:sz w:val="13"/>
          <w:szCs w:val="13"/>
        </w:rPr>
        <w:t>■24</w:t>
      </w:r>
      <w:r>
        <w:rPr>
          <w:rFonts w:ascii="Arial" w:eastAsia="Arial" w:hAnsi="Arial" w:cs="Arial"/>
          <w:spacing w:val="2"/>
          <w:position w:val="2"/>
          <w:sz w:val="13"/>
          <w:szCs w:val="13"/>
        </w:rPr>
        <w:t xml:space="preserve">    </w:t>
      </w:r>
      <w:r>
        <w:rPr>
          <w:rFonts w:ascii="Arial" w:eastAsia="Arial" w:hAnsi="Arial" w:cs="Arial"/>
          <w:spacing w:val="-2"/>
          <w:position w:val="2"/>
          <w:sz w:val="13"/>
          <w:szCs w:val="13"/>
        </w:rPr>
        <w:t>hour</w:t>
      </w:r>
    </w:p>
    <w:p>
      <w:pPr>
        <w:spacing w:line="4357" w:lineRule="exact"/>
        <w:ind w:firstLine="680"/>
      </w:pPr>
      <w:r>
        <w:rPr>
          <w:position w:val="-87"/>
        </w:rPr>
        <w:drawing>
          <wp:inline distT="0" distB="0" distL="0" distR="0">
            <wp:extent cx="5003732" cy="276703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0"/>
                    <a:stretch>
                      <a:fillRect/>
                    </a:stretch>
                  </pic:blipFill>
                  <pic:spPr>
                    <a:xfrm>
                      <a:off x="0" y="0"/>
                      <a:ext cx="5003732" cy="2767035"/>
                    </a:xfrm>
                    <a:prstGeom prst="rect">
                      <a:avLst/>
                    </a:prstGeom>
                  </pic:spPr>
                </pic:pic>
              </a:graphicData>
            </a:graphic>
          </wp:inline>
        </w:drawing>
      </w:r>
    </w:p>
    <w:p>
      <w:pPr>
        <w:spacing w:before="193" w:line="219" w:lineRule="auto"/>
        <w:ind w:left="2802"/>
        <w:rPr>
          <w:rFonts w:ascii="SimHei" w:eastAsia="SimHei" w:hAnsi="SimHei" w:cs="SimHei"/>
          <w:sz w:val="20"/>
          <w:szCs w:val="20"/>
        </w:rPr>
      </w:pPr>
      <w:r>
        <w:rPr>
          <w:rFonts w:ascii="SimHei" w:eastAsia="SimHei" w:hAnsi="SimHei" w:cs="SimHei"/>
          <w:b/>
          <w:bCs/>
          <w:spacing w:val="7"/>
          <w:sz w:val="20"/>
          <w:szCs w:val="20"/>
        </w:rPr>
        <w:t>图4.1</w:t>
      </w:r>
      <w:r>
        <w:rPr>
          <w:rFonts w:ascii="SimHei" w:eastAsia="SimHei" w:hAnsi="SimHei" w:cs="SimHei"/>
          <w:spacing w:val="7"/>
          <w:sz w:val="20"/>
          <w:szCs w:val="20"/>
        </w:rPr>
        <w:t xml:space="preserve"> </w:t>
      </w:r>
      <w:r>
        <w:rPr>
          <w:rFonts w:ascii="SimHei" w:eastAsia="SimHei" w:hAnsi="SimHei" w:cs="SimHei"/>
          <w:b/>
          <w:bCs/>
          <w:spacing w:val="7"/>
          <w:sz w:val="20"/>
          <w:szCs w:val="20"/>
        </w:rPr>
        <w:t>新建和升级线路室外声压级限值</w:t>
      </w:r>
    </w:p>
    <w:p>
      <w:pPr>
        <w:spacing w:before="210" w:line="198" w:lineRule="auto"/>
        <w:ind w:left="1900"/>
        <w:rPr>
          <w:rFonts w:ascii="Arial" w:eastAsia="Arial" w:hAnsi="Arial" w:cs="Arial"/>
          <w:sz w:val="20"/>
          <w:szCs w:val="20"/>
        </w:rPr>
      </w:pPr>
      <w:r>
        <w:rPr>
          <w:rFonts w:ascii="Arial" w:eastAsia="Arial" w:hAnsi="Arial" w:cs="Arial"/>
          <w:b/>
          <w:bCs/>
          <w:spacing w:val="-15"/>
          <w:sz w:val="20"/>
          <w:szCs w:val="20"/>
        </w:rPr>
        <w:t>Exterior Residential</w:t>
      </w:r>
      <w:r>
        <w:rPr>
          <w:rFonts w:ascii="Arial" w:eastAsia="Arial" w:hAnsi="Arial" w:cs="Arial"/>
          <w:b/>
          <w:bCs/>
          <w:spacing w:val="5"/>
          <w:sz w:val="20"/>
          <w:szCs w:val="20"/>
        </w:rPr>
        <w:t xml:space="preserve"> </w:t>
      </w:r>
      <w:r>
        <w:rPr>
          <w:rFonts w:ascii="Arial" w:eastAsia="Arial" w:hAnsi="Arial" w:cs="Arial"/>
          <w:b/>
          <w:bCs/>
          <w:spacing w:val="-15"/>
          <w:sz w:val="20"/>
          <w:szCs w:val="20"/>
        </w:rPr>
        <w:t>LAeg</w:t>
      </w:r>
      <w:r>
        <w:rPr>
          <w:rFonts w:ascii="Arial" w:eastAsia="Arial" w:hAnsi="Arial" w:cs="Arial"/>
          <w:b/>
          <w:bCs/>
          <w:spacing w:val="5"/>
          <w:sz w:val="20"/>
          <w:szCs w:val="20"/>
        </w:rPr>
        <w:t xml:space="preserve"> </w:t>
      </w:r>
      <w:r>
        <w:rPr>
          <w:rFonts w:ascii="Arial" w:eastAsia="Arial" w:hAnsi="Arial" w:cs="Arial"/>
          <w:b/>
          <w:bCs/>
          <w:spacing w:val="-15"/>
          <w:sz w:val="20"/>
          <w:szCs w:val="20"/>
        </w:rPr>
        <w:t>Noise</w:t>
      </w:r>
      <w:r>
        <w:rPr>
          <w:rFonts w:ascii="Arial" w:eastAsia="Arial" w:hAnsi="Arial" w:cs="Arial"/>
          <w:b/>
          <w:bCs/>
          <w:spacing w:val="5"/>
          <w:sz w:val="20"/>
          <w:szCs w:val="20"/>
        </w:rPr>
        <w:t xml:space="preserve"> </w:t>
      </w:r>
      <w:r>
        <w:rPr>
          <w:rFonts w:ascii="Arial" w:eastAsia="Arial" w:hAnsi="Arial" w:cs="Arial"/>
          <w:b/>
          <w:bCs/>
          <w:spacing w:val="-15"/>
          <w:sz w:val="20"/>
          <w:szCs w:val="20"/>
        </w:rPr>
        <w:t>Limits for Existing</w:t>
      </w:r>
      <w:r>
        <w:rPr>
          <w:rFonts w:ascii="Arial" w:eastAsia="Arial" w:hAnsi="Arial" w:cs="Arial"/>
          <w:b/>
          <w:bCs/>
          <w:spacing w:val="5"/>
          <w:sz w:val="20"/>
          <w:szCs w:val="20"/>
        </w:rPr>
        <w:t xml:space="preserve"> </w:t>
      </w:r>
      <w:r>
        <w:rPr>
          <w:rFonts w:ascii="Arial" w:eastAsia="Arial" w:hAnsi="Arial" w:cs="Arial"/>
          <w:b/>
          <w:bCs/>
          <w:spacing w:val="-16"/>
          <w:sz w:val="20"/>
          <w:szCs w:val="20"/>
        </w:rPr>
        <w:t>Railway</w:t>
      </w:r>
      <w:r>
        <w:rPr>
          <w:rFonts w:ascii="Arial" w:eastAsia="Arial" w:hAnsi="Arial" w:cs="Arial"/>
          <w:b/>
          <w:bCs/>
          <w:spacing w:val="5"/>
          <w:sz w:val="20"/>
          <w:szCs w:val="20"/>
        </w:rPr>
        <w:t xml:space="preserve"> </w:t>
      </w:r>
      <w:r>
        <w:rPr>
          <w:rFonts w:ascii="Arial" w:eastAsia="Arial" w:hAnsi="Arial" w:cs="Arial"/>
          <w:b/>
          <w:bCs/>
          <w:spacing w:val="-16"/>
          <w:sz w:val="20"/>
          <w:szCs w:val="20"/>
        </w:rPr>
        <w:t>Lines</w:t>
      </w:r>
    </w:p>
    <w:p>
      <w:pPr>
        <w:spacing w:before="10" w:line="215" w:lineRule="exact"/>
        <w:ind w:left="3669"/>
        <w:rPr>
          <w:rFonts w:ascii="Arial" w:eastAsia="Arial" w:hAnsi="Arial" w:cs="Arial"/>
          <w:sz w:val="15"/>
          <w:szCs w:val="15"/>
        </w:rPr>
      </w:pPr>
      <w:r>
        <w:rPr>
          <w:rFonts w:ascii="Arial" w:eastAsia="Arial" w:hAnsi="Arial" w:cs="Arial"/>
          <w:b/>
          <w:bCs/>
          <w:spacing w:val="-1"/>
          <w:position w:val="3"/>
          <w:sz w:val="15"/>
          <w:szCs w:val="15"/>
        </w:rPr>
        <w:t>(normalised</w:t>
      </w:r>
      <w:r>
        <w:rPr>
          <w:rFonts w:ascii="Arial" w:eastAsia="Arial" w:hAnsi="Arial" w:cs="Arial"/>
          <w:b/>
          <w:bCs/>
          <w:spacing w:val="21"/>
          <w:w w:val="101"/>
          <w:position w:val="3"/>
          <w:sz w:val="15"/>
          <w:szCs w:val="15"/>
        </w:rPr>
        <w:t xml:space="preserve"> </w:t>
      </w:r>
      <w:r>
        <w:rPr>
          <w:rFonts w:ascii="Arial" w:eastAsia="Arial" w:hAnsi="Arial" w:cs="Arial"/>
          <w:b/>
          <w:bCs/>
          <w:spacing w:val="-1"/>
          <w:position w:val="3"/>
          <w:sz w:val="15"/>
          <w:szCs w:val="15"/>
        </w:rPr>
        <w:t>to</w:t>
      </w:r>
      <w:r>
        <w:rPr>
          <w:rFonts w:ascii="Arial" w:eastAsia="Arial" w:hAnsi="Arial" w:cs="Arial"/>
          <w:b/>
          <w:bCs/>
          <w:spacing w:val="14"/>
          <w:w w:val="101"/>
          <w:position w:val="3"/>
          <w:sz w:val="15"/>
          <w:szCs w:val="15"/>
        </w:rPr>
        <w:t xml:space="preserve"> </w:t>
      </w:r>
      <w:r>
        <w:rPr>
          <w:rFonts w:ascii="Arial" w:eastAsia="Arial" w:hAnsi="Arial" w:cs="Arial"/>
          <w:b/>
          <w:bCs/>
          <w:spacing w:val="-1"/>
          <w:position w:val="3"/>
          <w:sz w:val="15"/>
          <w:szCs w:val="15"/>
        </w:rPr>
        <w:t>free</w:t>
      </w:r>
      <w:r>
        <w:rPr>
          <w:rFonts w:ascii="Arial" w:eastAsia="Arial" w:hAnsi="Arial" w:cs="Arial"/>
          <w:b/>
          <w:bCs/>
          <w:spacing w:val="14"/>
          <w:position w:val="3"/>
          <w:sz w:val="15"/>
          <w:szCs w:val="15"/>
        </w:rPr>
        <w:t xml:space="preserve"> </w:t>
      </w:r>
      <w:r>
        <w:rPr>
          <w:rFonts w:ascii="Arial" w:eastAsia="Arial" w:hAnsi="Arial" w:cs="Arial"/>
          <w:b/>
          <w:bCs/>
          <w:spacing w:val="-1"/>
          <w:position w:val="3"/>
          <w:sz w:val="15"/>
          <w:szCs w:val="15"/>
        </w:rPr>
        <w:t>field)</w:t>
      </w:r>
    </w:p>
    <w:p>
      <w:pPr>
        <w:spacing w:before="158" w:line="231" w:lineRule="auto"/>
        <w:ind w:left="3429"/>
        <w:rPr>
          <w:rFonts w:ascii="Arial" w:eastAsia="Arial" w:hAnsi="Arial" w:cs="Arial"/>
          <w:sz w:val="15"/>
          <w:szCs w:val="15"/>
        </w:rPr>
      </w:pPr>
      <w:r>
        <w:rPr>
          <w:rFonts w:ascii="Arial" w:eastAsia="Arial" w:hAnsi="Arial" w:cs="Arial"/>
          <w:spacing w:val="-1"/>
          <w:position w:val="2"/>
          <w:sz w:val="15"/>
          <w:szCs w:val="15"/>
        </w:rPr>
        <w:t>■Day</w:t>
      </w:r>
      <w:r>
        <w:rPr>
          <w:rFonts w:ascii="Arial" w:eastAsia="Arial" w:hAnsi="Arial" w:cs="Arial"/>
          <w:spacing w:val="3"/>
          <w:position w:val="2"/>
          <w:sz w:val="15"/>
          <w:szCs w:val="15"/>
        </w:rPr>
        <w:t xml:space="preserve">      </w:t>
      </w:r>
      <w:r>
        <w:rPr>
          <w:rFonts w:ascii="Arial" w:eastAsia="Arial" w:hAnsi="Arial" w:cs="Arial"/>
          <w:spacing w:val="-1"/>
          <w:position w:val="2"/>
          <w:sz w:val="15"/>
          <w:szCs w:val="15"/>
        </w:rPr>
        <w:t>Evening</w:t>
      </w:r>
      <w:r>
        <w:rPr>
          <w:rFonts w:ascii="Arial" w:eastAsia="Arial" w:hAnsi="Arial" w:cs="Arial"/>
          <w:spacing w:val="10"/>
          <w:position w:val="2"/>
          <w:sz w:val="15"/>
          <w:szCs w:val="15"/>
        </w:rPr>
        <w:t xml:space="preserve">   </w:t>
      </w:r>
      <w:r>
        <w:rPr>
          <w:rFonts w:ascii="Arial" w:eastAsia="Arial" w:hAnsi="Arial" w:cs="Arial"/>
          <w:spacing w:val="-1"/>
          <w:position w:val="-1"/>
          <w:sz w:val="15"/>
          <w:szCs w:val="15"/>
        </w:rPr>
        <w:t xml:space="preserve">■Night       24  </w:t>
      </w:r>
      <w:r>
        <w:rPr>
          <w:rFonts w:ascii="Arial" w:eastAsia="Arial" w:hAnsi="Arial" w:cs="Arial"/>
          <w:spacing w:val="-2"/>
          <w:position w:val="-1"/>
          <w:sz w:val="15"/>
          <w:szCs w:val="15"/>
        </w:rPr>
        <w:t>hour</w:t>
      </w:r>
    </w:p>
    <w:p>
      <w:pPr>
        <w:spacing w:line="3791" w:lineRule="exact"/>
        <w:ind w:firstLine="660"/>
        <w:sectPr>
          <w:footerReference w:type="default" r:id="rId31"/>
          <w:pgSz w:w="11910" w:h="16840"/>
          <w:pgMar w:top="1431" w:right="1381" w:bottom="1156" w:left="1349" w:header="0" w:footer="1006" w:gutter="0"/>
          <w:pgNumType w:start="22"/>
          <w:cols w:space="708"/>
        </w:sectPr>
      </w:pPr>
      <w:r>
        <w:rPr>
          <w:position w:val="-75"/>
        </w:rPr>
        <w:drawing>
          <wp:inline distT="0" distB="0" distL="0" distR="0">
            <wp:extent cx="4978397" cy="240759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2"/>
                    <a:stretch>
                      <a:fillRect/>
                    </a:stretch>
                  </pic:blipFill>
                  <pic:spPr>
                    <a:xfrm>
                      <a:off x="0" y="0"/>
                      <a:ext cx="4978397" cy="2407595"/>
                    </a:xfrm>
                    <a:prstGeom prst="rect">
                      <a:avLst/>
                    </a:prstGeom>
                  </pic:spPr>
                </pic:pic>
              </a:graphicData>
            </a:graphic>
          </wp:inline>
        </w:drawing>
      </w:r>
    </w:p>
    <w:p>
      <w:pPr>
        <w:spacing w:before="292" w:line="219" w:lineRule="auto"/>
        <w:ind w:left="3132"/>
        <w:rPr>
          <w:rFonts w:ascii="SimHei" w:eastAsia="SimHei" w:hAnsi="SimHei" w:cs="SimHei"/>
          <w:sz w:val="20"/>
          <w:szCs w:val="20"/>
        </w:rPr>
      </w:pPr>
      <w:r>
        <w:rPr>
          <w:rFonts w:ascii="SimHei" w:eastAsia="SimHei" w:hAnsi="SimHei" w:cs="SimHei"/>
          <w:b/>
          <w:bCs/>
          <w:spacing w:val="5"/>
          <w:sz w:val="20"/>
          <w:szCs w:val="20"/>
        </w:rPr>
        <w:t>图4.2</w:t>
      </w:r>
      <w:r>
        <w:rPr>
          <w:rFonts w:ascii="SimHei" w:eastAsia="SimHei" w:hAnsi="SimHei" w:cs="SimHei"/>
          <w:spacing w:val="46"/>
          <w:sz w:val="20"/>
          <w:szCs w:val="20"/>
        </w:rPr>
        <w:t xml:space="preserve"> </w:t>
      </w:r>
      <w:r>
        <w:rPr>
          <w:rFonts w:ascii="SimHei" w:eastAsia="SimHei" w:hAnsi="SimHei" w:cs="SimHei"/>
          <w:b/>
          <w:bCs/>
          <w:spacing w:val="5"/>
          <w:sz w:val="20"/>
          <w:szCs w:val="20"/>
        </w:rPr>
        <w:t>既有线路室外声压级限值</w:t>
      </w:r>
    </w:p>
    <w:p>
      <w:pPr>
        <w:pStyle w:val="BodyText"/>
        <w:spacing w:before="106" w:line="212" w:lineRule="auto"/>
        <w:jc w:val="right"/>
        <w:rPr>
          <w:sz w:val="20"/>
          <w:szCs w:val="20"/>
        </w:rPr>
      </w:pPr>
      <w:r>
        <w:rPr>
          <w:spacing w:val="4"/>
          <w:sz w:val="20"/>
          <w:szCs w:val="20"/>
        </w:rPr>
        <w:t>《德国联邦减量保护法》</w:t>
      </w:r>
      <w:r>
        <w:rPr>
          <w:spacing w:val="50"/>
          <w:sz w:val="20"/>
          <w:szCs w:val="20"/>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The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Federal</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Immission</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Protection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Law</w:t>
      </w:r>
      <w:r>
        <w:rPr>
          <w:rFonts w:ascii="Times New Roman" w:eastAsia="Times New Roman" w:hAnsi="Times New Roman" w:cs="Times New Roman"/>
          <w:spacing w:val="4"/>
          <w:sz w:val="20"/>
          <w:szCs w:val="20"/>
        </w:rPr>
        <w:t>)</w:t>
      </w:r>
      <w:r>
        <w:rPr>
          <w:rFonts w:ascii="Times New Roman" w:eastAsia="Times New Roman" w:hAnsi="Times New Roman" w:cs="Times New Roman"/>
          <w:spacing w:val="21"/>
          <w:w w:val="101"/>
          <w:sz w:val="20"/>
          <w:szCs w:val="20"/>
        </w:rPr>
        <w:t xml:space="preserve"> </w:t>
      </w:r>
      <w:r>
        <w:rPr>
          <w:spacing w:val="4"/>
          <w:sz w:val="20"/>
          <w:szCs w:val="20"/>
        </w:rPr>
        <w:t>的第41~43条</w:t>
      </w:r>
      <w:r>
        <w:rPr>
          <w:spacing w:val="3"/>
          <w:sz w:val="20"/>
          <w:szCs w:val="20"/>
        </w:rPr>
        <w:t>款指出，在新的建</w:t>
      </w:r>
    </w:p>
    <w:p>
      <w:pPr>
        <w:spacing w:line="212" w:lineRule="auto"/>
        <w:rPr>
          <w:sz w:val="20"/>
          <w:szCs w:val="20"/>
        </w:rPr>
        <w:sectPr>
          <w:footerReference w:type="default" r:id="rId33"/>
          <w:type w:val="nextPage"/>
          <w:pgSz w:w="11910" w:h="16840"/>
          <w:pgMar w:top="1431" w:right="1381" w:bottom="1156" w:left="1349" w:header="0" w:footer="1006" w:gutter="0"/>
          <w:pgNumType w:start="23"/>
          <w:cols w:space="708"/>
          <w:titlePg w:val="0"/>
        </w:sectPr>
      </w:pPr>
    </w:p>
    <w:p>
      <w:pPr>
        <w:pStyle w:val="BodyText"/>
        <w:spacing w:before="63" w:line="400" w:lineRule="exact"/>
        <w:ind w:left="115"/>
        <w:rPr>
          <w:rFonts w:ascii="Times New Roman" w:eastAsia="Times New Roman" w:hAnsi="Times New Roman" w:cs="Times New Roman"/>
        </w:rPr>
      </w:pPr>
      <w:r>
        <w:rPr>
          <w:spacing w:val="-5"/>
          <w:position w:val="14"/>
        </w:rPr>
        <w:t>设项目或道路、铁路沿线的重大改造中必须考虑噪声预防问题，并在《交通噪声预防条例》</w:t>
      </w:r>
      <w:r>
        <w:rPr>
          <w:rFonts w:ascii="Times New Roman" w:eastAsia="Times New Roman" w:hAnsi="Times New Roman" w:cs="Times New Roman"/>
          <w:spacing w:val="-5"/>
          <w:position w:val="14"/>
        </w:rPr>
        <w:t>(the</w:t>
      </w:r>
      <w:r>
        <w:rPr>
          <w:rFonts w:ascii="Times New Roman" w:eastAsia="Times New Roman" w:hAnsi="Times New Roman" w:cs="Times New Roman"/>
          <w:spacing w:val="39"/>
          <w:w w:val="101"/>
          <w:position w:val="14"/>
        </w:rPr>
        <w:t xml:space="preserve"> </w:t>
      </w:r>
      <w:r>
        <w:rPr>
          <w:rFonts w:ascii="Times New Roman" w:eastAsia="Times New Roman" w:hAnsi="Times New Roman" w:cs="Times New Roman"/>
          <w:spacing w:val="-5"/>
          <w:position w:val="14"/>
        </w:rPr>
        <w:t>Traffic</w:t>
      </w:r>
    </w:p>
    <w:p>
      <w:pPr>
        <w:pStyle w:val="BodyText"/>
        <w:spacing w:line="212" w:lineRule="auto"/>
        <w:ind w:left="115"/>
        <w:rPr>
          <w:rFonts w:ascii="Times New Roman" w:eastAsia="Times New Roman" w:hAnsi="Times New Roman" w:cs="Times New Roman"/>
        </w:rPr>
      </w:pPr>
      <w:r>
        <w:rPr>
          <w:rFonts w:ascii="Times New Roman" w:eastAsia="Times New Roman" w:hAnsi="Times New Roman" w:cs="Times New Roman"/>
        </w:rPr>
        <w:t>Noise</w:t>
      </w:r>
      <w:r>
        <w:rPr>
          <w:rFonts w:ascii="Times New Roman" w:eastAsia="Times New Roman" w:hAnsi="Times New Roman" w:cs="Times New Roman"/>
          <w:spacing w:val="26"/>
          <w:w w:val="101"/>
        </w:rPr>
        <w:t xml:space="preserve"> </w:t>
      </w:r>
      <w:r>
        <w:rPr>
          <w:rFonts w:ascii="Times New Roman" w:eastAsia="Times New Roman" w:hAnsi="Times New Roman" w:cs="Times New Roman"/>
        </w:rPr>
        <w:t>Prevention</w:t>
      </w:r>
      <w:r>
        <w:rPr>
          <w:rFonts w:ascii="Times New Roman" w:eastAsia="Times New Roman" w:hAnsi="Times New Roman" w:cs="Times New Roman"/>
          <w:spacing w:val="21"/>
          <w:w w:val="101"/>
        </w:rPr>
        <w:t xml:space="preserve"> </w:t>
      </w:r>
      <w:r>
        <w:rPr>
          <w:rFonts w:ascii="Times New Roman" w:eastAsia="Times New Roman" w:hAnsi="Times New Roman" w:cs="Times New Roman"/>
        </w:rPr>
        <w:t xml:space="preserve">Ordinance,  </w:t>
      </w:r>
      <w:r>
        <w:t>又称第16号联邦减量保护条例“16</w:t>
      </w:r>
      <w:r>
        <w:rPr>
          <w:rFonts w:ascii="Times New Roman" w:eastAsia="Times New Roman" w:hAnsi="Times New Roman" w:cs="Times New Roman"/>
        </w:rPr>
        <w:t>th Federal Immission Protection</w:t>
      </w:r>
    </w:p>
    <w:p>
      <w:pPr>
        <w:pStyle w:val="BodyText"/>
        <w:spacing w:before="138" w:line="390" w:lineRule="exact"/>
        <w:ind w:left="115"/>
        <w:rPr>
          <w:rFonts w:ascii="Times New Roman" w:eastAsia="Times New Roman" w:hAnsi="Times New Roman" w:cs="Times New Roman"/>
        </w:rPr>
      </w:pPr>
      <w:r>
        <w:rPr>
          <w:rFonts w:ascii="Times New Roman" w:eastAsia="Times New Roman" w:hAnsi="Times New Roman" w:cs="Times New Roman"/>
          <w:spacing w:val="-3"/>
          <w:position w:val="13"/>
        </w:rPr>
        <w:t>Ordinance”,16th</w:t>
      </w:r>
      <w:r>
        <w:rPr>
          <w:rFonts w:ascii="Times New Roman" w:eastAsia="Times New Roman" w:hAnsi="Times New Roman" w:cs="Times New Roman"/>
          <w:spacing w:val="31"/>
          <w:w w:val="101"/>
          <w:position w:val="13"/>
        </w:rPr>
        <w:t xml:space="preserve">  </w:t>
      </w:r>
      <w:r>
        <w:rPr>
          <w:rFonts w:ascii="Times New Roman" w:eastAsia="Times New Roman" w:hAnsi="Times New Roman" w:cs="Times New Roman"/>
          <w:spacing w:val="-3"/>
          <w:position w:val="13"/>
        </w:rPr>
        <w:t>BImschV)</w:t>
      </w:r>
      <w:r>
        <w:rPr>
          <w:spacing w:val="-3"/>
          <w:position w:val="13"/>
        </w:rPr>
        <w:t>以及《运输线路与声环境保护措施条例》</w:t>
      </w:r>
      <w:r>
        <w:rPr>
          <w:rFonts w:ascii="Times New Roman" w:eastAsia="Times New Roman" w:hAnsi="Times New Roman" w:cs="Times New Roman"/>
          <w:spacing w:val="-3"/>
          <w:position w:val="13"/>
        </w:rPr>
        <w:t>(the</w:t>
      </w:r>
      <w:r>
        <w:rPr>
          <w:rFonts w:ascii="Times New Roman" w:eastAsia="Times New Roman" w:hAnsi="Times New Roman" w:cs="Times New Roman"/>
          <w:spacing w:val="15"/>
          <w:w w:val="101"/>
          <w:position w:val="13"/>
        </w:rPr>
        <w:t xml:space="preserve"> </w:t>
      </w:r>
      <w:r>
        <w:rPr>
          <w:rFonts w:ascii="Times New Roman" w:eastAsia="Times New Roman" w:hAnsi="Times New Roman" w:cs="Times New Roman"/>
          <w:spacing w:val="-3"/>
          <w:position w:val="13"/>
        </w:rPr>
        <w:t>Transportation</w:t>
      </w:r>
      <w:r>
        <w:rPr>
          <w:rFonts w:ascii="Times New Roman" w:eastAsia="Times New Roman" w:hAnsi="Times New Roman" w:cs="Times New Roman"/>
          <w:spacing w:val="12"/>
          <w:position w:val="13"/>
        </w:rPr>
        <w:t xml:space="preserve"> </w:t>
      </w:r>
      <w:r>
        <w:rPr>
          <w:rFonts w:ascii="Times New Roman" w:eastAsia="Times New Roman" w:hAnsi="Times New Roman" w:cs="Times New Roman"/>
          <w:spacing w:val="-3"/>
          <w:position w:val="13"/>
        </w:rPr>
        <w:t>Route</w:t>
      </w:r>
      <w:r>
        <w:rPr>
          <w:rFonts w:ascii="Times New Roman" w:eastAsia="Times New Roman" w:hAnsi="Times New Roman" w:cs="Times New Roman"/>
          <w:spacing w:val="17"/>
          <w:position w:val="13"/>
        </w:rPr>
        <w:t xml:space="preserve"> </w:t>
      </w:r>
      <w:r>
        <w:rPr>
          <w:rFonts w:ascii="Times New Roman" w:eastAsia="Times New Roman" w:hAnsi="Times New Roman" w:cs="Times New Roman"/>
          <w:spacing w:val="-3"/>
          <w:position w:val="13"/>
        </w:rPr>
        <w:t>and</w:t>
      </w:r>
      <w:r>
        <w:rPr>
          <w:rFonts w:ascii="Times New Roman" w:eastAsia="Times New Roman" w:hAnsi="Times New Roman" w:cs="Times New Roman"/>
          <w:spacing w:val="22"/>
          <w:position w:val="13"/>
        </w:rPr>
        <w:t xml:space="preserve"> </w:t>
      </w:r>
      <w:r>
        <w:rPr>
          <w:rFonts w:ascii="Times New Roman" w:eastAsia="Times New Roman" w:hAnsi="Times New Roman" w:cs="Times New Roman"/>
          <w:spacing w:val="-3"/>
          <w:position w:val="13"/>
        </w:rPr>
        <w:t>Sound</w:t>
      </w:r>
    </w:p>
    <w:p>
      <w:pPr>
        <w:pStyle w:val="BodyText"/>
        <w:spacing w:line="212" w:lineRule="auto"/>
        <w:ind w:left="115"/>
      </w:pPr>
      <w:r>
        <w:rPr>
          <w:rFonts w:ascii="Times New Roman" w:eastAsia="Times New Roman" w:hAnsi="Times New Roman" w:cs="Times New Roman"/>
          <w:spacing w:val="-1"/>
        </w:rPr>
        <w:t xml:space="preserve">Protective Measures Ordinance)    (24th   BImschV) </w:t>
      </w:r>
      <w:r>
        <w:rPr>
          <w:rFonts w:ascii="Times New Roman" w:eastAsia="Times New Roman" w:hAnsi="Times New Roman" w:cs="Times New Roman"/>
          <w:spacing w:val="-2"/>
        </w:rPr>
        <w:t xml:space="preserve"> </w:t>
      </w:r>
      <w:r>
        <w:rPr>
          <w:spacing w:val="-2"/>
        </w:rPr>
        <w:t>中进行了具体规定。如果在一个新的建设项目中，</w:t>
      </w:r>
    </w:p>
    <w:p>
      <w:pPr>
        <w:pStyle w:val="BodyText"/>
        <w:spacing w:before="171" w:line="391" w:lineRule="exact"/>
        <w:ind w:left="115"/>
      </w:pPr>
      <w:r>
        <w:rPr>
          <w:spacing w:val="-2"/>
          <w:position w:val="13"/>
        </w:rPr>
        <w:t>或对道路、铁路沿线的重大改造项目中，预计其噪声将会超过下表中的限制值，则必须按照这些条例</w:t>
      </w:r>
    </w:p>
    <w:p>
      <w:pPr>
        <w:pStyle w:val="BodyText"/>
        <w:spacing w:line="219" w:lineRule="auto"/>
        <w:ind w:left="115"/>
      </w:pPr>
      <w:r>
        <w:rPr>
          <w:spacing w:val="-1"/>
        </w:rPr>
        <w:t>实施噪声消减预防措施。在16</w:t>
      </w:r>
      <w:r>
        <w:rPr>
          <w:rFonts w:ascii="Times New Roman" w:eastAsia="Times New Roman" w:hAnsi="Times New Roman" w:cs="Times New Roman"/>
          <w:spacing w:val="-1"/>
        </w:rPr>
        <w:t>th BImschV</w:t>
      </w:r>
      <w:r>
        <w:rPr>
          <w:spacing w:val="-1"/>
        </w:rPr>
        <w:t>条例中</w:t>
      </w:r>
      <w:r>
        <w:rPr>
          <w:spacing w:val="-2"/>
        </w:rPr>
        <w:t>规定的铁路交通噪声限值如下表所示。</w:t>
      </w:r>
    </w:p>
    <w:p>
      <w:pPr>
        <w:pStyle w:val="BodyText"/>
        <w:spacing w:before="198" w:line="209" w:lineRule="auto"/>
        <w:ind w:left="2868"/>
        <w:rPr>
          <w:sz w:val="22"/>
          <w:szCs w:val="22"/>
        </w:rPr>
      </w:pPr>
      <w:r>
        <w:rPr>
          <w:b/>
          <w:bCs/>
          <w:spacing w:val="-1"/>
          <w:sz w:val="22"/>
          <w:szCs w:val="22"/>
        </w:rPr>
        <w:t>表4.7德国铁路交通噪声限值(dB(A))</w:t>
      </w:r>
    </w:p>
    <w:tbl>
      <w:tblPr>
        <w:tblStyle w:val="TableNormal5"/>
        <w:tblW w:w="93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99"/>
        <w:gridCol w:w="2098"/>
        <w:gridCol w:w="2093"/>
      </w:tblGrid>
      <w:tr>
        <w:tblPrEx>
          <w:tblW w:w="93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3"/>
        </w:trPr>
        <w:tc>
          <w:tcPr>
            <w:tcW w:w="5199" w:type="dxa"/>
            <w:vAlign w:val="top"/>
          </w:tcPr>
          <w:p>
            <w:pPr>
              <w:pStyle w:val="TableText"/>
              <w:spacing w:before="94" w:line="220" w:lineRule="auto"/>
              <w:ind w:left="2385"/>
            </w:pPr>
            <w:r>
              <w:rPr>
                <w:spacing w:val="4"/>
              </w:rPr>
              <w:t>区域</w:t>
            </w:r>
          </w:p>
        </w:tc>
        <w:tc>
          <w:tcPr>
            <w:tcW w:w="2098" w:type="dxa"/>
            <w:vAlign w:val="top"/>
          </w:tcPr>
          <w:p>
            <w:pPr>
              <w:pStyle w:val="TableText"/>
              <w:spacing w:before="96" w:line="221" w:lineRule="auto"/>
              <w:ind w:left="256"/>
            </w:pPr>
            <w:r>
              <w:rPr>
                <w:spacing w:val="-1"/>
              </w:rPr>
              <w:t>昼间(6;00-22:00</w:t>
            </w:r>
          </w:p>
        </w:tc>
        <w:tc>
          <w:tcPr>
            <w:tcW w:w="2093" w:type="dxa"/>
            <w:vAlign w:val="top"/>
          </w:tcPr>
          <w:p>
            <w:pPr>
              <w:pStyle w:val="TableText"/>
              <w:spacing w:before="93" w:line="219" w:lineRule="auto"/>
              <w:ind w:left="198"/>
            </w:pPr>
            <w:r>
              <w:rPr>
                <w:spacing w:val="3"/>
              </w:rPr>
              <w:t>夜间(22:00-6:00)</w:t>
            </w:r>
          </w:p>
        </w:tc>
      </w:tr>
      <w:tr>
        <w:tblPrEx>
          <w:tblW w:w="9390" w:type="dxa"/>
          <w:tblInd w:w="5" w:type="dxa"/>
          <w:tblLayout w:type="fixed"/>
        </w:tblPrEx>
        <w:trPr>
          <w:trHeight w:val="388"/>
        </w:trPr>
        <w:tc>
          <w:tcPr>
            <w:tcW w:w="5199" w:type="dxa"/>
            <w:vAlign w:val="top"/>
          </w:tcPr>
          <w:p>
            <w:pPr>
              <w:pStyle w:val="TableText"/>
              <w:spacing w:before="90" w:line="219" w:lineRule="auto"/>
              <w:ind w:left="1015"/>
            </w:pPr>
            <w:r>
              <w:rPr>
                <w:spacing w:val="1"/>
              </w:rPr>
              <w:t>医院、学校、中老年居住的住宅区</w:t>
            </w:r>
          </w:p>
        </w:tc>
        <w:tc>
          <w:tcPr>
            <w:tcW w:w="2098" w:type="dxa"/>
            <w:vAlign w:val="top"/>
          </w:tcPr>
          <w:p>
            <w:pPr>
              <w:pStyle w:val="TableText"/>
              <w:spacing w:before="146" w:line="182" w:lineRule="auto"/>
              <w:ind w:left="936"/>
            </w:pPr>
            <w:r>
              <w:rPr>
                <w:spacing w:val="-4"/>
              </w:rPr>
              <w:t>57</w:t>
            </w:r>
          </w:p>
        </w:tc>
        <w:tc>
          <w:tcPr>
            <w:tcW w:w="2093" w:type="dxa"/>
            <w:vAlign w:val="top"/>
          </w:tcPr>
          <w:p>
            <w:pPr>
              <w:pStyle w:val="TableText"/>
              <w:spacing w:before="144" w:line="183" w:lineRule="auto"/>
              <w:ind w:left="938"/>
            </w:pPr>
            <w:r>
              <w:rPr>
                <w:spacing w:val="-2"/>
              </w:rPr>
              <w:t>47</w:t>
            </w:r>
          </w:p>
        </w:tc>
      </w:tr>
      <w:tr>
        <w:tblPrEx>
          <w:tblW w:w="9390" w:type="dxa"/>
          <w:tblInd w:w="5" w:type="dxa"/>
          <w:tblLayout w:type="fixed"/>
        </w:tblPrEx>
        <w:trPr>
          <w:trHeight w:val="398"/>
        </w:trPr>
        <w:tc>
          <w:tcPr>
            <w:tcW w:w="5199" w:type="dxa"/>
            <w:vAlign w:val="top"/>
          </w:tcPr>
          <w:p>
            <w:pPr>
              <w:pStyle w:val="TableText"/>
              <w:spacing w:before="102" w:line="219" w:lineRule="auto"/>
              <w:ind w:left="595"/>
            </w:pPr>
            <w:r>
              <w:t>完全或者通常作为住宅用的区域，小型社区</w:t>
            </w:r>
          </w:p>
        </w:tc>
        <w:tc>
          <w:tcPr>
            <w:tcW w:w="2098" w:type="dxa"/>
            <w:vAlign w:val="top"/>
          </w:tcPr>
          <w:p>
            <w:pPr>
              <w:pStyle w:val="TableText"/>
              <w:spacing w:before="156" w:line="183" w:lineRule="auto"/>
              <w:ind w:left="936"/>
            </w:pPr>
            <w:r>
              <w:rPr>
                <w:spacing w:val="-4"/>
              </w:rPr>
              <w:t>59</w:t>
            </w:r>
          </w:p>
        </w:tc>
        <w:tc>
          <w:tcPr>
            <w:tcW w:w="2093" w:type="dxa"/>
            <w:vAlign w:val="top"/>
          </w:tcPr>
          <w:p>
            <w:pPr>
              <w:pStyle w:val="TableText"/>
              <w:spacing w:before="156" w:line="183" w:lineRule="auto"/>
              <w:ind w:left="938"/>
            </w:pPr>
            <w:r>
              <w:rPr>
                <w:spacing w:val="-2"/>
              </w:rPr>
              <w:t>49</w:t>
            </w:r>
          </w:p>
        </w:tc>
      </w:tr>
      <w:tr>
        <w:tblPrEx>
          <w:tblW w:w="9390" w:type="dxa"/>
          <w:tblInd w:w="5" w:type="dxa"/>
          <w:tblLayout w:type="fixed"/>
        </w:tblPrEx>
        <w:trPr>
          <w:trHeight w:val="408"/>
        </w:trPr>
        <w:tc>
          <w:tcPr>
            <w:tcW w:w="5199" w:type="dxa"/>
            <w:vAlign w:val="top"/>
          </w:tcPr>
          <w:p>
            <w:pPr>
              <w:pStyle w:val="TableText"/>
              <w:spacing w:before="103" w:line="219" w:lineRule="auto"/>
              <w:ind w:left="1435"/>
            </w:pPr>
            <w:r>
              <w:t>中心区、村庄和混合区域</w:t>
            </w:r>
          </w:p>
        </w:tc>
        <w:tc>
          <w:tcPr>
            <w:tcW w:w="2098" w:type="dxa"/>
            <w:vAlign w:val="top"/>
          </w:tcPr>
          <w:p>
            <w:pPr>
              <w:pStyle w:val="TableText"/>
              <w:spacing w:before="158" w:line="183" w:lineRule="auto"/>
              <w:ind w:left="936"/>
            </w:pPr>
            <w:r>
              <w:rPr>
                <w:spacing w:val="-3"/>
              </w:rPr>
              <w:t>64</w:t>
            </w:r>
          </w:p>
        </w:tc>
        <w:tc>
          <w:tcPr>
            <w:tcW w:w="2093" w:type="dxa"/>
            <w:vAlign w:val="top"/>
          </w:tcPr>
          <w:p>
            <w:pPr>
              <w:pStyle w:val="TableText"/>
              <w:spacing w:before="158" w:line="183" w:lineRule="auto"/>
              <w:ind w:left="938"/>
            </w:pPr>
            <w:r>
              <w:rPr>
                <w:spacing w:val="-4"/>
              </w:rPr>
              <w:t>54</w:t>
            </w:r>
          </w:p>
        </w:tc>
      </w:tr>
      <w:tr>
        <w:tblPrEx>
          <w:tblW w:w="9390" w:type="dxa"/>
          <w:tblInd w:w="5" w:type="dxa"/>
          <w:tblLayout w:type="fixed"/>
        </w:tblPrEx>
        <w:trPr>
          <w:trHeight w:val="402"/>
        </w:trPr>
        <w:tc>
          <w:tcPr>
            <w:tcW w:w="5199" w:type="dxa"/>
            <w:vAlign w:val="top"/>
          </w:tcPr>
          <w:p>
            <w:pPr>
              <w:pStyle w:val="TableText"/>
              <w:spacing w:before="107" w:line="220" w:lineRule="auto"/>
              <w:ind w:left="2065"/>
            </w:pPr>
            <w:r>
              <w:rPr>
                <w:spacing w:val="3"/>
              </w:rPr>
              <w:t>小型商业区</w:t>
            </w:r>
          </w:p>
        </w:tc>
        <w:tc>
          <w:tcPr>
            <w:tcW w:w="2098" w:type="dxa"/>
            <w:vAlign w:val="top"/>
          </w:tcPr>
          <w:p>
            <w:pPr>
              <w:pStyle w:val="TableText"/>
              <w:spacing w:before="160" w:line="183" w:lineRule="auto"/>
              <w:ind w:left="936"/>
            </w:pPr>
            <w:r>
              <w:rPr>
                <w:spacing w:val="-3"/>
              </w:rPr>
              <w:t>69</w:t>
            </w:r>
          </w:p>
        </w:tc>
        <w:tc>
          <w:tcPr>
            <w:tcW w:w="2093" w:type="dxa"/>
            <w:vAlign w:val="top"/>
          </w:tcPr>
          <w:p>
            <w:pPr>
              <w:pStyle w:val="TableText"/>
              <w:spacing w:before="160" w:line="183" w:lineRule="auto"/>
              <w:ind w:left="938"/>
            </w:pPr>
            <w:r>
              <w:rPr>
                <w:spacing w:val="-4"/>
              </w:rPr>
              <w:t>59</w:t>
            </w:r>
          </w:p>
        </w:tc>
      </w:tr>
    </w:tbl>
    <w:p>
      <w:pPr>
        <w:pStyle w:val="BodyText"/>
        <w:spacing w:before="231" w:line="212" w:lineRule="auto"/>
        <w:ind w:left="115"/>
        <w:rPr>
          <w:rFonts w:ascii="Times New Roman" w:eastAsia="Times New Roman" w:hAnsi="Times New Roman" w:cs="Times New Roman"/>
          <w:sz w:val="18"/>
          <w:szCs w:val="18"/>
        </w:rPr>
      </w:pPr>
      <w:r>
        <w:rPr>
          <w:sz w:val="18"/>
          <w:szCs w:val="18"/>
        </w:rPr>
        <w:t xml:space="preserve">资料来源：柏林城市发展部网站 </w:t>
      </w:r>
      <w:hyperlink r:id="rId34" w:history="1">
        <w:r>
          <w:rPr>
            <w:rFonts w:ascii="Times New Roman" w:eastAsia="Times New Roman" w:hAnsi="Times New Roman" w:cs="Times New Roman"/>
            <w:sz w:val="18"/>
            <w:szCs w:val="18"/>
          </w:rPr>
          <w:t>http:/</w:t>
        </w:r>
        <w:r>
          <w:rPr>
            <w:rFonts w:ascii="Times New Roman" w:eastAsia="Times New Roman" w:hAnsi="Times New Roman" w:cs="Times New Roman"/>
            <w:spacing w:val="-1"/>
            <w:sz w:val="18"/>
            <w:szCs w:val="18"/>
          </w:rPr>
          <w:t>/www.stadtentwicklung.berlin.de/index</w:t>
        </w:r>
      </w:hyperlink>
      <w:r>
        <w:rPr>
          <w:rFonts w:ascii="Times New Roman" w:eastAsia="Times New Roman" w:hAnsi="Times New Roman" w:cs="Times New Roman"/>
          <w:spacing w:val="-1"/>
          <w:sz w:val="18"/>
          <w:szCs w:val="18"/>
        </w:rPr>
        <w:t>_en.shtml</w:t>
      </w:r>
    </w:p>
    <w:p>
      <w:pPr>
        <w:pStyle w:val="BodyText"/>
        <w:spacing w:before="115" w:line="346" w:lineRule="auto"/>
        <w:ind w:left="115" w:right="106" w:firstLine="429"/>
        <w:jc w:val="both"/>
      </w:pPr>
      <w:r>
        <w:t>德国在</w:t>
      </w:r>
      <w:r>
        <w:rPr>
          <w:rFonts w:ascii="Times New Roman" w:eastAsia="Times New Roman" w:hAnsi="Times New Roman" w:cs="Times New Roman"/>
        </w:rPr>
        <w:t>VDV-154:2011</w:t>
      </w:r>
      <w:r>
        <w:t>《</w:t>
      </w:r>
      <w:r>
        <w:rPr>
          <w:rFonts w:ascii="Times New Roman" w:eastAsia="Times New Roman" w:hAnsi="Times New Roman" w:cs="Times New Roman"/>
        </w:rPr>
        <w:t>Noise From Mass Transit Rail Vehicles Acc.To</w:t>
      </w:r>
      <w:r>
        <w:rPr>
          <w:rFonts w:ascii="Times New Roman" w:eastAsia="Times New Roman" w:hAnsi="Times New Roman" w:cs="Times New Roman"/>
          <w:spacing w:val="8"/>
        </w:rPr>
        <w:t xml:space="preserve"> </w:t>
      </w:r>
      <w:r>
        <w:rPr>
          <w:rFonts w:ascii="Times New Roman" w:eastAsia="Times New Roman" w:hAnsi="Times New Roman" w:cs="Times New Roman"/>
        </w:rPr>
        <w:t>Bostr</w:t>
      </w:r>
      <w:r>
        <w:rPr>
          <w:rFonts w:ascii="Times New Roman" w:eastAsia="Times New Roman" w:hAnsi="Times New Roman" w:cs="Times New Roman"/>
          <w:spacing w:val="-1"/>
        </w:rPr>
        <w:t>ab</w:t>
      </w:r>
      <w:r>
        <w:rPr>
          <w:spacing w:val="-1"/>
        </w:rPr>
        <w:t>》中提出公共轨道交</w:t>
      </w:r>
      <w:r>
        <w:t xml:space="preserve"> </w:t>
      </w:r>
      <w:r>
        <w:rPr>
          <w:spacing w:val="-2"/>
        </w:rPr>
        <w:t>通车辆的噪声要求，不仅规定车辆静止时的连续噪声值，还规定了车辆恒速60</w:t>
      </w:r>
      <w:r>
        <w:rPr>
          <w:rFonts w:ascii="Times New Roman" w:eastAsia="Times New Roman" w:hAnsi="Times New Roman" w:cs="Times New Roman"/>
          <w:spacing w:val="-2"/>
        </w:rPr>
        <w:t>km/h</w:t>
      </w:r>
      <w:r>
        <w:rPr>
          <w:spacing w:val="-2"/>
        </w:rPr>
        <w:t>以及启动加速和制</w:t>
      </w:r>
    </w:p>
    <w:p>
      <w:pPr>
        <w:pStyle w:val="BodyText"/>
        <w:spacing w:line="212" w:lineRule="auto"/>
        <w:ind w:left="115"/>
      </w:pPr>
      <w:r>
        <w:rPr>
          <w:spacing w:val="-3"/>
        </w:rPr>
        <w:t>动工况的连续噪声值，限值要求见下表，测点位置为距轨中心</w:t>
      </w:r>
      <w:r>
        <w:rPr>
          <w:spacing w:val="-4"/>
        </w:rPr>
        <w:t>7.5</w:t>
      </w:r>
      <w:r>
        <w:rPr>
          <w:rFonts w:ascii="Times New Roman" w:eastAsia="Times New Roman" w:hAnsi="Times New Roman" w:cs="Times New Roman"/>
          <w:spacing w:val="-4"/>
        </w:rPr>
        <w:t>m,</w:t>
      </w:r>
      <w:r>
        <w:rPr>
          <w:rFonts w:ascii="Times New Roman" w:eastAsia="Times New Roman" w:hAnsi="Times New Roman" w:cs="Times New Roman"/>
          <w:spacing w:val="20"/>
          <w:w w:val="101"/>
        </w:rPr>
        <w:t xml:space="preserve">  </w:t>
      </w:r>
      <w:r>
        <w:rPr>
          <w:spacing w:val="-4"/>
        </w:rPr>
        <w:t>距轨面1.2</w:t>
      </w:r>
      <w:r>
        <w:rPr>
          <w:rFonts w:ascii="Times New Roman" w:eastAsia="Times New Roman" w:hAnsi="Times New Roman" w:cs="Times New Roman"/>
          <w:spacing w:val="-4"/>
        </w:rPr>
        <w:t>m</w:t>
      </w:r>
      <w:r>
        <w:rPr>
          <w:spacing w:val="-4"/>
        </w:rPr>
        <w:t>处。</w:t>
      </w:r>
    </w:p>
    <w:p>
      <w:pPr>
        <w:pStyle w:val="BodyText"/>
        <w:spacing w:before="219" w:line="202" w:lineRule="auto"/>
        <w:ind w:left="3658"/>
      </w:pPr>
      <w:r>
        <w:rPr>
          <w:b/>
          <w:bCs/>
          <w:spacing w:val="-3"/>
        </w:rPr>
        <w:t>表4.8车外噪声的限值</w:t>
      </w:r>
    </w:p>
    <w:tbl>
      <w:tblPr>
        <w:tblStyle w:val="TableNormal5"/>
        <w:tblW w:w="9179"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73"/>
        <w:gridCol w:w="1548"/>
        <w:gridCol w:w="2098"/>
        <w:gridCol w:w="609"/>
        <w:gridCol w:w="1069"/>
        <w:gridCol w:w="1069"/>
        <w:gridCol w:w="1313"/>
      </w:tblGrid>
      <w:tr>
        <w:tblPrEx>
          <w:tblW w:w="9179"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4"/>
        </w:trPr>
        <w:tc>
          <w:tcPr>
            <w:tcW w:w="1473" w:type="dxa"/>
            <w:vMerge w:val="restart"/>
            <w:tcBorders>
              <w:bottom w:val="nil"/>
            </w:tcBorders>
            <w:vAlign w:val="top"/>
          </w:tcPr>
          <w:p>
            <w:pPr>
              <w:spacing w:line="346" w:lineRule="auto"/>
              <w:rPr>
                <w:rFonts w:ascii="Arial"/>
                <w:sz w:val="21"/>
              </w:rPr>
            </w:pPr>
          </w:p>
          <w:p>
            <w:pPr>
              <w:pStyle w:val="TableText"/>
              <w:spacing w:before="65" w:line="220" w:lineRule="auto"/>
              <w:ind w:left="524"/>
              <w:rPr>
                <w:sz w:val="20"/>
                <w:szCs w:val="20"/>
              </w:rPr>
            </w:pPr>
            <w:r>
              <w:rPr>
                <w:spacing w:val="-3"/>
                <w:sz w:val="20"/>
                <w:szCs w:val="20"/>
              </w:rPr>
              <w:t>标准</w:t>
            </w:r>
          </w:p>
        </w:tc>
        <w:tc>
          <w:tcPr>
            <w:tcW w:w="3646" w:type="dxa"/>
            <w:gridSpan w:val="2"/>
            <w:vMerge w:val="restart"/>
            <w:tcBorders>
              <w:bottom w:val="nil"/>
            </w:tcBorders>
            <w:vAlign w:val="top"/>
          </w:tcPr>
          <w:p>
            <w:pPr>
              <w:spacing w:line="346" w:lineRule="auto"/>
              <w:rPr>
                <w:rFonts w:ascii="Arial"/>
                <w:sz w:val="21"/>
              </w:rPr>
            </w:pPr>
          </w:p>
          <w:p>
            <w:pPr>
              <w:pStyle w:val="TableText"/>
              <w:spacing w:before="65" w:line="220" w:lineRule="auto"/>
              <w:ind w:left="1612"/>
              <w:rPr>
                <w:sz w:val="20"/>
                <w:szCs w:val="20"/>
              </w:rPr>
            </w:pPr>
            <w:r>
              <w:rPr>
                <w:spacing w:val="-3"/>
                <w:sz w:val="20"/>
                <w:szCs w:val="20"/>
              </w:rPr>
              <w:t>工况</w:t>
            </w:r>
          </w:p>
        </w:tc>
        <w:tc>
          <w:tcPr>
            <w:tcW w:w="2747" w:type="dxa"/>
            <w:gridSpan w:val="3"/>
            <w:vAlign w:val="top"/>
          </w:tcPr>
          <w:p>
            <w:pPr>
              <w:pStyle w:val="TableText"/>
              <w:spacing w:before="103" w:line="219" w:lineRule="auto"/>
              <w:ind w:left="485"/>
              <w:rPr>
                <w:sz w:val="20"/>
                <w:szCs w:val="20"/>
              </w:rPr>
            </w:pPr>
            <w:r>
              <w:rPr>
                <w:spacing w:val="4"/>
                <w:sz w:val="20"/>
                <w:szCs w:val="20"/>
              </w:rPr>
              <w:t>噪声限值(</w:t>
            </w:r>
            <w:r>
              <w:rPr>
                <w:sz w:val="20"/>
                <w:szCs w:val="20"/>
              </w:rPr>
              <w:t>dB</w:t>
            </w:r>
            <w:r>
              <w:rPr>
                <w:spacing w:val="4"/>
                <w:sz w:val="20"/>
                <w:szCs w:val="20"/>
              </w:rPr>
              <w:t>(A))</w:t>
            </w:r>
          </w:p>
        </w:tc>
        <w:tc>
          <w:tcPr>
            <w:tcW w:w="1313" w:type="dxa"/>
            <w:vMerge w:val="restart"/>
            <w:tcBorders>
              <w:bottom w:val="nil"/>
            </w:tcBorders>
            <w:vAlign w:val="top"/>
          </w:tcPr>
          <w:p>
            <w:pPr>
              <w:spacing w:line="347" w:lineRule="auto"/>
              <w:rPr>
                <w:rFonts w:ascii="Arial"/>
                <w:sz w:val="21"/>
              </w:rPr>
            </w:pPr>
          </w:p>
          <w:p>
            <w:pPr>
              <w:pStyle w:val="TableText"/>
              <w:spacing w:before="65" w:line="221" w:lineRule="auto"/>
              <w:ind w:left="448"/>
              <w:rPr>
                <w:sz w:val="20"/>
                <w:szCs w:val="20"/>
              </w:rPr>
            </w:pPr>
            <w:r>
              <w:rPr>
                <w:spacing w:val="-2"/>
                <w:sz w:val="20"/>
                <w:szCs w:val="20"/>
              </w:rPr>
              <w:t>位置</w:t>
            </w:r>
          </w:p>
        </w:tc>
      </w:tr>
      <w:tr>
        <w:tblPrEx>
          <w:tblW w:w="9179" w:type="dxa"/>
          <w:tblInd w:w="115" w:type="dxa"/>
          <w:tblLayout w:type="fixed"/>
        </w:tblPrEx>
        <w:trPr>
          <w:trHeight w:val="618"/>
        </w:trPr>
        <w:tc>
          <w:tcPr>
            <w:tcW w:w="1473" w:type="dxa"/>
            <w:vMerge/>
            <w:tcBorders>
              <w:top w:val="nil"/>
            </w:tcBorders>
            <w:vAlign w:val="top"/>
          </w:tcPr>
          <w:p>
            <w:pPr>
              <w:rPr>
                <w:rFonts w:ascii="Arial"/>
                <w:sz w:val="21"/>
              </w:rPr>
            </w:pPr>
          </w:p>
        </w:tc>
        <w:tc>
          <w:tcPr>
            <w:tcW w:w="3646" w:type="dxa"/>
            <w:gridSpan w:val="2"/>
            <w:vMerge/>
            <w:tcBorders>
              <w:top w:val="nil"/>
            </w:tcBorders>
            <w:vAlign w:val="top"/>
          </w:tcPr>
          <w:p>
            <w:pPr>
              <w:rPr>
                <w:rFonts w:ascii="Arial"/>
                <w:sz w:val="21"/>
              </w:rPr>
            </w:pPr>
          </w:p>
        </w:tc>
        <w:tc>
          <w:tcPr>
            <w:tcW w:w="609" w:type="dxa"/>
            <w:vAlign w:val="top"/>
          </w:tcPr>
          <w:p>
            <w:pPr>
              <w:pStyle w:val="TableText"/>
              <w:spacing w:before="210" w:line="221" w:lineRule="auto"/>
              <w:ind w:left="96"/>
              <w:rPr>
                <w:sz w:val="20"/>
                <w:szCs w:val="20"/>
              </w:rPr>
            </w:pPr>
            <w:r>
              <w:rPr>
                <w:spacing w:val="-2"/>
                <w:sz w:val="20"/>
                <w:szCs w:val="20"/>
              </w:rPr>
              <w:t>地铁</w:t>
            </w:r>
          </w:p>
        </w:tc>
        <w:tc>
          <w:tcPr>
            <w:tcW w:w="1069" w:type="dxa"/>
            <w:vAlign w:val="top"/>
          </w:tcPr>
          <w:p>
            <w:pPr>
              <w:pStyle w:val="TableText"/>
              <w:spacing w:before="69" w:line="248" w:lineRule="auto"/>
              <w:ind w:left="226" w:right="139" w:hanging="100"/>
              <w:rPr>
                <w:sz w:val="20"/>
                <w:szCs w:val="20"/>
              </w:rPr>
            </w:pPr>
            <w:r>
              <w:rPr>
                <w:spacing w:val="-2"/>
                <w:sz w:val="20"/>
                <w:szCs w:val="20"/>
              </w:rPr>
              <w:t>地铁列车</w:t>
            </w:r>
            <w:r>
              <w:rPr>
                <w:sz w:val="20"/>
                <w:szCs w:val="20"/>
              </w:rPr>
              <w:t xml:space="preserve"> </w:t>
            </w:r>
            <w:r>
              <w:rPr>
                <w:spacing w:val="10"/>
                <w:sz w:val="20"/>
                <w:szCs w:val="20"/>
              </w:rPr>
              <w:t>(高层)</w:t>
            </w:r>
          </w:p>
        </w:tc>
        <w:tc>
          <w:tcPr>
            <w:tcW w:w="1069" w:type="dxa"/>
            <w:vAlign w:val="top"/>
          </w:tcPr>
          <w:p>
            <w:pPr>
              <w:pStyle w:val="TableText"/>
              <w:spacing w:before="79" w:line="244" w:lineRule="auto"/>
              <w:ind w:left="328" w:right="37" w:hanging="300"/>
              <w:rPr>
                <w:sz w:val="20"/>
                <w:szCs w:val="20"/>
              </w:rPr>
            </w:pPr>
            <w:r>
              <w:rPr>
                <w:spacing w:val="-2"/>
                <w:sz w:val="20"/>
                <w:szCs w:val="20"/>
              </w:rPr>
              <w:t>低地板有轨</w:t>
            </w:r>
            <w:r>
              <w:rPr>
                <w:spacing w:val="1"/>
                <w:sz w:val="20"/>
                <w:szCs w:val="20"/>
              </w:rPr>
              <w:t xml:space="preserve"> </w:t>
            </w:r>
            <w:r>
              <w:rPr>
                <w:spacing w:val="4"/>
                <w:sz w:val="20"/>
                <w:szCs w:val="20"/>
              </w:rPr>
              <w:t>电车</w:t>
            </w:r>
          </w:p>
        </w:tc>
        <w:tc>
          <w:tcPr>
            <w:tcW w:w="1313" w:type="dxa"/>
            <w:vMerge/>
            <w:tcBorders>
              <w:top w:val="nil"/>
            </w:tcBorders>
            <w:vAlign w:val="top"/>
          </w:tcPr>
          <w:p>
            <w:pPr>
              <w:rPr>
                <w:rFonts w:ascii="Arial"/>
                <w:sz w:val="21"/>
              </w:rPr>
            </w:pPr>
          </w:p>
        </w:tc>
      </w:tr>
      <w:tr>
        <w:tblPrEx>
          <w:tblW w:w="9179" w:type="dxa"/>
          <w:tblInd w:w="115" w:type="dxa"/>
          <w:tblLayout w:type="fixed"/>
        </w:tblPrEx>
        <w:trPr>
          <w:trHeight w:val="399"/>
        </w:trPr>
        <w:tc>
          <w:tcPr>
            <w:tcW w:w="1473"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5" w:line="184" w:lineRule="auto"/>
              <w:ind w:left="125"/>
              <w:rPr>
                <w:sz w:val="20"/>
                <w:szCs w:val="20"/>
              </w:rPr>
            </w:pPr>
            <w:r>
              <w:rPr>
                <w:spacing w:val="-1"/>
                <w:sz w:val="20"/>
                <w:szCs w:val="20"/>
              </w:rPr>
              <w:t>VDV-154:2011</w:t>
            </w:r>
          </w:p>
        </w:tc>
        <w:tc>
          <w:tcPr>
            <w:tcW w:w="1548" w:type="dxa"/>
            <w:vMerge w:val="restart"/>
            <w:tcBorders>
              <w:bottom w:val="nil"/>
            </w:tcBorders>
            <w:vAlign w:val="top"/>
          </w:tcPr>
          <w:p>
            <w:pPr>
              <w:spacing w:line="442" w:lineRule="auto"/>
              <w:rPr>
                <w:rFonts w:ascii="Arial"/>
                <w:sz w:val="21"/>
              </w:rPr>
            </w:pPr>
          </w:p>
          <w:p>
            <w:pPr>
              <w:pStyle w:val="TableText"/>
              <w:spacing w:before="65" w:line="219" w:lineRule="auto"/>
              <w:ind w:left="361"/>
              <w:rPr>
                <w:sz w:val="20"/>
                <w:szCs w:val="20"/>
              </w:rPr>
            </w:pPr>
            <w:r>
              <w:rPr>
                <w:spacing w:val="3"/>
                <w:sz w:val="20"/>
                <w:szCs w:val="20"/>
              </w:rPr>
              <w:t>静止噪声</w:t>
            </w:r>
          </w:p>
        </w:tc>
        <w:tc>
          <w:tcPr>
            <w:tcW w:w="2098" w:type="dxa"/>
            <w:vAlign w:val="top"/>
          </w:tcPr>
          <w:p>
            <w:pPr>
              <w:pStyle w:val="TableText"/>
              <w:spacing w:before="101" w:line="219" w:lineRule="auto"/>
              <w:ind w:left="244"/>
              <w:rPr>
                <w:sz w:val="20"/>
                <w:szCs w:val="20"/>
              </w:rPr>
            </w:pPr>
            <w:r>
              <w:rPr>
                <w:spacing w:val="1"/>
                <w:sz w:val="20"/>
                <w:szCs w:val="20"/>
              </w:rPr>
              <w:t>空调最大加热工况</w:t>
            </w:r>
          </w:p>
        </w:tc>
        <w:tc>
          <w:tcPr>
            <w:tcW w:w="609" w:type="dxa"/>
            <w:vAlign w:val="top"/>
          </w:tcPr>
          <w:p>
            <w:pPr>
              <w:pStyle w:val="TableText"/>
              <w:spacing w:before="152" w:line="183" w:lineRule="auto"/>
              <w:ind w:left="195"/>
              <w:rPr>
                <w:sz w:val="20"/>
                <w:szCs w:val="20"/>
              </w:rPr>
            </w:pPr>
            <w:r>
              <w:rPr>
                <w:spacing w:val="-3"/>
                <w:sz w:val="20"/>
                <w:szCs w:val="20"/>
              </w:rPr>
              <w:t>56</w:t>
            </w:r>
          </w:p>
        </w:tc>
        <w:tc>
          <w:tcPr>
            <w:tcW w:w="1069" w:type="dxa"/>
            <w:vAlign w:val="top"/>
          </w:tcPr>
          <w:p>
            <w:pPr>
              <w:pStyle w:val="TableText"/>
              <w:spacing w:before="152" w:line="183" w:lineRule="auto"/>
              <w:ind w:left="426"/>
              <w:rPr>
                <w:sz w:val="20"/>
                <w:szCs w:val="20"/>
              </w:rPr>
            </w:pPr>
            <w:r>
              <w:rPr>
                <w:spacing w:val="-3"/>
                <w:sz w:val="20"/>
                <w:szCs w:val="20"/>
              </w:rPr>
              <w:t>56</w:t>
            </w:r>
          </w:p>
        </w:tc>
        <w:tc>
          <w:tcPr>
            <w:tcW w:w="1069" w:type="dxa"/>
            <w:vAlign w:val="top"/>
          </w:tcPr>
          <w:p>
            <w:pPr>
              <w:pStyle w:val="TableText"/>
              <w:spacing w:before="152" w:line="183" w:lineRule="auto"/>
              <w:ind w:left="427"/>
              <w:rPr>
                <w:sz w:val="20"/>
                <w:szCs w:val="20"/>
              </w:rPr>
            </w:pPr>
            <w:r>
              <w:rPr>
                <w:spacing w:val="-3"/>
                <w:sz w:val="20"/>
                <w:szCs w:val="20"/>
              </w:rPr>
              <w:t>56</w:t>
            </w:r>
          </w:p>
        </w:tc>
        <w:tc>
          <w:tcPr>
            <w:tcW w:w="1313" w:type="dxa"/>
            <w:vMerge w:val="restart"/>
            <w:tcBorders>
              <w:bottom w:val="nil"/>
            </w:tcBorders>
            <w:vAlign w:val="top"/>
          </w:tcPr>
          <w:p>
            <w:pPr>
              <w:spacing w:line="336" w:lineRule="auto"/>
              <w:rPr>
                <w:rFonts w:ascii="Arial"/>
                <w:sz w:val="21"/>
              </w:rPr>
            </w:pPr>
          </w:p>
          <w:p>
            <w:pPr>
              <w:spacing w:line="336" w:lineRule="auto"/>
              <w:rPr>
                <w:rFonts w:ascii="Arial"/>
                <w:sz w:val="21"/>
              </w:rPr>
            </w:pPr>
          </w:p>
          <w:p>
            <w:pPr>
              <w:pStyle w:val="TableText"/>
              <w:spacing w:before="65" w:line="220" w:lineRule="auto"/>
              <w:ind w:left="248"/>
              <w:rPr>
                <w:sz w:val="20"/>
                <w:szCs w:val="20"/>
              </w:rPr>
            </w:pPr>
            <w:r>
              <w:rPr>
                <w:spacing w:val="3"/>
                <w:sz w:val="20"/>
                <w:szCs w:val="20"/>
              </w:rPr>
              <w:t>距轨中心</w:t>
            </w:r>
          </w:p>
          <w:p>
            <w:pPr>
              <w:pStyle w:val="TableText"/>
              <w:spacing w:before="68" w:line="216" w:lineRule="auto"/>
              <w:ind w:left="99"/>
              <w:rPr>
                <w:sz w:val="20"/>
                <w:szCs w:val="20"/>
              </w:rPr>
            </w:pPr>
            <w:r>
              <w:rPr>
                <w:spacing w:val="1"/>
                <w:sz w:val="20"/>
                <w:szCs w:val="20"/>
              </w:rPr>
              <w:t>7.5m,距轨面</w:t>
            </w:r>
          </w:p>
          <w:p>
            <w:pPr>
              <w:pStyle w:val="TableText"/>
              <w:spacing w:before="139" w:line="184" w:lineRule="auto"/>
              <w:ind w:left="448"/>
              <w:rPr>
                <w:sz w:val="20"/>
                <w:szCs w:val="20"/>
              </w:rPr>
            </w:pPr>
            <w:r>
              <w:rPr>
                <w:spacing w:val="-6"/>
                <w:sz w:val="20"/>
                <w:szCs w:val="20"/>
              </w:rPr>
              <w:t>1.2m</w:t>
            </w:r>
          </w:p>
        </w:tc>
      </w:tr>
      <w:tr>
        <w:tblPrEx>
          <w:tblW w:w="9179" w:type="dxa"/>
          <w:tblInd w:w="115" w:type="dxa"/>
          <w:tblLayout w:type="fixed"/>
        </w:tblPrEx>
        <w:trPr>
          <w:trHeight w:val="398"/>
        </w:trPr>
        <w:tc>
          <w:tcPr>
            <w:tcW w:w="1473" w:type="dxa"/>
            <w:vMerge/>
            <w:tcBorders>
              <w:top w:val="nil"/>
              <w:bottom w:val="nil"/>
            </w:tcBorders>
            <w:vAlign w:val="top"/>
          </w:tcPr>
          <w:p>
            <w:pPr>
              <w:rPr>
                <w:rFonts w:ascii="Arial"/>
                <w:sz w:val="21"/>
              </w:rPr>
            </w:pPr>
          </w:p>
        </w:tc>
        <w:tc>
          <w:tcPr>
            <w:tcW w:w="1548" w:type="dxa"/>
            <w:vMerge/>
            <w:tcBorders>
              <w:top w:val="nil"/>
              <w:bottom w:val="nil"/>
            </w:tcBorders>
            <w:vAlign w:val="top"/>
          </w:tcPr>
          <w:p>
            <w:pPr>
              <w:rPr>
                <w:rFonts w:ascii="Arial"/>
                <w:sz w:val="21"/>
              </w:rPr>
            </w:pPr>
          </w:p>
        </w:tc>
        <w:tc>
          <w:tcPr>
            <w:tcW w:w="2098" w:type="dxa"/>
            <w:vAlign w:val="top"/>
          </w:tcPr>
          <w:p>
            <w:pPr>
              <w:pStyle w:val="TableText"/>
              <w:spacing w:before="105" w:line="221" w:lineRule="auto"/>
              <w:ind w:left="643"/>
              <w:rPr>
                <w:sz w:val="20"/>
                <w:szCs w:val="20"/>
              </w:rPr>
            </w:pPr>
            <w:r>
              <w:rPr>
                <w:spacing w:val="1"/>
                <w:sz w:val="20"/>
                <w:szCs w:val="20"/>
              </w:rPr>
              <w:t>空调全冷</w:t>
            </w:r>
          </w:p>
        </w:tc>
        <w:tc>
          <w:tcPr>
            <w:tcW w:w="609" w:type="dxa"/>
            <w:vAlign w:val="top"/>
          </w:tcPr>
          <w:p>
            <w:pPr>
              <w:pStyle w:val="TableText"/>
              <w:spacing w:before="152" w:line="184" w:lineRule="auto"/>
              <w:ind w:left="195"/>
              <w:rPr>
                <w:sz w:val="20"/>
                <w:szCs w:val="20"/>
              </w:rPr>
            </w:pPr>
            <w:r>
              <w:rPr>
                <w:spacing w:val="-3"/>
                <w:sz w:val="20"/>
                <w:szCs w:val="20"/>
              </w:rPr>
              <w:t>61</w:t>
            </w:r>
          </w:p>
        </w:tc>
        <w:tc>
          <w:tcPr>
            <w:tcW w:w="1069" w:type="dxa"/>
            <w:vAlign w:val="top"/>
          </w:tcPr>
          <w:p>
            <w:pPr>
              <w:pStyle w:val="TableText"/>
              <w:spacing w:before="152" w:line="184" w:lineRule="auto"/>
              <w:ind w:left="426"/>
              <w:rPr>
                <w:sz w:val="20"/>
                <w:szCs w:val="20"/>
              </w:rPr>
            </w:pPr>
            <w:r>
              <w:rPr>
                <w:spacing w:val="-3"/>
                <w:sz w:val="20"/>
                <w:szCs w:val="20"/>
              </w:rPr>
              <w:t>61</w:t>
            </w:r>
          </w:p>
        </w:tc>
        <w:tc>
          <w:tcPr>
            <w:tcW w:w="1069" w:type="dxa"/>
            <w:vAlign w:val="top"/>
          </w:tcPr>
          <w:p>
            <w:pPr>
              <w:pStyle w:val="TableText"/>
              <w:spacing w:before="152" w:line="184" w:lineRule="auto"/>
              <w:ind w:left="427"/>
              <w:rPr>
                <w:sz w:val="20"/>
                <w:szCs w:val="20"/>
              </w:rPr>
            </w:pPr>
            <w:r>
              <w:rPr>
                <w:spacing w:val="-3"/>
                <w:sz w:val="20"/>
                <w:szCs w:val="20"/>
              </w:rPr>
              <w:t>61</w:t>
            </w:r>
          </w:p>
        </w:tc>
        <w:tc>
          <w:tcPr>
            <w:tcW w:w="1313" w:type="dxa"/>
            <w:vMerge/>
            <w:tcBorders>
              <w:top w:val="nil"/>
              <w:bottom w:val="nil"/>
            </w:tcBorders>
            <w:vAlign w:val="top"/>
          </w:tcPr>
          <w:p>
            <w:pPr>
              <w:rPr>
                <w:rFonts w:ascii="Arial"/>
                <w:sz w:val="21"/>
              </w:rPr>
            </w:pPr>
          </w:p>
        </w:tc>
      </w:tr>
      <w:tr>
        <w:tblPrEx>
          <w:tblW w:w="9179" w:type="dxa"/>
          <w:tblInd w:w="115" w:type="dxa"/>
          <w:tblLayout w:type="fixed"/>
        </w:tblPrEx>
        <w:trPr>
          <w:trHeight w:val="399"/>
        </w:trPr>
        <w:tc>
          <w:tcPr>
            <w:tcW w:w="1473" w:type="dxa"/>
            <w:vMerge/>
            <w:tcBorders>
              <w:top w:val="nil"/>
              <w:bottom w:val="nil"/>
            </w:tcBorders>
            <w:vAlign w:val="top"/>
          </w:tcPr>
          <w:p>
            <w:pPr>
              <w:rPr>
                <w:rFonts w:ascii="Arial"/>
                <w:sz w:val="21"/>
              </w:rPr>
            </w:pPr>
          </w:p>
        </w:tc>
        <w:tc>
          <w:tcPr>
            <w:tcW w:w="1548" w:type="dxa"/>
            <w:vMerge/>
            <w:tcBorders>
              <w:top w:val="nil"/>
            </w:tcBorders>
            <w:vAlign w:val="top"/>
          </w:tcPr>
          <w:p>
            <w:pPr>
              <w:rPr>
                <w:rFonts w:ascii="Arial"/>
                <w:sz w:val="21"/>
              </w:rPr>
            </w:pPr>
          </w:p>
        </w:tc>
        <w:tc>
          <w:tcPr>
            <w:tcW w:w="2098" w:type="dxa"/>
            <w:vAlign w:val="top"/>
          </w:tcPr>
          <w:p>
            <w:pPr>
              <w:pStyle w:val="TableText"/>
              <w:spacing w:before="104" w:line="220" w:lineRule="auto"/>
              <w:ind w:left="643"/>
              <w:rPr>
                <w:sz w:val="20"/>
                <w:szCs w:val="20"/>
              </w:rPr>
            </w:pPr>
            <w:r>
              <w:rPr>
                <w:spacing w:val="1"/>
                <w:sz w:val="20"/>
                <w:szCs w:val="20"/>
              </w:rPr>
              <w:t>空调半冷</w:t>
            </w:r>
          </w:p>
        </w:tc>
        <w:tc>
          <w:tcPr>
            <w:tcW w:w="609" w:type="dxa"/>
            <w:vAlign w:val="top"/>
          </w:tcPr>
          <w:p>
            <w:pPr>
              <w:pStyle w:val="TableText"/>
              <w:spacing w:before="157" w:line="182" w:lineRule="auto"/>
              <w:ind w:left="195"/>
              <w:rPr>
                <w:sz w:val="20"/>
                <w:szCs w:val="20"/>
              </w:rPr>
            </w:pPr>
            <w:r>
              <w:rPr>
                <w:spacing w:val="-3"/>
                <w:sz w:val="20"/>
                <w:szCs w:val="20"/>
              </w:rPr>
              <w:t>55</w:t>
            </w:r>
          </w:p>
        </w:tc>
        <w:tc>
          <w:tcPr>
            <w:tcW w:w="1069" w:type="dxa"/>
            <w:vAlign w:val="top"/>
          </w:tcPr>
          <w:p>
            <w:pPr>
              <w:pStyle w:val="TableText"/>
              <w:spacing w:before="157" w:line="182" w:lineRule="auto"/>
              <w:ind w:left="426"/>
              <w:rPr>
                <w:sz w:val="20"/>
                <w:szCs w:val="20"/>
              </w:rPr>
            </w:pPr>
            <w:r>
              <w:rPr>
                <w:spacing w:val="-3"/>
                <w:sz w:val="20"/>
                <w:szCs w:val="20"/>
              </w:rPr>
              <w:t>55</w:t>
            </w:r>
          </w:p>
        </w:tc>
        <w:tc>
          <w:tcPr>
            <w:tcW w:w="1069" w:type="dxa"/>
            <w:vAlign w:val="top"/>
          </w:tcPr>
          <w:p>
            <w:pPr>
              <w:pStyle w:val="TableText"/>
              <w:spacing w:before="155" w:line="183" w:lineRule="auto"/>
              <w:ind w:left="427"/>
              <w:rPr>
                <w:sz w:val="20"/>
                <w:szCs w:val="20"/>
              </w:rPr>
            </w:pPr>
            <w:r>
              <w:rPr>
                <w:spacing w:val="-3"/>
                <w:sz w:val="20"/>
                <w:szCs w:val="20"/>
              </w:rPr>
              <w:t>52</w:t>
            </w:r>
          </w:p>
        </w:tc>
        <w:tc>
          <w:tcPr>
            <w:tcW w:w="1313" w:type="dxa"/>
            <w:vMerge/>
            <w:tcBorders>
              <w:top w:val="nil"/>
              <w:bottom w:val="nil"/>
            </w:tcBorders>
            <w:vAlign w:val="top"/>
          </w:tcPr>
          <w:p>
            <w:pPr>
              <w:rPr>
                <w:rFonts w:ascii="Arial"/>
                <w:sz w:val="21"/>
              </w:rPr>
            </w:pPr>
          </w:p>
        </w:tc>
      </w:tr>
      <w:tr>
        <w:tblPrEx>
          <w:tblW w:w="9179" w:type="dxa"/>
          <w:tblInd w:w="115" w:type="dxa"/>
          <w:tblLayout w:type="fixed"/>
        </w:tblPrEx>
        <w:trPr>
          <w:trHeight w:val="399"/>
        </w:trPr>
        <w:tc>
          <w:tcPr>
            <w:tcW w:w="1473" w:type="dxa"/>
            <w:vMerge/>
            <w:tcBorders>
              <w:top w:val="nil"/>
              <w:bottom w:val="nil"/>
            </w:tcBorders>
            <w:vAlign w:val="top"/>
          </w:tcPr>
          <w:p>
            <w:pPr>
              <w:rPr>
                <w:rFonts w:ascii="Arial"/>
                <w:sz w:val="21"/>
              </w:rPr>
            </w:pPr>
          </w:p>
        </w:tc>
        <w:tc>
          <w:tcPr>
            <w:tcW w:w="1548" w:type="dxa"/>
            <w:vAlign w:val="top"/>
          </w:tcPr>
          <w:p>
            <w:pPr>
              <w:pStyle w:val="TableText"/>
              <w:spacing w:before="105" w:line="220" w:lineRule="auto"/>
              <w:ind w:left="361"/>
              <w:rPr>
                <w:sz w:val="20"/>
                <w:szCs w:val="20"/>
              </w:rPr>
            </w:pPr>
            <w:r>
              <w:rPr>
                <w:spacing w:val="3"/>
                <w:sz w:val="20"/>
                <w:szCs w:val="20"/>
              </w:rPr>
              <w:t>运行噪声</w:t>
            </w:r>
          </w:p>
        </w:tc>
        <w:tc>
          <w:tcPr>
            <w:tcW w:w="2098" w:type="dxa"/>
            <w:vAlign w:val="top"/>
          </w:tcPr>
          <w:p>
            <w:pPr>
              <w:pStyle w:val="TableText"/>
              <w:spacing w:before="105" w:line="220" w:lineRule="auto"/>
              <w:ind w:left="294"/>
              <w:rPr>
                <w:sz w:val="20"/>
                <w:szCs w:val="20"/>
              </w:rPr>
            </w:pPr>
            <w:r>
              <w:rPr>
                <w:sz w:val="20"/>
                <w:szCs w:val="20"/>
              </w:rPr>
              <w:t>(60±3)km/h恒速</w:t>
            </w:r>
          </w:p>
        </w:tc>
        <w:tc>
          <w:tcPr>
            <w:tcW w:w="609" w:type="dxa"/>
            <w:vAlign w:val="top"/>
          </w:tcPr>
          <w:p>
            <w:pPr>
              <w:pStyle w:val="TableText"/>
              <w:spacing w:before="156" w:line="183" w:lineRule="auto"/>
              <w:ind w:left="195"/>
              <w:rPr>
                <w:sz w:val="20"/>
                <w:szCs w:val="20"/>
              </w:rPr>
            </w:pPr>
            <w:r>
              <w:rPr>
                <w:spacing w:val="-4"/>
                <w:sz w:val="20"/>
                <w:szCs w:val="20"/>
              </w:rPr>
              <w:t>76</w:t>
            </w:r>
          </w:p>
        </w:tc>
        <w:tc>
          <w:tcPr>
            <w:tcW w:w="1069" w:type="dxa"/>
            <w:vAlign w:val="top"/>
          </w:tcPr>
          <w:p>
            <w:pPr>
              <w:pStyle w:val="TableText"/>
              <w:spacing w:before="157" w:line="182" w:lineRule="auto"/>
              <w:ind w:left="426"/>
              <w:rPr>
                <w:sz w:val="20"/>
                <w:szCs w:val="20"/>
              </w:rPr>
            </w:pPr>
            <w:r>
              <w:rPr>
                <w:spacing w:val="-4"/>
                <w:sz w:val="20"/>
                <w:szCs w:val="20"/>
              </w:rPr>
              <w:t>75</w:t>
            </w:r>
          </w:p>
        </w:tc>
        <w:tc>
          <w:tcPr>
            <w:tcW w:w="1069" w:type="dxa"/>
            <w:vAlign w:val="top"/>
          </w:tcPr>
          <w:p>
            <w:pPr>
              <w:pStyle w:val="TableText"/>
              <w:spacing w:before="157" w:line="182" w:lineRule="auto"/>
              <w:ind w:left="427"/>
              <w:rPr>
                <w:sz w:val="20"/>
                <w:szCs w:val="20"/>
              </w:rPr>
            </w:pPr>
            <w:r>
              <w:rPr>
                <w:spacing w:val="-4"/>
                <w:sz w:val="20"/>
                <w:szCs w:val="20"/>
              </w:rPr>
              <w:t>75</w:t>
            </w:r>
          </w:p>
        </w:tc>
        <w:tc>
          <w:tcPr>
            <w:tcW w:w="1313" w:type="dxa"/>
            <w:vMerge/>
            <w:tcBorders>
              <w:top w:val="nil"/>
              <w:bottom w:val="nil"/>
            </w:tcBorders>
            <w:vAlign w:val="top"/>
          </w:tcPr>
          <w:p>
            <w:pPr>
              <w:rPr>
                <w:rFonts w:ascii="Arial"/>
                <w:sz w:val="21"/>
              </w:rPr>
            </w:pPr>
          </w:p>
        </w:tc>
      </w:tr>
      <w:tr>
        <w:tblPrEx>
          <w:tblW w:w="9179" w:type="dxa"/>
          <w:tblInd w:w="115" w:type="dxa"/>
          <w:tblLayout w:type="fixed"/>
        </w:tblPrEx>
        <w:trPr>
          <w:trHeight w:val="613"/>
        </w:trPr>
        <w:tc>
          <w:tcPr>
            <w:tcW w:w="1473" w:type="dxa"/>
            <w:vMerge/>
            <w:tcBorders>
              <w:top w:val="nil"/>
            </w:tcBorders>
            <w:vAlign w:val="top"/>
          </w:tcPr>
          <w:p>
            <w:pPr>
              <w:rPr>
                <w:rFonts w:ascii="Arial"/>
                <w:sz w:val="21"/>
              </w:rPr>
            </w:pPr>
          </w:p>
        </w:tc>
        <w:tc>
          <w:tcPr>
            <w:tcW w:w="1548" w:type="dxa"/>
            <w:vAlign w:val="top"/>
          </w:tcPr>
          <w:p>
            <w:pPr>
              <w:pStyle w:val="TableText"/>
              <w:spacing w:before="216" w:line="220" w:lineRule="auto"/>
              <w:ind w:left="61"/>
              <w:rPr>
                <w:sz w:val="20"/>
                <w:szCs w:val="20"/>
              </w:rPr>
            </w:pPr>
            <w:r>
              <w:rPr>
                <w:spacing w:val="2"/>
                <w:sz w:val="20"/>
                <w:szCs w:val="20"/>
              </w:rPr>
              <w:t>加速启动、制动</w:t>
            </w:r>
          </w:p>
        </w:tc>
        <w:tc>
          <w:tcPr>
            <w:tcW w:w="2098" w:type="dxa"/>
            <w:vAlign w:val="top"/>
          </w:tcPr>
          <w:p>
            <w:pPr>
              <w:pStyle w:val="TableText"/>
              <w:spacing w:before="87" w:line="238" w:lineRule="auto"/>
              <w:ind w:left="344" w:right="330"/>
              <w:rPr>
                <w:sz w:val="20"/>
                <w:szCs w:val="20"/>
              </w:rPr>
            </w:pPr>
            <w:r>
              <w:rPr>
                <w:spacing w:val="-1"/>
                <w:sz w:val="20"/>
                <w:szCs w:val="20"/>
              </w:rPr>
              <w:t>达到30km/h或从</w:t>
            </w:r>
            <w:r>
              <w:rPr>
                <w:spacing w:val="1"/>
                <w:sz w:val="20"/>
                <w:szCs w:val="20"/>
              </w:rPr>
              <w:t xml:space="preserve"> </w:t>
            </w:r>
            <w:r>
              <w:rPr>
                <w:spacing w:val="1"/>
                <w:sz w:val="20"/>
                <w:szCs w:val="20"/>
              </w:rPr>
              <w:t>30</w:t>
            </w:r>
            <w:r>
              <w:rPr>
                <w:sz w:val="20"/>
                <w:szCs w:val="20"/>
              </w:rPr>
              <w:t>km</w:t>
            </w:r>
            <w:r>
              <w:rPr>
                <w:spacing w:val="1"/>
                <w:sz w:val="20"/>
                <w:szCs w:val="20"/>
              </w:rPr>
              <w:t>/h开始制动</w:t>
            </w:r>
          </w:p>
        </w:tc>
        <w:tc>
          <w:tcPr>
            <w:tcW w:w="609" w:type="dxa"/>
            <w:vAlign w:val="top"/>
          </w:tcPr>
          <w:p>
            <w:pPr>
              <w:pStyle w:val="TableText"/>
              <w:spacing w:before="268" w:line="182" w:lineRule="auto"/>
              <w:ind w:left="195"/>
              <w:rPr>
                <w:sz w:val="20"/>
                <w:szCs w:val="20"/>
              </w:rPr>
            </w:pPr>
            <w:r>
              <w:rPr>
                <w:spacing w:val="-4"/>
                <w:sz w:val="20"/>
                <w:szCs w:val="20"/>
              </w:rPr>
              <w:t>75</w:t>
            </w:r>
          </w:p>
        </w:tc>
        <w:tc>
          <w:tcPr>
            <w:tcW w:w="1069" w:type="dxa"/>
            <w:vAlign w:val="top"/>
          </w:tcPr>
          <w:p>
            <w:pPr>
              <w:pStyle w:val="TableText"/>
              <w:spacing w:before="267" w:line="183" w:lineRule="auto"/>
              <w:ind w:left="426"/>
              <w:rPr>
                <w:sz w:val="20"/>
                <w:szCs w:val="20"/>
              </w:rPr>
            </w:pPr>
            <w:r>
              <w:rPr>
                <w:spacing w:val="-4"/>
                <w:sz w:val="20"/>
                <w:szCs w:val="20"/>
              </w:rPr>
              <w:t>76</w:t>
            </w:r>
          </w:p>
        </w:tc>
        <w:tc>
          <w:tcPr>
            <w:tcW w:w="1069" w:type="dxa"/>
            <w:vAlign w:val="top"/>
          </w:tcPr>
          <w:p>
            <w:pPr>
              <w:pStyle w:val="TableText"/>
              <w:spacing w:before="267" w:line="183" w:lineRule="auto"/>
              <w:ind w:left="427"/>
              <w:rPr>
                <w:sz w:val="20"/>
                <w:szCs w:val="20"/>
              </w:rPr>
            </w:pPr>
            <w:r>
              <w:rPr>
                <w:spacing w:val="-4"/>
                <w:sz w:val="20"/>
                <w:szCs w:val="20"/>
              </w:rPr>
              <w:t>78</w:t>
            </w:r>
          </w:p>
        </w:tc>
        <w:tc>
          <w:tcPr>
            <w:tcW w:w="1313" w:type="dxa"/>
            <w:vMerge/>
            <w:tcBorders>
              <w:top w:val="nil"/>
            </w:tcBorders>
            <w:vAlign w:val="top"/>
          </w:tcPr>
          <w:p>
            <w:pPr>
              <w:rPr>
                <w:rFonts w:ascii="Arial"/>
                <w:sz w:val="21"/>
              </w:rPr>
            </w:pPr>
          </w:p>
        </w:tc>
      </w:tr>
    </w:tbl>
    <w:p>
      <w:pPr>
        <w:pStyle w:val="BodyText"/>
        <w:spacing w:before="282" w:line="219" w:lineRule="auto"/>
        <w:ind w:left="544"/>
      </w:pPr>
      <w:r>
        <w:rPr>
          <w:spacing w:val="3"/>
        </w:rPr>
        <w:t>丹麦环保局1/1997号环境指令(铁路噪声与振动)中对铁路噪声限值做了如下规定。</w:t>
      </w:r>
    </w:p>
    <w:p>
      <w:pPr>
        <w:pStyle w:val="BodyText"/>
        <w:spacing w:before="188" w:line="210" w:lineRule="auto"/>
        <w:ind w:left="2868"/>
        <w:rPr>
          <w:sz w:val="22"/>
          <w:szCs w:val="22"/>
        </w:rPr>
        <w:sectPr>
          <w:footerReference w:type="default" r:id="rId35"/>
          <w:pgSz w:w="11910" w:h="16840"/>
          <w:pgMar w:top="1431" w:right="1264" w:bottom="1155" w:left="1234" w:header="0" w:footer="1006" w:gutter="0"/>
          <w:pgNumType w:start="24"/>
          <w:cols w:space="708"/>
        </w:sectPr>
      </w:pPr>
      <w:r>
        <w:rPr>
          <w:b/>
          <w:bCs/>
          <w:spacing w:val="-1"/>
          <w:sz w:val="22"/>
          <w:szCs w:val="22"/>
        </w:rPr>
        <w:t>表4.9丹麦铁路交通噪声限值(dB(A))</w:t>
      </w:r>
    </w:p>
    <w:tbl>
      <w:tblPr>
        <w:tblStyle w:val="TableNormal6"/>
        <w:tblW w:w="94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27"/>
        <w:gridCol w:w="2173"/>
      </w:tblGrid>
      <w:tr>
        <w:tblPrEx>
          <w:tblW w:w="94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3"/>
        </w:trPr>
        <w:tc>
          <w:tcPr>
            <w:tcW w:w="7227" w:type="dxa"/>
            <w:vAlign w:val="top"/>
          </w:tcPr>
          <w:p>
            <w:pPr>
              <w:pStyle w:val="TableText"/>
              <w:spacing w:before="94" w:line="220" w:lineRule="auto"/>
              <w:ind w:left="3395"/>
            </w:pPr>
            <w:r>
              <w:rPr>
                <w:spacing w:val="4"/>
              </w:rPr>
              <w:t>区域</w:t>
            </w:r>
          </w:p>
        </w:tc>
        <w:tc>
          <w:tcPr>
            <w:tcW w:w="2173" w:type="dxa"/>
            <w:vAlign w:val="top"/>
          </w:tcPr>
          <w:p>
            <w:pPr>
              <w:pStyle w:val="TableText"/>
              <w:spacing w:before="93" w:line="219" w:lineRule="auto"/>
              <w:ind w:left="607"/>
            </w:pPr>
            <w:r>
              <w:t>噪声限值*</w:t>
            </w:r>
          </w:p>
        </w:tc>
      </w:tr>
      <w:tr>
        <w:tblPrEx>
          <w:tblW w:w="9400" w:type="dxa"/>
          <w:tblInd w:w="5" w:type="dxa"/>
          <w:tblLayout w:type="fixed"/>
        </w:tblPrEx>
        <w:trPr>
          <w:trHeight w:val="398"/>
        </w:trPr>
        <w:tc>
          <w:tcPr>
            <w:tcW w:w="7227" w:type="dxa"/>
            <w:vAlign w:val="top"/>
          </w:tcPr>
          <w:p>
            <w:pPr>
              <w:pStyle w:val="TableText"/>
              <w:spacing w:before="99" w:line="219" w:lineRule="auto"/>
              <w:ind w:left="775"/>
            </w:pPr>
            <w:r>
              <w:rPr>
                <w:spacing w:val="1"/>
              </w:rPr>
              <w:t>城区或附近的休闲性区域(社区公园、私家花园、园艺花园等)</w:t>
            </w:r>
          </w:p>
        </w:tc>
        <w:tc>
          <w:tcPr>
            <w:tcW w:w="2173" w:type="dxa"/>
            <w:vAlign w:val="top"/>
          </w:tcPr>
          <w:p>
            <w:pPr>
              <w:pStyle w:val="TableText"/>
              <w:spacing w:before="154" w:line="183" w:lineRule="auto"/>
              <w:ind w:left="978"/>
            </w:pPr>
            <w:r>
              <w:rPr>
                <w:spacing w:val="-3"/>
              </w:rPr>
              <w:t>60</w:t>
            </w:r>
          </w:p>
        </w:tc>
      </w:tr>
      <w:tr>
        <w:tblPrEx>
          <w:tblW w:w="9400" w:type="dxa"/>
          <w:tblInd w:w="5" w:type="dxa"/>
          <w:tblLayout w:type="fixed"/>
        </w:tblPrEx>
        <w:trPr>
          <w:trHeight w:val="407"/>
        </w:trPr>
        <w:tc>
          <w:tcPr>
            <w:tcW w:w="7227" w:type="dxa"/>
            <w:vAlign w:val="top"/>
          </w:tcPr>
          <w:p>
            <w:pPr>
              <w:pStyle w:val="TableText"/>
              <w:spacing w:before="102" w:line="219" w:lineRule="auto"/>
              <w:ind w:left="1195"/>
            </w:pPr>
            <w:r>
              <w:rPr>
                <w:spacing w:val="2"/>
              </w:rPr>
              <w:t>住宅区(住宅性建筑、日间托儿中心、户外休闲</w:t>
            </w:r>
            <w:r>
              <w:rPr>
                <w:spacing w:val="1"/>
              </w:rPr>
              <w:t>区域)</w:t>
            </w:r>
          </w:p>
        </w:tc>
        <w:tc>
          <w:tcPr>
            <w:tcW w:w="2173" w:type="dxa"/>
            <w:vAlign w:val="top"/>
          </w:tcPr>
          <w:p>
            <w:pPr>
              <w:pStyle w:val="TableText"/>
              <w:spacing w:before="156" w:line="183" w:lineRule="auto"/>
              <w:ind w:left="978"/>
            </w:pPr>
            <w:r>
              <w:rPr>
                <w:spacing w:val="-3"/>
              </w:rPr>
              <w:t>60</w:t>
            </w:r>
          </w:p>
        </w:tc>
      </w:tr>
      <w:tr>
        <w:tblPrEx>
          <w:tblW w:w="9400" w:type="dxa"/>
          <w:tblInd w:w="5" w:type="dxa"/>
          <w:tblLayout w:type="fixed"/>
        </w:tblPrEx>
        <w:trPr>
          <w:trHeight w:val="388"/>
        </w:trPr>
        <w:tc>
          <w:tcPr>
            <w:tcW w:w="7227" w:type="dxa"/>
            <w:vAlign w:val="top"/>
          </w:tcPr>
          <w:p>
            <w:pPr>
              <w:pStyle w:val="TableText"/>
              <w:spacing w:before="94" w:line="219" w:lineRule="auto"/>
              <w:ind w:left="2455"/>
            </w:pPr>
            <w:r>
              <w:rPr>
                <w:spacing w:val="3"/>
              </w:rPr>
              <w:t>公共机构(医院、学校等)</w:t>
            </w:r>
          </w:p>
        </w:tc>
        <w:tc>
          <w:tcPr>
            <w:tcW w:w="2173" w:type="dxa"/>
            <w:vAlign w:val="top"/>
          </w:tcPr>
          <w:p>
            <w:pPr>
              <w:pStyle w:val="TableText"/>
              <w:spacing w:before="149" w:line="183" w:lineRule="auto"/>
              <w:ind w:left="978"/>
            </w:pPr>
            <w:r>
              <w:rPr>
                <w:spacing w:val="-3"/>
              </w:rPr>
              <w:t>60</w:t>
            </w:r>
          </w:p>
        </w:tc>
      </w:tr>
      <w:tr>
        <w:tblPrEx>
          <w:tblW w:w="9400" w:type="dxa"/>
          <w:tblInd w:w="5" w:type="dxa"/>
          <w:tblLayout w:type="fixed"/>
        </w:tblPrEx>
        <w:trPr>
          <w:trHeight w:val="403"/>
        </w:trPr>
        <w:tc>
          <w:tcPr>
            <w:tcW w:w="7227" w:type="dxa"/>
            <w:vAlign w:val="top"/>
          </w:tcPr>
          <w:p>
            <w:pPr>
              <w:pStyle w:val="TableText"/>
              <w:spacing w:before="107" w:line="219" w:lineRule="auto"/>
              <w:ind w:left="2245"/>
            </w:pPr>
            <w:r>
              <w:rPr>
                <w:spacing w:val="3"/>
              </w:rPr>
              <w:t>服务性企业等(旅馆、办公楼)</w:t>
            </w:r>
          </w:p>
        </w:tc>
        <w:tc>
          <w:tcPr>
            <w:tcW w:w="2173" w:type="dxa"/>
            <w:vAlign w:val="top"/>
          </w:tcPr>
          <w:p>
            <w:pPr>
              <w:pStyle w:val="TableText"/>
              <w:spacing w:before="161" w:line="183" w:lineRule="auto"/>
              <w:ind w:left="978"/>
            </w:pPr>
            <w:r>
              <w:rPr>
                <w:spacing w:val="-3"/>
              </w:rPr>
              <w:t>65</w:t>
            </w:r>
          </w:p>
        </w:tc>
      </w:tr>
    </w:tbl>
    <w:p>
      <w:pPr>
        <w:pStyle w:val="BodyText"/>
        <w:spacing w:before="253" w:line="374" w:lineRule="exact"/>
        <w:ind w:left="115"/>
        <w:rPr>
          <w:sz w:val="18"/>
          <w:szCs w:val="18"/>
        </w:rPr>
      </w:pPr>
      <w:r>
        <w:rPr>
          <w:position w:val="14"/>
          <w:sz w:val="18"/>
          <w:szCs w:val="18"/>
        </w:rPr>
        <w:t>*注：这些限值都是24h</w:t>
      </w:r>
      <w:r>
        <w:rPr>
          <w:spacing w:val="43"/>
          <w:position w:val="14"/>
          <w:sz w:val="18"/>
          <w:szCs w:val="18"/>
        </w:rPr>
        <w:t xml:space="preserve"> </w:t>
      </w:r>
      <w:r>
        <w:rPr>
          <w:position w:val="14"/>
          <w:sz w:val="18"/>
          <w:szCs w:val="18"/>
        </w:rPr>
        <w:t>内的等效噪声声级。对于某些个别的住处也规定了建议的最大噪声限值85dB(A)。</w:t>
      </w:r>
    </w:p>
    <w:p>
      <w:pPr>
        <w:pStyle w:val="BodyText"/>
        <w:spacing w:before="1" w:line="213" w:lineRule="auto"/>
        <w:ind w:left="115"/>
        <w:rPr>
          <w:sz w:val="18"/>
          <w:szCs w:val="18"/>
        </w:rPr>
      </w:pPr>
      <w:r>
        <w:rPr>
          <w:spacing w:val="-6"/>
          <w:sz w:val="18"/>
          <w:szCs w:val="18"/>
        </w:rPr>
        <w:t>资料来源：丹麦环境保护局网站</w:t>
      </w:r>
      <w:r>
        <w:rPr>
          <w:spacing w:val="25"/>
          <w:sz w:val="18"/>
          <w:szCs w:val="18"/>
        </w:rPr>
        <w:t xml:space="preserve"> </w:t>
      </w:r>
      <w:r>
        <w:rPr>
          <w:spacing w:val="-6"/>
          <w:sz w:val="18"/>
          <w:szCs w:val="18"/>
        </w:rPr>
        <w:t>http://glwww.mst.dk</w:t>
      </w:r>
      <w:r>
        <w:rPr>
          <w:spacing w:val="-7"/>
          <w:sz w:val="18"/>
          <w:szCs w:val="18"/>
        </w:rPr>
        <w:t>homepage/</w:t>
      </w:r>
    </w:p>
    <w:p>
      <w:pPr>
        <w:spacing w:line="213" w:lineRule="auto"/>
        <w:rPr>
          <w:sz w:val="18"/>
          <w:szCs w:val="18"/>
        </w:rPr>
        <w:sectPr>
          <w:footerReference w:type="default" r:id="rId36"/>
          <w:type w:val="nextPage"/>
          <w:pgSz w:w="11910" w:h="16840"/>
          <w:pgMar w:top="1431" w:right="1264" w:bottom="1155" w:left="1234" w:header="0" w:footer="1006" w:gutter="0"/>
          <w:pgNumType w:start="25"/>
          <w:cols w:space="708"/>
          <w:titlePg w:val="0"/>
        </w:sectPr>
      </w:pPr>
    </w:p>
    <w:p>
      <w:pPr>
        <w:spacing w:before="52" w:line="221" w:lineRule="auto"/>
        <w:ind w:left="107"/>
        <w:outlineLvl w:val="6"/>
        <w:rPr>
          <w:rFonts w:ascii="SimHei" w:eastAsia="SimHei" w:hAnsi="SimHei" w:cs="SimHei"/>
          <w:sz w:val="20"/>
          <w:szCs w:val="20"/>
        </w:rPr>
      </w:pPr>
      <w:r>
        <mc:AlternateContent>
          <mc:Choice Requires="wps">
            <w:drawing>
              <wp:anchor distT="0" distB="0" distL="0" distR="0" simplePos="0" relativeHeight="251664384" behindDoc="0" locked="0" layoutInCell="0" allowOverlap="1">
                <wp:simplePos x="0" y="0"/>
                <wp:positionH relativeFrom="page">
                  <wp:posOffset>1875092</wp:posOffset>
                </wp:positionH>
                <wp:positionV relativeFrom="page">
                  <wp:posOffset>8148293</wp:posOffset>
                </wp:positionV>
                <wp:extent cx="1052830" cy="126364"/>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1875092" y="8148293"/>
                          <a:ext cx="1052830" cy="1263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9" w:line="214" w:lineRule="auto"/>
                              <w:ind w:left="20"/>
                              <w:rPr>
                                <w:sz w:val="12"/>
                                <w:szCs w:val="12"/>
                              </w:rPr>
                            </w:pPr>
                            <w:r>
                              <w:rPr>
                                <w:sz w:val="12"/>
                                <w:szCs w:val="12"/>
                              </w:rPr>
                              <w:t>Project Noise Exposure,</w:t>
                            </w:r>
                            <w:r>
                              <w:rPr>
                                <w:spacing w:val="-1"/>
                                <w:sz w:val="12"/>
                                <w:szCs w:val="12"/>
                              </w:rPr>
                              <w:t xml:space="preserve"> dBA</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27" type="#_x0000_t202" style="width:82.9pt;height:9.95pt;margin-top:641.6pt;margin-left:147.65pt;mso-position-horizontal-relative:page;mso-position-vertical-relative:page;mso-wrap-distance-bottom:0;mso-wrap-distance-left:0;mso-wrap-distance-right:0;mso-wrap-distance-top:0;position:absolute;rotation:270;v-text-anchor:top;z-index:251663360" o:allowincell="f" filled="f" fillcolor="this" stroked="f">
                <v:textbox inset="0,0,0,0">
                  <w:txbxContent>
                    <w:p>
                      <w:pPr>
                        <w:pStyle w:val="BodyText"/>
                        <w:spacing w:before="39" w:line="214" w:lineRule="auto"/>
                        <w:ind w:left="20"/>
                        <w:rPr>
                          <w:sz w:val="12"/>
                          <w:szCs w:val="12"/>
                        </w:rPr>
                      </w:pPr>
                      <w:r>
                        <w:rPr>
                          <w:sz w:val="12"/>
                          <w:szCs w:val="12"/>
                        </w:rPr>
                        <w:t>Project Noise Exposure,</w:t>
                      </w:r>
                      <w:r>
                        <w:rPr>
                          <w:spacing w:val="-1"/>
                          <w:sz w:val="12"/>
                          <w:szCs w:val="12"/>
                        </w:rPr>
                        <w:t xml:space="preserve"> dBA</w:t>
                      </w:r>
                    </w:p>
                  </w:txbxContent>
                </v:textbox>
              </v:shape>
            </w:pict>
          </mc:Fallback>
        </mc:AlternateContent>
      </w:r>
      <w:r>
        <mc:AlternateContent>
          <mc:Choice Requires="wps">
            <w:drawing>
              <wp:anchor distT="0" distB="0" distL="0" distR="0" simplePos="0" relativeHeight="251670528" behindDoc="0" locked="0" layoutInCell="0" allowOverlap="1">
                <wp:simplePos x="0" y="0"/>
                <wp:positionH relativeFrom="page">
                  <wp:posOffset>2451423</wp:posOffset>
                </wp:positionH>
                <wp:positionV relativeFrom="page">
                  <wp:posOffset>8585613</wp:posOffset>
                </wp:positionV>
                <wp:extent cx="64135" cy="125729"/>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2451423" y="8585613"/>
                          <a:ext cx="64135"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8" w:line="214" w:lineRule="auto"/>
                              <w:jc w:val="right"/>
                              <w:rPr>
                                <w:sz w:val="12"/>
                                <w:szCs w:val="12"/>
                              </w:rPr>
                            </w:pPr>
                            <w:r>
                              <w:rPr>
                                <w:w w:val="4"/>
                                <w:sz w:val="12"/>
                                <w:szCs w:val="12"/>
                              </w:rPr>
                              <w:t>Metric:Category1:leq(1hr)</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28" type="#_x0000_t202" style="width:5.05pt;height:9.9pt;margin-top:676.03pt;margin-left:193.03pt;mso-position-horizontal-relative:page;mso-position-vertical-relative:page;mso-wrap-distance-bottom:0;mso-wrap-distance-left:0;mso-wrap-distance-right:0;mso-wrap-distance-top:0;position:absolute;rotation:270;v-text-anchor:top;z-index:251669504" o:allowincell="f" filled="f" fillcolor="this" stroked="f">
                <v:textbox inset="0,0,0,0">
                  <w:txbxContent>
                    <w:p>
                      <w:pPr>
                        <w:pStyle w:val="BodyText"/>
                        <w:spacing w:before="38" w:line="214" w:lineRule="auto"/>
                        <w:jc w:val="right"/>
                        <w:rPr>
                          <w:sz w:val="12"/>
                          <w:szCs w:val="12"/>
                        </w:rPr>
                      </w:pPr>
                      <w:r>
                        <w:rPr>
                          <w:w w:val="4"/>
                          <w:sz w:val="12"/>
                          <w:szCs w:val="12"/>
                        </w:rPr>
                        <w:t>Metric:Category1:leq(1hr)</w:t>
                      </w:r>
                    </w:p>
                  </w:txbxContent>
                </v:textbox>
              </v:shape>
            </w:pict>
          </mc:Fallback>
        </mc:AlternateContent>
      </w:r>
      <w:r>
        <mc:AlternateContent>
          <mc:Choice Requires="wps">
            <w:drawing>
              <wp:anchor distT="0" distB="0" distL="0" distR="0" simplePos="0" relativeHeight="251666432" behindDoc="0" locked="0" layoutInCell="0" allowOverlap="1">
                <wp:simplePos x="0" y="0"/>
                <wp:positionH relativeFrom="page">
                  <wp:posOffset>4719858</wp:posOffset>
                </wp:positionH>
                <wp:positionV relativeFrom="page">
                  <wp:posOffset>8141983</wp:posOffset>
                </wp:positionV>
                <wp:extent cx="1052830" cy="126364"/>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6200000">
                          <a:off x="4719858" y="8141983"/>
                          <a:ext cx="1052830" cy="1263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9" w:line="214" w:lineRule="auto"/>
                              <w:ind w:left="20"/>
                              <w:rPr>
                                <w:sz w:val="12"/>
                                <w:szCs w:val="12"/>
                              </w:rPr>
                            </w:pPr>
                            <w:r>
                              <w:rPr>
                                <w:sz w:val="12"/>
                                <w:szCs w:val="12"/>
                              </w:rPr>
                              <w:t>Project Noise Exposure,</w:t>
                            </w:r>
                            <w:r>
                              <w:rPr>
                                <w:spacing w:val="-1"/>
                                <w:sz w:val="12"/>
                                <w:szCs w:val="12"/>
                              </w:rPr>
                              <w:t xml:space="preserve"> dBA</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29" type="#_x0000_t202" style="width:82.9pt;height:9.95pt;margin-top:641.1pt;margin-left:371.64pt;mso-position-horizontal-relative:page;mso-position-vertical-relative:page;mso-wrap-distance-bottom:0;mso-wrap-distance-left:0;mso-wrap-distance-right:0;mso-wrap-distance-top:0;position:absolute;rotation:270;v-text-anchor:top;z-index:251665408" o:allowincell="f" filled="f" fillcolor="this" stroked="f">
                <v:textbox inset="0,0,0,0">
                  <w:txbxContent>
                    <w:p>
                      <w:pPr>
                        <w:pStyle w:val="BodyText"/>
                        <w:spacing w:before="39" w:line="214" w:lineRule="auto"/>
                        <w:ind w:left="20"/>
                        <w:rPr>
                          <w:sz w:val="12"/>
                          <w:szCs w:val="12"/>
                        </w:rPr>
                      </w:pPr>
                      <w:r>
                        <w:rPr>
                          <w:sz w:val="12"/>
                          <w:szCs w:val="12"/>
                        </w:rPr>
                        <w:t>Project Noise Exposure,</w:t>
                      </w:r>
                      <w:r>
                        <w:rPr>
                          <w:spacing w:val="-1"/>
                          <w:sz w:val="12"/>
                          <w:szCs w:val="12"/>
                        </w:rPr>
                        <w:t xml:space="preserve"> dBA</w:t>
                      </w:r>
                    </w:p>
                  </w:txbxContent>
                </v:textbox>
              </v:shape>
            </w:pict>
          </mc:Fallback>
        </mc:AlternateContent>
      </w:r>
      <w:r>
        <mc:AlternateContent>
          <mc:Choice Requires="wps">
            <w:drawing>
              <wp:anchor distT="0" distB="0" distL="0" distR="0" simplePos="0" relativeHeight="251668480" behindDoc="0" locked="0" layoutInCell="0" allowOverlap="1">
                <wp:simplePos x="0" y="0"/>
                <wp:positionH relativeFrom="page">
                  <wp:posOffset>5276979</wp:posOffset>
                </wp:positionH>
                <wp:positionV relativeFrom="page">
                  <wp:posOffset>8636197</wp:posOffset>
                </wp:positionV>
                <wp:extent cx="90169" cy="125729"/>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6200000">
                          <a:off x="5276979" y="8636197"/>
                          <a:ext cx="90169"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8" w:line="214" w:lineRule="auto"/>
                              <w:jc w:val="right"/>
                              <w:rPr>
                                <w:sz w:val="12"/>
                                <w:szCs w:val="12"/>
                              </w:rPr>
                            </w:pPr>
                            <w:r>
                              <w:rPr>
                                <w:spacing w:val="-1"/>
                                <w:w w:val="8"/>
                                <w:sz w:val="12"/>
                                <w:szCs w:val="12"/>
                              </w:rPr>
                              <w:t>Metric:Category3:Leg(1hr)</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30" type="#_x0000_t202" style="width:7.1pt;height:9.9pt;margin-top:680.02pt;margin-left:415.51pt;mso-position-horizontal-relative:page;mso-position-vertical-relative:page;mso-wrap-distance-bottom:0;mso-wrap-distance-left:0;mso-wrap-distance-right:0;mso-wrap-distance-top:0;position:absolute;rotation:270;v-text-anchor:top;z-index:251667456" o:allowincell="f" filled="f" fillcolor="this" stroked="f">
                <v:textbox inset="0,0,0,0">
                  <w:txbxContent>
                    <w:p>
                      <w:pPr>
                        <w:pStyle w:val="BodyText"/>
                        <w:spacing w:before="38" w:line="214" w:lineRule="auto"/>
                        <w:jc w:val="right"/>
                        <w:rPr>
                          <w:sz w:val="12"/>
                          <w:szCs w:val="12"/>
                        </w:rPr>
                      </w:pPr>
                      <w:r>
                        <w:rPr>
                          <w:spacing w:val="-1"/>
                          <w:w w:val="8"/>
                          <w:sz w:val="12"/>
                          <w:szCs w:val="12"/>
                        </w:rPr>
                        <w:t>Metric:Category3:Leg(1hr)</w:t>
                      </w:r>
                    </w:p>
                  </w:txbxContent>
                </v:textbox>
              </v:shape>
            </w:pict>
          </mc:Fallback>
        </mc:AlternateContent>
      </w:r>
      <w:r>
        <w:rPr>
          <w:rFonts w:ascii="SimHei" w:eastAsia="SimHei" w:hAnsi="SimHei" w:cs="SimHei"/>
          <w:b/>
          <w:bCs/>
          <w:spacing w:val="-17"/>
          <w:sz w:val="20"/>
          <w:szCs w:val="20"/>
        </w:rPr>
        <w:t>4.2.2</w:t>
      </w:r>
      <w:r>
        <w:rPr>
          <w:rFonts w:ascii="SimHei" w:eastAsia="SimHei" w:hAnsi="SimHei" w:cs="SimHei"/>
          <w:spacing w:val="27"/>
          <w:sz w:val="20"/>
          <w:szCs w:val="20"/>
        </w:rPr>
        <w:t xml:space="preserve"> </w:t>
      </w:r>
      <w:r>
        <w:rPr>
          <w:rFonts w:ascii="SimHei" w:eastAsia="SimHei" w:hAnsi="SimHei" w:cs="SimHei"/>
          <w:b/>
          <w:bCs/>
          <w:spacing w:val="-17"/>
          <w:sz w:val="20"/>
          <w:szCs w:val="20"/>
        </w:rPr>
        <w:t>美国</w:t>
      </w:r>
    </w:p>
    <w:p>
      <w:pPr>
        <w:pStyle w:val="BodyText"/>
        <w:spacing w:before="81" w:line="370" w:lineRule="auto"/>
        <w:ind w:left="105" w:right="146" w:firstLine="439"/>
        <w:jc w:val="both"/>
        <w:rPr>
          <w:sz w:val="20"/>
          <w:szCs w:val="20"/>
        </w:rPr>
      </w:pPr>
      <w:r>
        <w:rPr>
          <w:spacing w:val="7"/>
          <w:sz w:val="20"/>
          <w:szCs w:val="20"/>
        </w:rPr>
        <w:t xml:space="preserve">美国运输部联邦公共交通管理局 </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Federal</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Transit</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Administration</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FTA</w:t>
      </w:r>
      <w:r>
        <w:rPr>
          <w:rFonts w:ascii="Times New Roman" w:eastAsia="Times New Roman" w:hAnsi="Times New Roman" w:cs="Times New Roman"/>
          <w:spacing w:val="7"/>
          <w:sz w:val="20"/>
          <w:szCs w:val="20"/>
        </w:rPr>
        <w:t>)</w:t>
      </w:r>
      <w:r>
        <w:rPr>
          <w:rFonts w:ascii="Times New Roman" w:eastAsia="Times New Roman" w:hAnsi="Times New Roman" w:cs="Times New Roman"/>
          <w:spacing w:val="35"/>
          <w:w w:val="101"/>
          <w:sz w:val="20"/>
          <w:szCs w:val="20"/>
        </w:rPr>
        <w:t xml:space="preserve"> </w:t>
      </w:r>
      <w:r>
        <w:rPr>
          <w:spacing w:val="7"/>
          <w:sz w:val="20"/>
          <w:szCs w:val="20"/>
        </w:rPr>
        <w:t>于2018年发布的《交通</w:t>
      </w:r>
      <w:r>
        <w:rPr>
          <w:sz w:val="20"/>
          <w:szCs w:val="20"/>
        </w:rPr>
        <w:t xml:space="preserve"> </w:t>
      </w:r>
      <w:r>
        <w:rPr>
          <w:spacing w:val="8"/>
          <w:sz w:val="20"/>
          <w:szCs w:val="20"/>
        </w:rPr>
        <w:t>噪声及振动影响评估手册》包含了城市轨道交通项目的评价指南，提出了一套城市轨道交</w:t>
      </w:r>
      <w:r>
        <w:rPr>
          <w:spacing w:val="7"/>
          <w:sz w:val="20"/>
          <w:szCs w:val="20"/>
        </w:rPr>
        <w:t>通噪声环境</w:t>
      </w:r>
    </w:p>
    <w:p>
      <w:pPr>
        <w:pStyle w:val="BodyText"/>
        <w:spacing w:line="217" w:lineRule="auto"/>
        <w:ind w:left="105"/>
        <w:rPr>
          <w:sz w:val="20"/>
          <w:szCs w:val="20"/>
        </w:rPr>
      </w:pPr>
      <w:r>
        <w:rPr>
          <w:spacing w:val="8"/>
          <w:sz w:val="20"/>
          <w:szCs w:val="20"/>
        </w:rPr>
        <w:t>影响评价标准，适用于所有城市轨道交通工程及其车辆段、停车场、车站、变电站等设施。</w:t>
      </w:r>
    </w:p>
    <w:p>
      <w:pPr>
        <w:pStyle w:val="BodyText"/>
        <w:spacing w:before="174" w:line="355" w:lineRule="auto"/>
        <w:ind w:left="105" w:right="116" w:firstLine="439"/>
        <w:jc w:val="both"/>
        <w:rPr>
          <w:sz w:val="20"/>
          <w:szCs w:val="20"/>
        </w:rPr>
      </w:pPr>
      <w:r>
        <w:rPr>
          <w:spacing w:val="8"/>
          <w:sz w:val="20"/>
          <w:szCs w:val="20"/>
        </w:rPr>
        <w:t>该套噪声控制与评价标准的值是基于工程所在区域的具体土地利用类别、考虑工程实施前后区域</w:t>
      </w:r>
      <w:r>
        <w:rPr>
          <w:spacing w:val="1"/>
          <w:sz w:val="20"/>
          <w:szCs w:val="20"/>
        </w:rPr>
        <w:t xml:space="preserve"> </w:t>
      </w:r>
      <w:r>
        <w:rPr>
          <w:spacing w:val="11"/>
          <w:sz w:val="20"/>
          <w:szCs w:val="20"/>
        </w:rPr>
        <w:t>环境声级的增加值来确定。该评价标准既包含了绝对性标准(即考虑了轨道交通工程</w:t>
      </w:r>
      <w:r>
        <w:rPr>
          <w:spacing w:val="10"/>
          <w:sz w:val="20"/>
          <w:szCs w:val="20"/>
        </w:rPr>
        <w:t>自身引起的实际</w:t>
      </w:r>
      <w:r>
        <w:rPr>
          <w:sz w:val="20"/>
          <w:szCs w:val="20"/>
        </w:rPr>
        <w:t xml:space="preserve"> </w:t>
      </w:r>
      <w:r>
        <w:rPr>
          <w:spacing w:val="17"/>
          <w:sz w:val="20"/>
          <w:szCs w:val="20"/>
        </w:rPr>
        <w:t>噪声影响),也包含了相对性标准(即考虑由于轨道交通实施而引起的环境声压级增加的影响)。该</w:t>
      </w:r>
      <w:r>
        <w:rPr>
          <w:sz w:val="20"/>
          <w:szCs w:val="20"/>
        </w:rPr>
        <w:t xml:space="preserve"> </w:t>
      </w:r>
      <w:r>
        <w:rPr>
          <w:spacing w:val="5"/>
          <w:sz w:val="20"/>
          <w:szCs w:val="20"/>
        </w:rPr>
        <w:t>标准采用的噪声评价量为</w:t>
      </w:r>
      <w:r>
        <w:rPr>
          <w:rFonts w:ascii="Times New Roman" w:eastAsia="Times New Roman" w:hAnsi="Times New Roman" w:cs="Times New Roman"/>
          <w:sz w:val="20"/>
          <w:szCs w:val="20"/>
        </w:rPr>
        <w:t>Lg</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hr</w:t>
      </w:r>
      <w:r>
        <w:rPr>
          <w:rFonts w:ascii="Times New Roman" w:eastAsia="Times New Roman" w:hAnsi="Times New Roman" w:cs="Times New Roman"/>
          <w:spacing w:val="5"/>
          <w:sz w:val="20"/>
          <w:szCs w:val="20"/>
        </w:rPr>
        <w:t xml:space="preserve">) </w:t>
      </w:r>
      <w:r>
        <w:rPr>
          <w:spacing w:val="5"/>
          <w:sz w:val="20"/>
          <w:szCs w:val="20"/>
        </w:rPr>
        <w:t>和</w:t>
      </w:r>
      <w:r>
        <w:rPr>
          <w:rFonts w:ascii="Times New Roman" w:eastAsia="Times New Roman" w:hAnsi="Times New Roman" w:cs="Times New Roman"/>
          <w:sz w:val="20"/>
          <w:szCs w:val="20"/>
        </w:rPr>
        <w:t>Lan</w:t>
      </w:r>
      <w:r>
        <w:rPr>
          <w:rFonts w:ascii="Times New Roman" w:eastAsia="Times New Roman" w:hAnsi="Times New Roman" w:cs="Times New Roman"/>
          <w:spacing w:val="5"/>
          <w:sz w:val="20"/>
          <w:szCs w:val="20"/>
        </w:rPr>
        <w:t>,</w:t>
      </w:r>
      <w:r>
        <w:rPr>
          <w:rFonts w:ascii="Times New Roman" w:eastAsia="Times New Roman" w:hAnsi="Times New Roman" w:cs="Times New Roman"/>
          <w:spacing w:val="33"/>
          <w:w w:val="101"/>
          <w:sz w:val="20"/>
          <w:szCs w:val="20"/>
        </w:rPr>
        <w:t xml:space="preserve"> </w:t>
      </w:r>
      <w:r>
        <w:rPr>
          <w:spacing w:val="5"/>
          <w:sz w:val="20"/>
          <w:szCs w:val="20"/>
        </w:rPr>
        <w:t>其 中</w:t>
      </w:r>
      <w:r>
        <w:rPr>
          <w:rFonts w:ascii="Times New Roman" w:eastAsia="Times New Roman" w:hAnsi="Times New Roman" w:cs="Times New Roman"/>
          <w:sz w:val="20"/>
          <w:szCs w:val="20"/>
        </w:rPr>
        <w:t>Le</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hr</w:t>
      </w:r>
      <w:r>
        <w:rPr>
          <w:rFonts w:ascii="Times New Roman" w:eastAsia="Times New Roman" w:hAnsi="Times New Roman" w:cs="Times New Roman"/>
          <w:spacing w:val="5"/>
          <w:sz w:val="20"/>
          <w:szCs w:val="20"/>
        </w:rPr>
        <w:t>)</w:t>
      </w:r>
      <w:r>
        <w:rPr>
          <w:rFonts w:ascii="Times New Roman" w:eastAsia="Times New Roman" w:hAnsi="Times New Roman" w:cs="Times New Roman"/>
          <w:spacing w:val="23"/>
          <w:w w:val="101"/>
          <w:sz w:val="20"/>
          <w:szCs w:val="20"/>
        </w:rPr>
        <w:t xml:space="preserve"> </w:t>
      </w:r>
      <w:r>
        <w:rPr>
          <w:spacing w:val="5"/>
          <w:sz w:val="20"/>
          <w:szCs w:val="20"/>
        </w:rPr>
        <w:t>是指轨道交通噪声最</w:t>
      </w:r>
      <w:r>
        <w:rPr>
          <w:spacing w:val="4"/>
          <w:sz w:val="20"/>
          <w:szCs w:val="20"/>
        </w:rPr>
        <w:t>大的1</w:t>
      </w:r>
      <w:r>
        <w:rPr>
          <w:rFonts w:ascii="Times New Roman" w:eastAsia="Times New Roman" w:hAnsi="Times New Roman" w:cs="Times New Roman"/>
          <w:spacing w:val="4"/>
          <w:sz w:val="20"/>
          <w:szCs w:val="20"/>
        </w:rPr>
        <w:t>h</w:t>
      </w:r>
      <w:r>
        <w:rPr>
          <w:spacing w:val="4"/>
          <w:sz w:val="20"/>
          <w:szCs w:val="20"/>
        </w:rPr>
        <w:t>等效声级，而</w:t>
      </w:r>
      <w:r>
        <w:rPr>
          <w:rFonts w:ascii="Times New Roman" w:eastAsia="Times New Roman" w:hAnsi="Times New Roman" w:cs="Times New Roman"/>
          <w:sz w:val="20"/>
          <w:szCs w:val="20"/>
        </w:rPr>
        <w:t>La</w:t>
      </w:r>
      <w:r>
        <w:rPr>
          <w:rFonts w:ascii="Times New Roman" w:eastAsia="Times New Roman" w:hAnsi="Times New Roman" w:cs="Times New Roman"/>
          <w:spacing w:val="4"/>
          <w:sz w:val="20"/>
          <w:szCs w:val="20"/>
        </w:rPr>
        <w:t>,</w:t>
      </w:r>
      <w:r>
        <w:rPr>
          <w:spacing w:val="4"/>
          <w:sz w:val="20"/>
          <w:szCs w:val="20"/>
        </w:rPr>
        <w:t>是指全</w:t>
      </w:r>
    </w:p>
    <w:p>
      <w:pPr>
        <w:pStyle w:val="BodyText"/>
        <w:spacing w:line="212" w:lineRule="auto"/>
        <w:ind w:left="105"/>
        <w:rPr>
          <w:sz w:val="20"/>
          <w:szCs w:val="20"/>
        </w:rPr>
      </w:pPr>
      <w:r>
        <w:rPr>
          <w:spacing w:val="11"/>
          <w:sz w:val="20"/>
          <w:szCs w:val="20"/>
        </w:rPr>
        <w:t>天24小时等效声级(夜间增加10</w:t>
      </w:r>
      <w:r>
        <w:rPr>
          <w:rFonts w:ascii="Times New Roman" w:eastAsia="Times New Roman" w:hAnsi="Times New Roman" w:cs="Times New Roman"/>
          <w:sz w:val="20"/>
          <w:szCs w:val="20"/>
        </w:rPr>
        <w:t>dB</w:t>
      </w:r>
      <w:r>
        <w:rPr>
          <w:rFonts w:ascii="Times New Roman" w:eastAsia="Times New Roman" w:hAnsi="Times New Roman" w:cs="Times New Roman"/>
          <w:spacing w:val="11"/>
          <w:sz w:val="20"/>
          <w:szCs w:val="20"/>
        </w:rPr>
        <w:t>(A)</w:t>
      </w:r>
      <w:r>
        <w:rPr>
          <w:rFonts w:ascii="Times New Roman" w:eastAsia="Times New Roman" w:hAnsi="Times New Roman" w:cs="Times New Roman"/>
          <w:spacing w:val="52"/>
          <w:w w:val="101"/>
          <w:sz w:val="20"/>
          <w:szCs w:val="20"/>
        </w:rPr>
        <w:t xml:space="preserve"> </w:t>
      </w:r>
      <w:r>
        <w:rPr>
          <w:spacing w:val="11"/>
          <w:sz w:val="20"/>
          <w:szCs w:val="20"/>
        </w:rPr>
        <w:t>的修正量)。</w:t>
      </w:r>
    </w:p>
    <w:p>
      <w:pPr>
        <w:pStyle w:val="BodyText"/>
        <w:spacing w:before="171" w:line="218" w:lineRule="auto"/>
        <w:ind w:left="545"/>
        <w:rPr>
          <w:sz w:val="20"/>
          <w:szCs w:val="20"/>
        </w:rPr>
      </w:pPr>
      <w:r>
        <w:rPr>
          <w:spacing w:val="5"/>
          <w:sz w:val="20"/>
          <w:szCs w:val="20"/>
        </w:rPr>
        <w:t>该标准所依据的区域土地利用类别和噪声评价量的对应关系如表4.10。</w:t>
      </w:r>
    </w:p>
    <w:p>
      <w:pPr>
        <w:pStyle w:val="BodyText"/>
        <w:spacing w:before="122" w:line="218" w:lineRule="auto"/>
        <w:ind w:left="1067"/>
      </w:pPr>
      <w:r>
        <w:rPr>
          <w:b/>
          <w:bCs/>
          <w:spacing w:val="-2"/>
        </w:rPr>
        <w:t>表4.10美国交通噪声及振动影响评估手册</w:t>
      </w:r>
      <w:r>
        <w:rPr>
          <w:b/>
          <w:bCs/>
          <w:spacing w:val="-3"/>
        </w:rPr>
        <w:t>中土地利用类别及对应的噪声评价量</w:t>
      </w:r>
    </w:p>
    <w:p>
      <w:pPr>
        <w:spacing w:line="34" w:lineRule="auto"/>
        <w:rPr>
          <w:rFonts w:ascii="Arial"/>
          <w:sz w:val="2"/>
        </w:rPr>
      </w:pPr>
    </w:p>
    <w:tbl>
      <w:tblPr>
        <w:tblStyle w:val="TableNormal7"/>
        <w:tblW w:w="93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1428"/>
        <w:gridCol w:w="6998"/>
      </w:tblGrid>
      <w:tr>
        <w:tblPrEx>
          <w:tblW w:w="93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3"/>
        </w:trPr>
        <w:tc>
          <w:tcPr>
            <w:tcW w:w="964" w:type="dxa"/>
            <w:vAlign w:val="top"/>
          </w:tcPr>
          <w:p>
            <w:pPr>
              <w:pStyle w:val="TableText"/>
              <w:spacing w:before="85" w:line="248" w:lineRule="auto"/>
              <w:ind w:left="175" w:right="162"/>
              <w:rPr>
                <w:sz w:val="20"/>
                <w:szCs w:val="20"/>
              </w:rPr>
            </w:pPr>
            <w:r>
              <w:rPr>
                <w:spacing w:val="4"/>
                <w:sz w:val="20"/>
                <w:szCs w:val="20"/>
              </w:rPr>
              <w:t>土地利</w:t>
            </w:r>
            <w:r>
              <w:rPr>
                <w:spacing w:val="1"/>
                <w:sz w:val="20"/>
                <w:szCs w:val="20"/>
              </w:rPr>
              <w:t xml:space="preserve"> </w:t>
            </w:r>
            <w:r>
              <w:rPr>
                <w:spacing w:val="5"/>
                <w:sz w:val="20"/>
                <w:szCs w:val="20"/>
              </w:rPr>
              <w:t>用类别</w:t>
            </w:r>
          </w:p>
        </w:tc>
        <w:tc>
          <w:tcPr>
            <w:tcW w:w="1428" w:type="dxa"/>
            <w:vAlign w:val="top"/>
          </w:tcPr>
          <w:p>
            <w:pPr>
              <w:pStyle w:val="TableText"/>
              <w:spacing w:before="221" w:line="218" w:lineRule="auto"/>
              <w:ind w:left="201"/>
              <w:rPr>
                <w:sz w:val="20"/>
                <w:szCs w:val="20"/>
              </w:rPr>
            </w:pPr>
            <w:r>
              <w:rPr>
                <w:spacing w:val="1"/>
                <w:sz w:val="20"/>
                <w:szCs w:val="20"/>
              </w:rPr>
              <w:t>噪声评价量</w:t>
            </w:r>
          </w:p>
        </w:tc>
        <w:tc>
          <w:tcPr>
            <w:tcW w:w="6998" w:type="dxa"/>
            <w:vAlign w:val="top"/>
          </w:tcPr>
          <w:p>
            <w:pPr>
              <w:pStyle w:val="TableText"/>
              <w:spacing w:before="223" w:line="219" w:lineRule="auto"/>
              <w:ind w:left="2693"/>
              <w:rPr>
                <w:sz w:val="20"/>
                <w:szCs w:val="20"/>
              </w:rPr>
            </w:pPr>
            <w:r>
              <w:rPr>
                <w:spacing w:val="2"/>
                <w:sz w:val="20"/>
                <w:szCs w:val="20"/>
              </w:rPr>
              <w:t>土地利用类别说明</w:t>
            </w:r>
          </w:p>
        </w:tc>
      </w:tr>
      <w:tr>
        <w:tblPrEx>
          <w:tblW w:w="9390" w:type="dxa"/>
          <w:tblInd w:w="5" w:type="dxa"/>
          <w:tblLayout w:type="fixed"/>
        </w:tblPrEx>
        <w:trPr>
          <w:trHeight w:val="618"/>
        </w:trPr>
        <w:tc>
          <w:tcPr>
            <w:tcW w:w="964" w:type="dxa"/>
            <w:vAlign w:val="top"/>
          </w:tcPr>
          <w:p>
            <w:pPr>
              <w:pStyle w:val="TableText"/>
              <w:spacing w:before="210" w:line="219" w:lineRule="auto"/>
              <w:ind w:left="225"/>
              <w:rPr>
                <w:sz w:val="20"/>
                <w:szCs w:val="20"/>
              </w:rPr>
            </w:pPr>
            <w:r>
              <w:rPr>
                <w:spacing w:val="5"/>
                <w:sz w:val="20"/>
                <w:szCs w:val="20"/>
              </w:rPr>
              <w:t>1类区</w:t>
            </w:r>
          </w:p>
        </w:tc>
        <w:tc>
          <w:tcPr>
            <w:tcW w:w="1428" w:type="dxa"/>
            <w:vAlign w:val="top"/>
          </w:tcPr>
          <w:p>
            <w:pPr>
              <w:pStyle w:val="TableText"/>
              <w:spacing w:before="203" w:line="214" w:lineRule="auto"/>
              <w:ind w:left="201"/>
              <w:rPr>
                <w:sz w:val="20"/>
                <w:szCs w:val="20"/>
              </w:rPr>
            </w:pPr>
            <w:r>
              <w:rPr>
                <w:spacing w:val="-2"/>
                <w:sz w:val="20"/>
                <w:szCs w:val="20"/>
              </w:rPr>
              <w:t>室外Leg(hr</w:t>
            </w:r>
          </w:p>
        </w:tc>
        <w:tc>
          <w:tcPr>
            <w:tcW w:w="6998" w:type="dxa"/>
            <w:vAlign w:val="top"/>
          </w:tcPr>
          <w:p>
            <w:pPr>
              <w:pStyle w:val="TableText"/>
              <w:spacing w:before="48" w:line="258" w:lineRule="auto"/>
              <w:ind w:left="243" w:right="145" w:firstLine="49"/>
              <w:rPr>
                <w:sz w:val="20"/>
                <w:szCs w:val="20"/>
              </w:rPr>
            </w:pPr>
            <w:r>
              <w:rPr>
                <w:sz w:val="20"/>
                <w:szCs w:val="20"/>
              </w:rPr>
              <w:t>安静为基本要素的地块，诸如为安静而预留的土地、露天圆形剧场和音乐</w:t>
            </w:r>
            <w:r>
              <w:rPr>
                <w:spacing w:val="6"/>
                <w:sz w:val="20"/>
                <w:szCs w:val="20"/>
              </w:rPr>
              <w:t xml:space="preserve">  </w:t>
            </w:r>
            <w:r>
              <w:rPr>
                <w:sz w:val="20"/>
                <w:szCs w:val="20"/>
              </w:rPr>
              <w:t>会馆等以及有大量重要户外用途的国家历史地标，还包括录音室和音乐</w:t>
            </w:r>
            <w:r>
              <w:rPr>
                <w:spacing w:val="-1"/>
                <w:sz w:val="20"/>
                <w:szCs w:val="20"/>
              </w:rPr>
              <w:t>厅。</w:t>
            </w:r>
          </w:p>
        </w:tc>
      </w:tr>
      <w:tr>
        <w:tblPrEx>
          <w:tblW w:w="9390" w:type="dxa"/>
          <w:tblInd w:w="5" w:type="dxa"/>
          <w:tblLayout w:type="fixed"/>
        </w:tblPrEx>
        <w:trPr>
          <w:trHeight w:val="388"/>
        </w:trPr>
        <w:tc>
          <w:tcPr>
            <w:tcW w:w="964" w:type="dxa"/>
            <w:vAlign w:val="top"/>
          </w:tcPr>
          <w:p>
            <w:pPr>
              <w:pStyle w:val="TableText"/>
              <w:spacing w:before="102" w:line="219" w:lineRule="auto"/>
              <w:ind w:left="225"/>
              <w:rPr>
                <w:sz w:val="20"/>
                <w:szCs w:val="20"/>
              </w:rPr>
            </w:pPr>
            <w:r>
              <w:rPr>
                <w:spacing w:val="5"/>
                <w:sz w:val="20"/>
                <w:szCs w:val="20"/>
              </w:rPr>
              <w:t>2类区</w:t>
            </w:r>
          </w:p>
        </w:tc>
        <w:tc>
          <w:tcPr>
            <w:tcW w:w="1428" w:type="dxa"/>
            <w:vAlign w:val="top"/>
          </w:tcPr>
          <w:p>
            <w:pPr>
              <w:pStyle w:val="TableText"/>
              <w:spacing w:before="102" w:line="220" w:lineRule="auto"/>
              <w:ind w:left="401"/>
              <w:rPr>
                <w:sz w:val="20"/>
                <w:szCs w:val="20"/>
              </w:rPr>
            </w:pPr>
            <w:r>
              <w:rPr>
                <w:spacing w:val="-3"/>
                <w:sz w:val="20"/>
                <w:szCs w:val="20"/>
              </w:rPr>
              <w:t>室外Ln</w:t>
            </w:r>
          </w:p>
        </w:tc>
        <w:tc>
          <w:tcPr>
            <w:tcW w:w="6998" w:type="dxa"/>
            <w:vAlign w:val="top"/>
          </w:tcPr>
          <w:p>
            <w:pPr>
              <w:pStyle w:val="TableText"/>
              <w:spacing w:before="102" w:line="220" w:lineRule="auto"/>
              <w:ind w:left="133"/>
              <w:rPr>
                <w:sz w:val="20"/>
                <w:szCs w:val="20"/>
              </w:rPr>
            </w:pPr>
            <w:r>
              <w:rPr>
                <w:sz w:val="20"/>
                <w:szCs w:val="20"/>
              </w:rPr>
              <w:t>所有住宅用地和人们通常睡觉的建筑物，如酒店和医院。</w:t>
            </w:r>
          </w:p>
        </w:tc>
      </w:tr>
      <w:tr>
        <w:tblPrEx>
          <w:tblW w:w="9390" w:type="dxa"/>
          <w:tblInd w:w="5" w:type="dxa"/>
          <w:tblLayout w:type="fixed"/>
        </w:tblPrEx>
        <w:trPr>
          <w:trHeight w:val="1260"/>
        </w:trPr>
        <w:tc>
          <w:tcPr>
            <w:tcW w:w="964" w:type="dxa"/>
            <w:vAlign w:val="top"/>
          </w:tcPr>
          <w:p>
            <w:pPr>
              <w:spacing w:line="466" w:lineRule="auto"/>
              <w:rPr>
                <w:rFonts w:ascii="Arial"/>
                <w:sz w:val="21"/>
              </w:rPr>
            </w:pPr>
          </w:p>
          <w:p>
            <w:pPr>
              <w:pStyle w:val="TableText"/>
              <w:spacing w:before="65" w:line="219" w:lineRule="auto"/>
              <w:ind w:left="225"/>
              <w:rPr>
                <w:sz w:val="20"/>
                <w:szCs w:val="20"/>
              </w:rPr>
            </w:pPr>
            <w:r>
              <w:rPr>
                <w:spacing w:val="5"/>
                <w:sz w:val="20"/>
                <w:szCs w:val="20"/>
              </w:rPr>
              <w:t>3类区</w:t>
            </w:r>
          </w:p>
        </w:tc>
        <w:tc>
          <w:tcPr>
            <w:tcW w:w="1428" w:type="dxa"/>
            <w:vAlign w:val="top"/>
          </w:tcPr>
          <w:p>
            <w:pPr>
              <w:spacing w:line="459" w:lineRule="auto"/>
              <w:rPr>
                <w:rFonts w:ascii="Arial"/>
                <w:sz w:val="21"/>
              </w:rPr>
            </w:pPr>
          </w:p>
          <w:p>
            <w:pPr>
              <w:pStyle w:val="TableText"/>
              <w:spacing w:before="65" w:line="214" w:lineRule="auto"/>
              <w:ind w:left="151"/>
              <w:rPr>
                <w:sz w:val="20"/>
                <w:szCs w:val="20"/>
              </w:rPr>
            </w:pPr>
            <w:r>
              <w:rPr>
                <w:spacing w:val="10"/>
                <w:sz w:val="20"/>
                <w:szCs w:val="20"/>
              </w:rPr>
              <w:t>室外</w:t>
            </w:r>
            <w:r>
              <w:rPr>
                <w:sz w:val="20"/>
                <w:szCs w:val="20"/>
              </w:rPr>
              <w:t>Leg</w:t>
            </w:r>
            <w:r>
              <w:rPr>
                <w:spacing w:val="10"/>
                <w:sz w:val="20"/>
                <w:szCs w:val="20"/>
              </w:rPr>
              <w:t>(</w:t>
            </w:r>
            <w:r>
              <w:rPr>
                <w:sz w:val="20"/>
                <w:szCs w:val="20"/>
              </w:rPr>
              <w:t>hr</w:t>
            </w:r>
            <w:r>
              <w:rPr>
                <w:spacing w:val="10"/>
                <w:sz w:val="20"/>
                <w:szCs w:val="20"/>
              </w:rPr>
              <w:t>)</w:t>
            </w:r>
          </w:p>
        </w:tc>
        <w:tc>
          <w:tcPr>
            <w:tcW w:w="6998" w:type="dxa"/>
            <w:vAlign w:val="top"/>
          </w:tcPr>
          <w:p>
            <w:pPr>
              <w:pStyle w:val="TableText"/>
              <w:spacing w:before="72" w:line="219" w:lineRule="auto"/>
              <w:ind w:left="292"/>
              <w:rPr>
                <w:sz w:val="20"/>
                <w:szCs w:val="20"/>
              </w:rPr>
            </w:pPr>
            <w:r>
              <w:rPr>
                <w:sz w:val="20"/>
                <w:szCs w:val="20"/>
              </w:rPr>
              <w:t>主要在白天及傍晚使用的机构用地，诸如学校、</w:t>
            </w:r>
            <w:r>
              <w:rPr>
                <w:spacing w:val="-1"/>
                <w:sz w:val="20"/>
                <w:szCs w:val="20"/>
              </w:rPr>
              <w:t>图书馆、剧院教堂，避免</w:t>
            </w:r>
          </w:p>
          <w:p>
            <w:pPr>
              <w:pStyle w:val="TableText"/>
              <w:spacing w:before="72" w:line="219" w:lineRule="auto"/>
              <w:ind w:left="292"/>
              <w:rPr>
                <w:sz w:val="20"/>
                <w:szCs w:val="20"/>
              </w:rPr>
            </w:pPr>
            <w:r>
              <w:rPr>
                <w:sz w:val="20"/>
                <w:szCs w:val="20"/>
              </w:rPr>
              <w:t>干扰演讲、冥想和阅读等活动是很重要的。与墓地、纪</w:t>
            </w:r>
            <w:r>
              <w:rPr>
                <w:spacing w:val="-1"/>
                <w:sz w:val="20"/>
                <w:szCs w:val="20"/>
              </w:rPr>
              <w:t>念碑、博物馆、露</w:t>
            </w:r>
          </w:p>
          <w:p>
            <w:pPr>
              <w:pStyle w:val="TableText"/>
              <w:spacing w:before="94" w:line="247" w:lineRule="auto"/>
              <w:ind w:left="143" w:right="285" w:firstLine="149"/>
              <w:rPr>
                <w:sz w:val="20"/>
                <w:szCs w:val="20"/>
              </w:rPr>
            </w:pPr>
            <w:r>
              <w:rPr>
                <w:sz w:val="20"/>
                <w:szCs w:val="20"/>
              </w:rPr>
              <w:t>营地和娱乐设施有关的冥想或学习场所也可划归该类，某些历史遗址也包</w:t>
            </w:r>
            <w:r>
              <w:rPr>
                <w:spacing w:val="8"/>
                <w:sz w:val="20"/>
                <w:szCs w:val="20"/>
              </w:rPr>
              <w:t xml:space="preserve"> </w:t>
            </w:r>
            <w:r>
              <w:rPr>
                <w:spacing w:val="-1"/>
                <w:sz w:val="20"/>
                <w:szCs w:val="20"/>
              </w:rPr>
              <w:t>含在内。</w:t>
            </w:r>
          </w:p>
        </w:tc>
      </w:tr>
    </w:tbl>
    <w:p>
      <w:pPr>
        <w:pStyle w:val="BodyText"/>
        <w:spacing w:before="220" w:line="252" w:lineRule="auto"/>
        <w:ind w:left="105" w:right="125"/>
        <w:rPr>
          <w:rFonts w:ascii="Times New Roman" w:eastAsia="Times New Roman" w:hAnsi="Times New Roman" w:cs="Times New Roman"/>
          <w:sz w:val="20"/>
          <w:szCs w:val="20"/>
        </w:rPr>
      </w:pPr>
      <w:r>
        <w:rPr>
          <w:spacing w:val="-6"/>
          <w:sz w:val="20"/>
          <w:szCs w:val="20"/>
        </w:rPr>
        <w:t>资料来源：</w:t>
      </w:r>
      <w:r>
        <w:rPr>
          <w:spacing w:val="-34"/>
          <w:sz w:val="20"/>
          <w:szCs w:val="20"/>
        </w:rPr>
        <w:t xml:space="preserve"> </w:t>
      </w:r>
      <w:r>
        <w:rPr>
          <w:rFonts w:ascii="Times New Roman" w:eastAsia="Times New Roman" w:hAnsi="Times New Roman" w:cs="Times New Roman"/>
          <w:spacing w:val="-6"/>
          <w:sz w:val="20"/>
          <w:szCs w:val="20"/>
        </w:rPr>
        <w:t>Office of</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6"/>
          <w:sz w:val="20"/>
          <w:szCs w:val="20"/>
        </w:rPr>
        <w:t>Planning and Environment,Fed</w:t>
      </w:r>
      <w:r>
        <w:rPr>
          <w:rFonts w:ascii="Times New Roman" w:eastAsia="Times New Roman" w:hAnsi="Times New Roman" w:cs="Times New Roman"/>
          <w:spacing w:val="-7"/>
          <w:sz w:val="20"/>
          <w:szCs w:val="20"/>
        </w:rPr>
        <w:t>eral Transit Administration,U.S.Department of</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7"/>
          <w:sz w:val="20"/>
          <w:szCs w:val="20"/>
        </w:rPr>
        <w:t>Transportation.Transit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6"/>
          <w:sz w:val="20"/>
          <w:szCs w:val="20"/>
        </w:rPr>
        <w:t>noise and vibration impact assessment manual[Z].Washington D.C.2018.9.</w:t>
      </w:r>
    </w:p>
    <w:p>
      <w:pPr>
        <w:pStyle w:val="BodyText"/>
        <w:spacing w:before="135" w:line="354" w:lineRule="auto"/>
        <w:ind w:left="105" w:right="114" w:firstLine="439"/>
        <w:jc w:val="both"/>
        <w:rPr>
          <w:rFonts w:ascii="Times New Roman" w:eastAsia="Times New Roman" w:hAnsi="Times New Roman" w:cs="Times New Roman"/>
          <w:sz w:val="20"/>
          <w:szCs w:val="20"/>
        </w:rPr>
      </w:pPr>
      <w:r>
        <w:rPr>
          <w:spacing w:val="8"/>
          <w:sz w:val="20"/>
          <w:szCs w:val="20"/>
        </w:rPr>
        <w:t>该评价标准由两条曲线划分为三级：无影响区、有影响区和</w:t>
      </w:r>
      <w:r>
        <w:rPr>
          <w:spacing w:val="7"/>
          <w:sz w:val="20"/>
          <w:szCs w:val="20"/>
        </w:rPr>
        <w:t>有严重影响区，具体见图4.3。两条</w:t>
      </w:r>
      <w:r>
        <w:rPr>
          <w:sz w:val="20"/>
          <w:szCs w:val="20"/>
        </w:rPr>
        <w:t xml:space="preserve">  </w:t>
      </w:r>
      <w:r>
        <w:rPr>
          <w:spacing w:val="9"/>
          <w:sz w:val="20"/>
          <w:szCs w:val="20"/>
        </w:rPr>
        <w:t>曲线表示的是对应于各现状环境声级允许增加的轨道交通噪声</w:t>
      </w:r>
      <w:r>
        <w:rPr>
          <w:spacing w:val="8"/>
          <w:sz w:val="20"/>
          <w:szCs w:val="20"/>
        </w:rPr>
        <w:t>声级，超过该值则被定义为有影响区。</w:t>
      </w:r>
      <w:r>
        <w:rPr>
          <w:sz w:val="20"/>
          <w:szCs w:val="20"/>
        </w:rPr>
        <w:t xml:space="preserve"> </w:t>
      </w:r>
      <w:r>
        <w:rPr>
          <w:spacing w:val="8"/>
          <w:sz w:val="20"/>
          <w:szCs w:val="20"/>
        </w:rPr>
        <w:t>对于1类和2类土地利用区的轨道交通噪声最高限值，标准规定轨道交通自身噪声等于或超过65</w:t>
      </w:r>
      <w:r>
        <w:rPr>
          <w:rFonts w:ascii="Times New Roman" w:eastAsia="Times New Roman" w:hAnsi="Times New Roman" w:cs="Times New Roman"/>
          <w:sz w:val="20"/>
          <w:szCs w:val="20"/>
        </w:rPr>
        <w:t>dB</w:t>
      </w:r>
      <w:r>
        <w:rPr>
          <w:rFonts w:ascii="Times New Roman" w:eastAsia="Times New Roman" w:hAnsi="Times New Roman" w:cs="Times New Roman"/>
          <w:spacing w:val="8"/>
          <w:sz w:val="20"/>
          <w:szCs w:val="20"/>
        </w:rPr>
        <w:t>(A)</w:t>
      </w:r>
    </w:p>
    <w:p>
      <w:pPr>
        <w:pStyle w:val="BodyText"/>
        <w:spacing w:line="212" w:lineRule="auto"/>
        <w:ind w:left="105"/>
        <w:rPr>
          <w:sz w:val="20"/>
          <w:szCs w:val="20"/>
        </w:rPr>
      </w:pPr>
      <w:r>
        <w:rPr>
          <w:spacing w:val="7"/>
          <w:sz w:val="20"/>
          <w:szCs w:val="20"/>
        </w:rPr>
        <w:t>的为有影响区，等于或超过75</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(A)</w:t>
      </w:r>
      <w:r>
        <w:rPr>
          <w:spacing w:val="7"/>
          <w:sz w:val="20"/>
          <w:szCs w:val="20"/>
        </w:rPr>
        <w:t>的为有严重影响区；3类土地利用区相应的标准值比1、2类土地利</w:t>
      </w:r>
    </w:p>
    <w:p>
      <w:pPr>
        <w:pStyle w:val="BodyText"/>
        <w:spacing w:before="184" w:line="220" w:lineRule="auto"/>
        <w:ind w:left="105"/>
        <w:rPr>
          <w:sz w:val="20"/>
          <w:szCs w:val="20"/>
        </w:rPr>
        <w:sectPr>
          <w:footerReference w:type="default" r:id="rId37"/>
          <w:pgSz w:w="11910" w:h="16840"/>
          <w:pgMar w:top="1431" w:right="1264" w:bottom="1148" w:left="1244" w:header="0" w:footer="1009" w:gutter="0"/>
          <w:pgNumType w:start="26"/>
          <w:cols w:space="708"/>
        </w:sectPr>
      </w:pPr>
      <w:r>
        <w:rPr>
          <w:spacing w:val="2"/>
          <w:sz w:val="20"/>
          <w:szCs w:val="20"/>
        </w:rPr>
        <w:t>用区放宽5</w:t>
      </w:r>
      <w:r>
        <w:rPr>
          <w:sz w:val="20"/>
          <w:szCs w:val="20"/>
        </w:rPr>
        <w:t>dB</w:t>
      </w:r>
      <w:r>
        <w:rPr>
          <w:spacing w:val="2"/>
          <w:sz w:val="20"/>
          <w:szCs w:val="20"/>
        </w:rPr>
        <w:t>(A)。</w:t>
      </w:r>
    </w:p>
    <w:p>
      <w:pPr>
        <w:spacing w:before="23" w:line="3610" w:lineRule="exact"/>
        <w:ind w:firstLine="2715"/>
      </w:pPr>
      <w:r>
        <w:rPr>
          <w:position w:val="-72"/>
        </w:rPr>
        <w:drawing>
          <wp:inline distT="0" distB="0" distL="0" distR="0">
            <wp:extent cx="2686097" cy="229234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8"/>
                    <a:stretch>
                      <a:fillRect/>
                    </a:stretch>
                  </pic:blipFill>
                  <pic:spPr>
                    <a:xfrm>
                      <a:off x="0" y="0"/>
                      <a:ext cx="2686097" cy="2292344"/>
                    </a:xfrm>
                    <a:prstGeom prst="rect">
                      <a:avLst/>
                    </a:prstGeom>
                  </pic:spPr>
                </pic:pic>
              </a:graphicData>
            </a:graphic>
          </wp:inline>
        </w:drawing>
      </w:r>
    </w:p>
    <w:p>
      <w:pPr>
        <w:spacing w:before="27" w:line="198" w:lineRule="auto"/>
        <w:ind w:left="3955"/>
        <w:rPr>
          <w:rFonts w:ascii="Arial" w:eastAsia="Arial" w:hAnsi="Arial" w:cs="Arial"/>
          <w:sz w:val="14"/>
          <w:szCs w:val="14"/>
        </w:rPr>
      </w:pPr>
      <w:r>
        <w:rPr>
          <w:rFonts w:ascii="Arial" w:eastAsia="Arial" w:hAnsi="Arial" w:cs="Arial"/>
          <w:spacing w:val="-3"/>
          <w:sz w:val="14"/>
          <w:szCs w:val="14"/>
        </w:rPr>
        <w:t>Existing</w:t>
      </w:r>
      <w:r>
        <w:rPr>
          <w:rFonts w:ascii="Arial" w:eastAsia="Arial" w:hAnsi="Arial" w:cs="Arial"/>
          <w:spacing w:val="12"/>
          <w:sz w:val="14"/>
          <w:szCs w:val="14"/>
        </w:rPr>
        <w:t xml:space="preserve"> </w:t>
      </w:r>
      <w:r>
        <w:rPr>
          <w:rFonts w:ascii="Arial" w:eastAsia="Arial" w:hAnsi="Arial" w:cs="Arial"/>
          <w:spacing w:val="-3"/>
          <w:sz w:val="14"/>
          <w:szCs w:val="14"/>
        </w:rPr>
        <w:t>Noise</w:t>
      </w:r>
      <w:r>
        <w:rPr>
          <w:rFonts w:ascii="Arial" w:eastAsia="Arial" w:hAnsi="Arial" w:cs="Arial"/>
          <w:spacing w:val="9"/>
          <w:w w:val="102"/>
          <w:sz w:val="14"/>
          <w:szCs w:val="14"/>
        </w:rPr>
        <w:t xml:space="preserve"> </w:t>
      </w:r>
      <w:r>
        <w:rPr>
          <w:rFonts w:ascii="Arial" w:eastAsia="Arial" w:hAnsi="Arial" w:cs="Arial"/>
          <w:spacing w:val="-3"/>
          <w:sz w:val="14"/>
          <w:szCs w:val="14"/>
        </w:rPr>
        <w:t>Exposure (dBA)</w:t>
      </w:r>
    </w:p>
    <w:p>
      <w:pPr>
        <w:spacing w:before="74" w:line="222" w:lineRule="auto"/>
        <w:ind w:left="3337"/>
        <w:rPr>
          <w:rFonts w:ascii="SimHei" w:eastAsia="SimHei" w:hAnsi="SimHei" w:cs="SimHei"/>
          <w:sz w:val="20"/>
          <w:szCs w:val="20"/>
        </w:rPr>
      </w:pPr>
      <w:r>
        <w:rPr>
          <w:rFonts w:ascii="SimHei" w:eastAsia="SimHei" w:hAnsi="SimHei" w:cs="SimHei"/>
          <w:b/>
          <w:bCs/>
          <w:spacing w:val="8"/>
          <w:sz w:val="20"/>
          <w:szCs w:val="20"/>
        </w:rPr>
        <w:t>图4.3</w:t>
      </w:r>
      <w:r>
        <w:rPr>
          <w:rFonts w:ascii="SimHei" w:eastAsia="SimHei" w:hAnsi="SimHei" w:cs="SimHei"/>
          <w:spacing w:val="8"/>
          <w:sz w:val="20"/>
          <w:szCs w:val="20"/>
        </w:rPr>
        <w:t xml:space="preserve"> </w:t>
      </w:r>
      <w:r>
        <w:rPr>
          <w:rFonts w:ascii="SimHei" w:eastAsia="SimHei" w:hAnsi="SimHei" w:cs="SimHei"/>
          <w:b/>
          <w:bCs/>
          <w:spacing w:val="8"/>
          <w:sz w:val="20"/>
          <w:szCs w:val="20"/>
        </w:rPr>
        <w:t>交通项目噪声影响标准</w:t>
      </w:r>
    </w:p>
    <w:p>
      <w:pPr>
        <w:spacing w:line="222" w:lineRule="auto"/>
        <w:rPr>
          <w:rFonts w:ascii="SimHei" w:eastAsia="SimHei" w:hAnsi="SimHei" w:cs="SimHei"/>
          <w:sz w:val="20"/>
          <w:szCs w:val="20"/>
        </w:rPr>
      </w:pPr>
      <w:r>
        <w:rPr>
          <w:rFonts w:ascii="SimHei" w:eastAsia="SimHei" w:hAnsi="SimHei" w:cs="SimHei"/>
          <w:sz w:val="20"/>
          <w:szCs w:val="20"/>
        </w:rPr>
        <w:br/>
      </w:r>
      <w:r>
        <w:rPr>
          <w:rFonts w:ascii="SimHei" w:eastAsia="SimHei" w:hAnsi="SimHei" w:cs="SimHei"/>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https://d.book118.com/126050130054010050</w:t>
        </w:r>
      </w:hyperlink>
    </w:p>
    <w:p>
      <w:pPr>
        <w:spacing w:line="222" w:lineRule="auto"/>
        <w:rPr>
          <w:rFonts w:ascii="SimHei" w:eastAsia="SimHei" w:hAnsi="SimHei" w:cs="SimHei"/>
          <w:sz w:val="20"/>
          <w:szCs w:val="20"/>
        </w:rPr>
      </w:pPr>
    </w:p>
    <w:sectPr>
      <w:footerReference w:type="default" r:id="rId40"/>
      <w:type w:val="nextPage"/>
      <w:pgSz w:w="11910" w:h="16840"/>
      <w:pgMar w:top="1431" w:right="1264" w:bottom="1148" w:left="1244" w:header="0" w:footer="1009" w:gutter="0"/>
      <w:pgNumType w:start="2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3" w:lineRule="auto"/>
      <w:ind w:left="4103"/>
      <w:rPr>
        <w:sz w:val="9"/>
        <w:szCs w:val="9"/>
      </w:rPr>
    </w:pPr>
    <w:r>
      <w:rPr>
        <w:sz w:val="9"/>
        <w:szCs w:val="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3" w:lineRule="auto"/>
      <w:ind w:left="4103"/>
      <w:rPr>
        <w:sz w:val="9"/>
        <w:szCs w:val="9"/>
      </w:rPr>
    </w:pPr>
    <w:r>
      <w:rPr>
        <w:sz w:val="9"/>
        <w:szCs w:val="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83"/>
      <w:rPr>
        <w:sz w:val="16"/>
        <w:szCs w:val="16"/>
      </w:rPr>
    </w:pPr>
    <w:r>
      <w:rPr>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93"/>
      <w:rPr>
        <w:sz w:val="16"/>
        <w:szCs w:val="16"/>
      </w:rPr>
    </w:pPr>
    <w:r>
      <w:rPr>
        <w:sz w:val="16"/>
        <w:szCs w:val="16"/>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93"/>
      <w:rPr>
        <w:sz w:val="16"/>
        <w:szCs w:val="16"/>
      </w:rPr>
    </w:pPr>
    <w:r>
      <w:rPr>
        <w:sz w:val="16"/>
        <w:szCs w:val="1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83"/>
      <w:rPr>
        <w:sz w:val="16"/>
        <w:szCs w:val="16"/>
      </w:rPr>
    </w:pPr>
    <w:r>
      <w:rPr>
        <w:sz w:val="16"/>
        <w:szCs w:val="16"/>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83"/>
      <w:rPr>
        <w:sz w:val="16"/>
        <w:szCs w:val="16"/>
      </w:rPr>
    </w:pPr>
    <w:r>
      <w:rPr>
        <w:sz w:val="16"/>
        <w:szCs w:val="16"/>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3"/>
      <w:rPr>
        <w:sz w:val="16"/>
        <w:szCs w:val="16"/>
      </w:rPr>
    </w:pPr>
    <w:r>
      <w:rPr>
        <w:sz w:val="16"/>
        <w:szCs w:val="16"/>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3"/>
      <w:rPr>
        <w:sz w:val="16"/>
        <w:szCs w:val="16"/>
      </w:rPr>
    </w:pPr>
    <w:r>
      <w:rPr>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103"/>
      <w:rPr>
        <w:sz w:val="16"/>
        <w:szCs w:val="16"/>
      </w:rPr>
    </w:pPr>
    <w:r>
      <w:rPr>
        <w:sz w:val="16"/>
        <w:szCs w:val="16"/>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103"/>
      <w:rPr>
        <w:sz w:val="16"/>
        <w:szCs w:val="16"/>
      </w:rPr>
    </w:pPr>
    <w:r>
      <w:rPr>
        <w:sz w:val="16"/>
        <w:szCs w:val="16"/>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103"/>
      <w:rPr>
        <w:sz w:val="16"/>
        <w:szCs w:val="16"/>
      </w:rPr>
    </w:pPr>
    <w:r>
      <w:rPr>
        <w:sz w:val="16"/>
        <w:szCs w:val="16"/>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103"/>
      <w:rPr>
        <w:sz w:val="16"/>
        <w:szCs w:val="16"/>
      </w:rPr>
    </w:pPr>
    <w:r>
      <w:rPr>
        <w:sz w:val="16"/>
        <w:szCs w:val="16"/>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655"/>
      <w:rPr>
        <w:sz w:val="16"/>
        <w:szCs w:val="16"/>
      </w:rPr>
    </w:pPr>
    <w:r>
      <w:rPr>
        <w:sz w:val="16"/>
        <w:szCs w:val="16"/>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655"/>
      <w:rPr>
        <w:sz w:val="16"/>
        <w:szCs w:val="16"/>
      </w:rPr>
    </w:pPr>
    <w:r>
      <w:rPr>
        <w:sz w:val="16"/>
        <w:szCs w:val="16"/>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635"/>
      <w:rPr>
        <w:sz w:val="15"/>
        <w:szCs w:val="15"/>
      </w:rPr>
    </w:pPr>
    <w:r>
      <w:rPr>
        <w:spacing w:val="-5"/>
        <w:sz w:val="15"/>
        <w:szCs w:val="15"/>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635"/>
      <w:rPr>
        <w:sz w:val="15"/>
        <w:szCs w:val="15"/>
      </w:rPr>
    </w:pPr>
    <w:r>
      <w:rPr>
        <w:spacing w:val="-5"/>
        <w:sz w:val="15"/>
        <w:szCs w:val="15"/>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615"/>
      <w:rPr>
        <w:sz w:val="16"/>
        <w:szCs w:val="16"/>
      </w:rPr>
    </w:pPr>
    <w:r>
      <w:rPr>
        <w:spacing w:val="-5"/>
        <w:sz w:val="16"/>
        <w:szCs w:val="16"/>
      </w:rPr>
      <w:t>11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615"/>
      <w:rPr>
        <w:sz w:val="16"/>
        <w:szCs w:val="16"/>
      </w:rPr>
    </w:pPr>
    <w:r>
      <w:rPr>
        <w:spacing w:val="-5"/>
        <w:sz w:val="16"/>
        <w:szCs w:val="16"/>
      </w:rPr>
      <w:t>11</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554"/>
      <w:rPr>
        <w:sz w:val="15"/>
        <w:szCs w:val="15"/>
      </w:rPr>
    </w:pPr>
    <w:r>
      <w:rPr>
        <w:spacing w:val="-5"/>
        <w:sz w:val="15"/>
        <w:szCs w:val="15"/>
      </w:rPr>
      <w:t>12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554"/>
      <w:rPr>
        <w:sz w:val="15"/>
        <w:szCs w:val="15"/>
      </w:rPr>
    </w:pPr>
    <w:r>
      <w:rPr>
        <w:spacing w:val="-5"/>
        <w:sz w:val="15"/>
        <w:szCs w:val="15"/>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09"/>
      <w:rPr>
        <w:rFonts w:ascii="SimHei" w:eastAsia="SimHei" w:hAnsi="SimHei" w:cs="SimHei"/>
        <w:sz w:val="15"/>
        <w:szCs w:val="15"/>
      </w:rPr>
    </w:pPr>
    <w:r>
      <w:rPr>
        <w:rFonts w:ascii="SimHei" w:eastAsia="SimHei" w:hAnsi="SimHei" w:cs="SimHei"/>
        <w:spacing w:val="-4"/>
        <w:sz w:val="15"/>
        <w:szCs w:val="15"/>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09"/>
      <w:rPr>
        <w:rFonts w:ascii="SimHei" w:eastAsia="SimHei" w:hAnsi="SimHei" w:cs="SimHei"/>
        <w:sz w:val="15"/>
        <w:szCs w:val="15"/>
      </w:rPr>
    </w:pPr>
    <w:r>
      <w:rPr>
        <w:rFonts w:ascii="SimHei" w:eastAsia="SimHei" w:hAnsi="SimHei" w:cs="SimHei"/>
        <w:spacing w:val="-4"/>
        <w:sz w:val="15"/>
        <w:szCs w:val="15"/>
      </w:rPr>
      <w:t>13</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615"/>
      <w:rPr>
        <w:sz w:val="15"/>
        <w:szCs w:val="15"/>
      </w:rPr>
    </w:pPr>
    <w:r>
      <w:rPr>
        <w:spacing w:val="-5"/>
        <w:sz w:val="15"/>
        <w:szCs w:val="15"/>
      </w:rPr>
      <w:t>14</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615"/>
      <w:rPr>
        <w:sz w:val="15"/>
        <w:szCs w:val="15"/>
      </w:rPr>
    </w:pPr>
    <w:r>
      <w:rPr>
        <w:spacing w:val="-5"/>
        <w:sz w:val="15"/>
        <w:szCs w:val="15"/>
      </w:rPr>
      <w:t>14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615"/>
      <w:rPr>
        <w:sz w:val="14"/>
        <w:szCs w:val="14"/>
      </w:rPr>
    </w:pPr>
    <w:r>
      <w:rPr>
        <w:spacing w:val="-4"/>
        <w:sz w:val="14"/>
        <w:szCs w:val="14"/>
      </w:rPr>
      <w:t>15</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615"/>
      <w:rPr>
        <w:sz w:val="14"/>
        <w:szCs w:val="14"/>
      </w:rPr>
    </w:pPr>
    <w:r>
      <w:rPr>
        <w:spacing w:val="-4"/>
        <w:sz w:val="14"/>
        <w:szCs w:val="14"/>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image" Target="media/image1.jpeg"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image" Target="media/image2.jpeg" /><Relationship Id="rId16" Type="http://schemas.openxmlformats.org/officeDocument/2006/relationships/image" Target="media/image3.jpeg"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hyperlink" Target="ttps://www.epd.gov.hk/epd/noise" TargetMode="Externa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footer" Target="footer22.xml" /><Relationship Id="rId32" Type="http://schemas.openxmlformats.org/officeDocument/2006/relationships/image" Target="media/image6.jpeg" /><Relationship Id="rId33" Type="http://schemas.openxmlformats.org/officeDocument/2006/relationships/footer" Target="footer23.xml" /><Relationship Id="rId34" Type="http://schemas.openxmlformats.org/officeDocument/2006/relationships/hyperlink" Target="http://www.stadtentwicklung.berlin.de/index" TargetMode="Externa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image" Target="media/image7.jpeg" /><Relationship Id="rId39" Type="http://schemas.openxmlformats.org/officeDocument/2006/relationships/hyperlink" Target="https://d.book118.com/126050130054010050" TargetMode="External" /><Relationship Id="rId4" Type="http://schemas.openxmlformats.org/officeDocument/2006/relationships/footer" Target="footer1.xml" /><Relationship Id="rId40" Type="http://schemas.openxmlformats.org/officeDocument/2006/relationships/footer" Target="footer27.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2024-02-17T21:57:11Z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2024-02-17T21:57:16Z</vt:filetime>
  </property>
  <property fmtid="{D5CDD505-2E9C-101B-9397-08002B2CF9AE}" pid="3" name="CRO">
    <vt:lpwstr>wqlLaW5nc29mdCBQREYgdG8gV1BTIDkw</vt:lpwstr>
  </property>
  <property fmtid="{D5CDD505-2E9C-101B-9397-08002B2CF9AE}" pid="4" name="UsrData">
    <vt:lpwstr>65d0bb2e843f42001f6e9b95wl</vt:lpwstr>
  </property>
</Properties>
</file>