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  <w:r>
        <w:pict>
          <v:group id="_x0000_s1025" style="width:77pt;height:81.75pt;margin-top:277.75pt;margin-left:90.8pt;mso-position-horizontal-relative:page;mso-position-vertical-relative:page;position:absolute;z-index:-251653120" coordorigin="0,0" coordsize="1540,1635" o:allowincell="f" filled="f" stroked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type="#_x0000_t202" style="width:1580;height:167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"/>
                      <w:tblW w:w="1530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>
                    <w:tblGrid>
                      <w:gridCol w:w="1530"/>
                    </w:tblGrid>
                    <w:tr>
                      <w:tblPrEx>
                        <w:tblW w:w="1530" w:type="dxa"/>
                        <w:tblInd w:w="25" w:type="dxa"/>
                        <w:tbl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blBorders>
                        <w:tblLayout w:type="fixed"/>
                      </w:tblPrEx>
                      <w:trPr>
                        <w:trHeight w:val="1614"/>
                      </w:trPr>
                      <w:tc>
                        <w:tcPr>
                          <w:tcW w:w="1530" w:type="dxa"/>
                          <w:shd w:val="clear" w:color="auto" w:fill="D6939B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027" style="width:77pt;height:81.65pt;margin-top:358.45pt;margin-left:90.8pt;mso-position-horizontal-relative:page;mso-position-vertical-relative:page;position:absolute;z-index:-251654144" coordorigin="0,0" coordsize="1540,1633" o:allowincell="f" filled="f" stroked="f">
            <v:shape id="_x0000_s1028" type="#_x0000_t202" style="width:1580;height:167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"/>
                      <w:tblW w:w="1530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>
                    <w:tblGrid>
                      <w:gridCol w:w="1530"/>
                    </w:tblGrid>
                    <w:tr>
                      <w:tblPrEx>
                        <w:tblW w:w="1530" w:type="dxa"/>
                        <w:tblInd w:w="25" w:type="dxa"/>
                        <w:tbl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blBorders>
                        <w:tblLayout w:type="fixed"/>
                      </w:tblPrEx>
                      <w:trPr>
                        <w:trHeight w:val="1612"/>
                      </w:trPr>
                      <w:tc>
                        <w:tcPr>
                          <w:tcW w:w="1530" w:type="dxa"/>
                          <w:shd w:val="clear" w:color="auto" w:fill="BE535F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6373495</wp:posOffset>
            </wp:positionH>
            <wp:positionV relativeFrom="page">
              <wp:posOffset>8829040</wp:posOffset>
            </wp:positionV>
            <wp:extent cx="738504" cy="78359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504" cy="78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9749790</wp:posOffset>
            </wp:positionV>
            <wp:extent cx="7559040" cy="11239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12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670559</wp:posOffset>
            </wp:positionV>
            <wp:extent cx="7560309" cy="7162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71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231" w:line="233" w:lineRule="auto"/>
        <w:ind w:left="4178" w:right="1278" w:firstLine="174"/>
        <w:outlineLvl w:val="0"/>
        <w:rPr>
          <w:rFonts w:ascii="SimHei" w:eastAsia="SimHei" w:hAnsi="SimHei" w:cs="SimHei"/>
          <w:sz w:val="71"/>
          <w:szCs w:val="71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column">
                  <wp:posOffset>2033905</wp:posOffset>
                </wp:positionH>
                <wp:positionV relativeFrom="paragraph">
                  <wp:posOffset>-2743496</wp:posOffset>
                </wp:positionV>
                <wp:extent cx="5526404" cy="10671175"/>
                <wp:effectExtent l="0" t="0" r="0" b="0"/>
                <wp:wrapNone/>
                <wp:docPr id="8" name="Rect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033905" y="-2743496"/>
                          <a:ext cx="5526404" cy="10671175"/>
                        </a:xfrm>
                        <a:prstGeom prst="rect">
                          <a:avLst/>
                        </a:prstGeom>
                        <a:solidFill>
                          <a:srgbClr val="737373">
                            <a:alpha val="5098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" o:spid="_x0000_s1029" style="width:435.15pt;height:840.25pt;margin-top:-216.02pt;margin-left:160.15pt;mso-wrap-distance-bottom:0;mso-wrap-distance-left:0;mso-wrap-distance-right:0;mso-wrap-distance-top:0;position:absolute;v-text-anchor:top;z-index:-251656192" fillcolor="#737373" stroked="f">
                <v:fill opacity="33411f"/>
              </v:rect>
            </w:pict>
          </mc:Fallback>
        </mc:AlternateContent>
      </w:r>
      <w:r>
        <w:pict>
          <v:shape id="_x0000_s1030" type="#_x0000_t202" style="width:79.1pt;height:245pt;margin-top:-19.92pt;margin-left:13.75pt;position:absolute;z-index:-25165209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53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  <w:insideH w:val="single" w:sz="4" w:space="0" w:color="FFFFFF"/>
                      <w:insideV w:val="single" w:sz="4" w:space="0" w:color="FFFFFF"/>
                    </w:tblBorders>
                    <w:tblLayout w:type="fixed"/>
                  </w:tblPr>
                  <w:tblGrid>
                    <w:gridCol w:w="1531"/>
                  </w:tblGrid>
                  <w:tr>
                    <w:tblPrEx>
                      <w:tblW w:w="153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  <w:insideH w:val="single" w:sz="4" w:space="0" w:color="FFFFFF"/>
                        <w:insideV w:val="single" w:sz="4" w:space="0" w:color="FFFFFF"/>
                      </w:tblBorders>
                      <w:tblLayout w:type="fixed"/>
                    </w:tblPrEx>
                    <w:trPr>
                      <w:trHeight w:val="1605"/>
                    </w:trPr>
                    <w:tc>
                      <w:tcPr>
                        <w:tcW w:w="1531" w:type="dxa"/>
                        <w:shd w:val="clear" w:color="auto" w:fill="D6939B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1531" w:type="dxa"/>
                      <w:tblInd w:w="25" w:type="dxa"/>
                      <w:tblLayout w:type="fixed"/>
                    </w:tblPrEx>
                    <w:trPr>
                      <w:trHeight w:val="1610"/>
                    </w:trPr>
                    <w:tc>
                      <w:tcPr>
                        <w:tcW w:w="1531" w:type="dxa"/>
                        <w:shd w:val="clear" w:color="auto" w:fill="BE535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1531" w:type="dxa"/>
                      <w:tblInd w:w="25" w:type="dxa"/>
                      <w:tblLayout w:type="fixed"/>
                    </w:tblPrEx>
                    <w:trPr>
                      <w:trHeight w:val="1605"/>
                    </w:trPr>
                    <w:tc>
                      <w:tcPr>
                        <w:tcW w:w="1531" w:type="dxa"/>
                        <w:shd w:val="clear" w:color="auto" w:fill="D6939B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8"/>
          <w:sz w:val="71"/>
          <w:szCs w:val="71"/>
        </w:rPr>
        <w:t>梅州市</w:t>
      </w:r>
      <w:r>
        <w:rPr>
          <w:rFonts w:ascii="SimHei" w:eastAsia="SimHei" w:hAnsi="SimHei" w:cs="SimHei"/>
          <w:spacing w:val="-145"/>
          <w:sz w:val="71"/>
          <w:szCs w:val="71"/>
        </w:rPr>
        <w:t xml:space="preserve"> </w:t>
      </w:r>
      <w:r>
        <w:rPr>
          <w:rFonts w:ascii="SimHei" w:eastAsia="SimHei" w:hAnsi="SimHei" w:cs="SimHei"/>
          <w:spacing w:val="-8"/>
          <w:sz w:val="71"/>
          <w:szCs w:val="71"/>
        </w:rPr>
        <w:t>2024</w:t>
      </w:r>
      <w:r>
        <w:rPr>
          <w:rFonts w:ascii="SimHei" w:eastAsia="SimHei" w:hAnsi="SimHei" w:cs="SimHei"/>
          <w:spacing w:val="-144"/>
          <w:sz w:val="71"/>
          <w:szCs w:val="71"/>
        </w:rPr>
        <w:t xml:space="preserve"> </w:t>
      </w:r>
      <w:r>
        <w:rPr>
          <w:rFonts w:ascii="SimHei" w:eastAsia="SimHei" w:hAnsi="SimHei" w:cs="SimHei"/>
          <w:spacing w:val="-8"/>
          <w:sz w:val="71"/>
          <w:szCs w:val="71"/>
        </w:rPr>
        <w:t>年</w:t>
      </w:r>
      <w:r>
        <w:rPr>
          <w:rFonts w:ascii="SimHei" w:eastAsia="SimHei" w:hAnsi="SimHei" w:cs="SimHei"/>
          <w:spacing w:val="-153"/>
          <w:sz w:val="71"/>
          <w:szCs w:val="71"/>
        </w:rPr>
        <w:t xml:space="preserve"> </w:t>
      </w:r>
      <w:r>
        <w:rPr>
          <w:rFonts w:ascii="SimHei" w:eastAsia="SimHei" w:hAnsi="SimHei" w:cs="SimHei"/>
          <w:spacing w:val="-8"/>
          <w:sz w:val="71"/>
          <w:szCs w:val="71"/>
        </w:rPr>
        <w:t>2</w:t>
      </w:r>
      <w:r>
        <w:rPr>
          <w:rFonts w:ascii="SimHei" w:eastAsia="SimHei" w:hAnsi="SimHei" w:cs="SimHei"/>
          <w:spacing w:val="-130"/>
          <w:sz w:val="71"/>
          <w:szCs w:val="71"/>
        </w:rPr>
        <w:t xml:space="preserve"> </w:t>
      </w:r>
      <w:r>
        <w:rPr>
          <w:rFonts w:ascii="SimHei" w:eastAsia="SimHei" w:hAnsi="SimHei" w:cs="SimHei"/>
          <w:spacing w:val="-8"/>
          <w:sz w:val="71"/>
          <w:szCs w:val="71"/>
        </w:rPr>
        <w:t>月</w:t>
      </w:r>
      <w:r>
        <w:rPr>
          <w:rFonts w:ascii="SimHei" w:eastAsia="SimHei" w:hAnsi="SimHei" w:cs="SimHei"/>
          <w:sz w:val="71"/>
          <w:szCs w:val="71"/>
        </w:rPr>
        <w:t xml:space="preserve"> </w:t>
      </w:r>
      <w:r>
        <w:rPr>
          <w:rFonts w:ascii="SimHei" w:eastAsia="SimHei" w:hAnsi="SimHei" w:cs="SimHei"/>
          <w:spacing w:val="6"/>
          <w:sz w:val="71"/>
          <w:szCs w:val="71"/>
        </w:rPr>
        <w:t>房地产市场监测月报</w:t>
      </w: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103" w:line="183" w:lineRule="auto"/>
        <w:ind w:left="773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4"/>
          <w:szCs w:val="24"/>
        </w:rPr>
        <w:t>易居企业（中国）集团有限公司</w:t>
      </w:r>
    </w:p>
    <w:p>
      <w:pPr>
        <w:pStyle w:val="BodyText"/>
        <w:spacing w:before="141" w:line="1633" w:lineRule="exact"/>
        <w:ind w:firstLine="1816"/>
      </w:pPr>
      <w:r>
        <w:rPr>
          <w:position w:val="-32"/>
        </w:rPr>
        <w:pict>
          <v:group id="_x0000_i1031" style="width:77pt;height:81.65pt;mso-position-horizontal-relative:char;mso-position-vertical-relative:line" coordorigin="0,0" coordsize="1540,1633" filled="f" stroked="f">
            <v:shape id="_x0000_s1032" type="#_x0000_t202" style="width:1580;height:167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"/>
                      <w:tblW w:w="1530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>
                    <w:tblGrid>
                      <w:gridCol w:w="1530"/>
                    </w:tblGrid>
                    <w:tr>
                      <w:tblPrEx>
                        <w:tblW w:w="1530" w:type="dxa"/>
                        <w:tblInd w:w="25" w:type="dxa"/>
                        <w:tbl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blBorders>
                        <w:tblLayout w:type="fixed"/>
                      </w:tblPrEx>
                      <w:trPr>
                        <w:trHeight w:val="1612"/>
                      </w:trPr>
                      <w:tc>
                        <w:tcPr>
                          <w:tcW w:w="1530" w:type="dxa"/>
                          <w:shd w:val="clear" w:color="auto" w:fill="D6939B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before="37" w:line="1711" w:lineRule="exact"/>
        <w:ind w:firstLine="3612"/>
      </w:pPr>
      <w:r>
        <w:rPr>
          <w:position w:val="-34"/>
        </w:rPr>
        <w:drawing>
          <wp:inline distT="0" distB="0" distL="0" distR="0">
            <wp:extent cx="2191511" cy="108661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1511" cy="1086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9" w:lineRule="auto"/>
      </w:pPr>
    </w:p>
    <w:p>
      <w:pPr>
        <w:pStyle w:val="BodyText"/>
        <w:spacing w:line="319" w:lineRule="auto"/>
        <w:sectPr>
          <w:headerReference w:type="default" r:id="rId8"/>
          <w:pgSz w:w="11906" w:h="16839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319" w:lineRule="auto"/>
      </w:pPr>
    </w:p>
    <w:p>
      <w:pPr>
        <w:spacing w:before="72" w:line="309" w:lineRule="exact"/>
        <w:ind w:left="477"/>
        <w:rPr>
          <w:rFonts w:ascii="STKaiti" w:eastAsia="STKaiti" w:hAnsi="STKaiti" w:cs="STKaiti"/>
          <w:sz w:val="20"/>
          <w:szCs w:val="20"/>
        </w:rPr>
      </w:pPr>
      <w:r>
        <w:pict>
          <v:shape id="_x0000_s1033" type="#_x0000_t202" style="width:45.2pt;height:14.2pt;margin-top:26.01pt;margin-left:515.58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79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19"/>
                      <w:szCs w:val="19"/>
                    </w:rPr>
                    <w:t>2024-3-1</w:t>
                  </w:r>
                </w:p>
              </w:txbxContent>
            </v:textbox>
          </v:shape>
        </w:pict>
      </w:r>
      <w:r>
        <w:rPr>
          <w:rFonts w:ascii="STKaiti" w:eastAsia="STKaiti" w:hAnsi="STKaiti" w:cs="STKaiti"/>
          <w:spacing w:val="7"/>
          <w:position w:val="9"/>
          <w:sz w:val="20"/>
          <w:szCs w:val="20"/>
        </w:rPr>
        <w:t>此报告仅供客户内部使用，</w:t>
      </w:r>
    </w:p>
    <w:p>
      <w:pPr>
        <w:spacing w:line="207" w:lineRule="auto"/>
        <w:ind w:left="477"/>
        <w:rPr>
          <w:rFonts w:ascii="STKaiti" w:eastAsia="STKaiti" w:hAnsi="STKaiti" w:cs="STKaiti"/>
          <w:sz w:val="20"/>
          <w:szCs w:val="20"/>
        </w:rPr>
      </w:pPr>
      <w:r>
        <w:rPr>
          <w:rFonts w:ascii="STKaiti" w:eastAsia="STKaiti" w:hAnsi="STKaiti" w:cs="STKaiti"/>
          <w:spacing w:val="5"/>
          <w:sz w:val="20"/>
          <w:szCs w:val="20"/>
        </w:rPr>
        <w:t>未经中国房地产信息集团   |</w:t>
      </w:r>
    </w:p>
    <w:p>
      <w:pPr>
        <w:spacing w:before="65" w:line="203" w:lineRule="auto"/>
        <w:ind w:left="484"/>
        <w:rPr>
          <w:rFonts w:ascii="STKaiti" w:eastAsia="STKaiti" w:hAnsi="STKaiti" w:cs="STKaiti"/>
          <w:sz w:val="20"/>
          <w:szCs w:val="20"/>
        </w:rPr>
      </w:pPr>
      <w:r>
        <w:rPr>
          <w:rFonts w:ascii="STKaiti" w:eastAsia="STKaiti" w:hAnsi="STKaiti" w:cs="STKaiti"/>
          <w:spacing w:val="5"/>
          <w:sz w:val="20"/>
          <w:szCs w:val="20"/>
        </w:rPr>
        <w:t>易居（中国）</w:t>
      </w:r>
      <w:r>
        <w:rPr>
          <w:rFonts w:ascii="STKaiti" w:eastAsia="STKaiti" w:hAnsi="STKaiti" w:cs="STKaiti"/>
          <w:spacing w:val="-24"/>
          <w:sz w:val="20"/>
          <w:szCs w:val="20"/>
        </w:rPr>
        <w:t xml:space="preserve"> </w:t>
      </w:r>
      <w:r>
        <w:rPr>
          <w:rFonts w:ascii="STKaiti" w:eastAsia="STKaiti" w:hAnsi="STKaiti" w:cs="STKaiti"/>
          <w:spacing w:val="5"/>
          <w:sz w:val="20"/>
          <w:szCs w:val="20"/>
        </w:rPr>
        <w:t>企业集团股份</w:t>
      </w:r>
    </w:p>
    <w:p>
      <w:pPr>
        <w:spacing w:before="67" w:line="202" w:lineRule="auto"/>
        <w:ind w:left="463"/>
        <w:rPr>
          <w:rFonts w:ascii="STKaiti" w:eastAsia="STKaiti" w:hAnsi="STKaiti" w:cs="STKaiti"/>
          <w:sz w:val="20"/>
          <w:szCs w:val="20"/>
        </w:rPr>
      </w:pPr>
      <w:r>
        <w:rPr>
          <w:rFonts w:ascii="STKaiti" w:eastAsia="STKaiti" w:hAnsi="STKaiti" w:cs="STKaiti"/>
          <w:spacing w:val="5"/>
          <w:sz w:val="20"/>
          <w:szCs w:val="20"/>
        </w:rPr>
        <w:t>有限公司的书面许可，</w:t>
      </w:r>
      <w:r>
        <w:rPr>
          <w:rFonts w:ascii="STKaiti" w:eastAsia="STKaiti" w:hAnsi="STKaiti" w:cs="STKaiti"/>
          <w:spacing w:val="-4"/>
          <w:sz w:val="20"/>
          <w:szCs w:val="20"/>
        </w:rPr>
        <w:t xml:space="preserve"> </w:t>
      </w:r>
      <w:r>
        <w:rPr>
          <w:rFonts w:ascii="STKaiti" w:eastAsia="STKaiti" w:hAnsi="STKaiti" w:cs="STKaiti"/>
          <w:spacing w:val="5"/>
          <w:sz w:val="20"/>
          <w:szCs w:val="20"/>
        </w:rPr>
        <w:t>其它</w:t>
      </w:r>
    </w:p>
    <w:p>
      <w:pPr>
        <w:spacing w:before="67" w:line="202" w:lineRule="auto"/>
        <w:ind w:left="459"/>
        <w:rPr>
          <w:rFonts w:ascii="STKaiti" w:eastAsia="STKaiti" w:hAnsi="STKaiti" w:cs="STKaiti"/>
          <w:sz w:val="20"/>
          <w:szCs w:val="20"/>
        </w:rPr>
      </w:pPr>
      <w:r>
        <w:rPr>
          <w:rFonts w:ascii="STKaiti" w:eastAsia="STKaiti" w:hAnsi="STKaiti" w:cs="STKaiti"/>
          <w:spacing w:val="9"/>
          <w:sz w:val="20"/>
          <w:szCs w:val="20"/>
        </w:rPr>
        <w:t>任何机构和个人不得擅自传</w:t>
      </w:r>
    </w:p>
    <w:p>
      <w:pPr>
        <w:spacing w:before="69" w:line="200" w:lineRule="auto"/>
        <w:ind w:left="478"/>
        <w:rPr>
          <w:rFonts w:ascii="STKaiti" w:eastAsia="STKaiti" w:hAnsi="STKaiti" w:cs="STKaiti"/>
          <w:sz w:val="20"/>
          <w:szCs w:val="20"/>
        </w:rPr>
      </w:pPr>
      <w:r>
        <w:rPr>
          <w:rFonts w:ascii="STKaiti" w:eastAsia="STKaiti" w:hAnsi="STKaiti" w:cs="STKaiti"/>
          <w:spacing w:val="4"/>
          <w:sz w:val="20"/>
          <w:szCs w:val="20"/>
        </w:rPr>
        <w:t>阅、引用或复制。</w:t>
      </w:r>
    </w:p>
    <w:p>
      <w:pPr>
        <w:pStyle w:val="BodyText"/>
        <w:spacing w:line="456" w:lineRule="auto"/>
      </w:pPr>
    </w:p>
    <w:p>
      <w:pPr>
        <w:spacing w:before="55" w:line="180" w:lineRule="auto"/>
        <w:ind w:left="10028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1</w:t>
      </w:r>
    </w:p>
    <w:p>
      <w:pPr>
        <w:spacing w:line="180" w:lineRule="auto"/>
        <w:rPr>
          <w:rFonts w:ascii="Calibri" w:eastAsia="Calibri" w:hAnsi="Calibri" w:cs="Calibri"/>
          <w:sz w:val="18"/>
          <w:szCs w:val="18"/>
        </w:rPr>
        <w:sectPr>
          <w:headerReference w:type="default" r:id="rId9"/>
          <w:type w:val="nextPage"/>
          <w:pgSz w:w="11906" w:h="16839"/>
          <w:pgMar w:top="400" w:right="0" w:bottom="0" w:left="0" w:header="0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161098926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19"/>
          <w:szCs w:val="19"/>
        </w:rPr>
      </w:sdtEndPr>
      <w:sdtContent>
        <w:p>
          <w:pPr>
            <w:spacing w:before="317" w:line="227" w:lineRule="auto"/>
            <w:ind w:left="5682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16"/>
              <w:sz w:val="31"/>
              <w:szCs w:val="31"/>
              <w14:textOutline w14:w="5791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目录</w:t>
          </w:r>
        </w:p>
        <w:p>
          <w:pPr>
            <w:tabs>
              <w:tab w:val="right" w:leader="dot" w:pos="10107"/>
            </w:tabs>
            <w:spacing w:before="264" w:line="231" w:lineRule="auto"/>
            <w:ind w:left="1810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  <w14:textOutline w14:w="3619" w14:cap="sq">
                <w14:solidFill>
                  <w14:srgbClr w14:val="000000"/>
                </w14:solidFill>
                <w14:prstDash w14:val="solid"/>
                <w14:bevel/>
              </w14:textOutline>
            </w:rPr>
            <w:t>月报导读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  <w14:textOutline w14:w="3619" w14:cap="sq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SimHei" w:eastAsia="SimHei" w:hAnsi="SimHei" w:cs="SimHei"/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hyperlink>
        </w:p>
        <w:p>
          <w:pPr>
            <w:pStyle w:val="BodyText"/>
            <w:spacing w:line="287" w:lineRule="auto"/>
          </w:pPr>
        </w:p>
        <w:p>
          <w:pPr>
            <w:tabs>
              <w:tab w:val="right" w:leader="dot" w:pos="10107"/>
            </w:tabs>
            <w:spacing w:before="61" w:line="230" w:lineRule="auto"/>
            <w:ind w:left="1806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  <w14:textOutline w14:w="3619" w14:cap="sq">
                <w14:solidFill>
                  <w14:srgbClr w14:val="000000"/>
                </w14:solidFill>
                <w14:prstDash w14:val="solid"/>
                <w14:bevel/>
              </w14:textOutline>
            </w:rPr>
            <w:t>数字楼市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  <w14:textOutline w14:w="3619" w14:cap="sq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SimHei" w:eastAsia="SimHei" w:hAnsi="SimHei" w:cs="SimHei"/>
              <w:spacing w:val="-34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SimHei" w:eastAsia="SimHei" w:hAnsi="SimHei" w:cs="SimHei"/>
                <w:spacing w:val="2"/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hyperlink>
        </w:p>
        <w:p>
          <w:pPr>
            <w:pStyle w:val="BodyText"/>
            <w:spacing w:line="287" w:lineRule="auto"/>
          </w:pPr>
        </w:p>
        <w:p>
          <w:pPr>
            <w:tabs>
              <w:tab w:val="right" w:leader="dot" w:pos="10107"/>
            </w:tabs>
            <w:spacing w:before="62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第一章政策资讯</w:t>
          </w:r>
          <w:r>
            <w:rPr>
              <w:rFonts w:ascii="SimHei" w:eastAsia="SimHei" w:hAnsi="SimHei" w:cs="SimHei"/>
              <w:spacing w:val="-2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40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SimHei" w:eastAsia="SimHei" w:hAnsi="SimHei" w:cs="SimHei"/>
                <w:spacing w:val="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10107"/>
            </w:tabs>
            <w:spacing w:before="231" w:line="230" w:lineRule="auto"/>
            <w:ind w:left="2012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政策资讯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40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SimHei" w:eastAsia="SimHei" w:hAnsi="SimHei" w:cs="SimHei"/>
                <w:spacing w:val="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10107"/>
            </w:tabs>
            <w:spacing w:before="231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第二章土地市场</w:t>
          </w:r>
          <w:r>
            <w:rPr>
              <w:rFonts w:ascii="SimHei" w:eastAsia="SimHei" w:hAnsi="SimHei" w:cs="SimHei"/>
              <w:spacing w:val="-2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39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SimHei" w:eastAsia="SimHei" w:hAnsi="SimHei" w:cs="SimHei"/>
                <w:spacing w:val="1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10107"/>
            </w:tabs>
            <w:spacing w:before="231" w:line="232" w:lineRule="auto"/>
            <w:ind w:left="2012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2.1</w:t>
          </w:r>
          <w:r>
            <w:rPr>
              <w:rFonts w:ascii="SimHei" w:eastAsia="SimHei" w:hAnsi="SimHei" w:cs="SimHei"/>
              <w:spacing w:val="-3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土地市场整体供求</w:t>
          </w:r>
          <w:r>
            <w:rPr>
              <w:rFonts w:ascii="SimHei" w:eastAsia="SimHei" w:hAnsi="SimHei" w:cs="SimHei"/>
              <w:spacing w:val="-2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6" w:history="1">
            <w:r>
              <w:rPr>
                <w:rFonts w:ascii="SimHei" w:eastAsia="SimHei" w:hAnsi="SimHei" w:cs="SimHei"/>
                <w:spacing w:val="5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10107"/>
            </w:tabs>
            <w:spacing w:before="229" w:line="232" w:lineRule="auto"/>
            <w:ind w:left="2012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2.2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本月土地供应</w:t>
          </w:r>
          <w:r>
            <w:rPr>
              <w:rFonts w:ascii="SimHei" w:eastAsia="SimHei" w:hAnsi="SimHei" w:cs="SimHei"/>
              <w:spacing w:val="-2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7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10107"/>
            </w:tabs>
            <w:spacing w:before="230" w:line="231" w:lineRule="auto"/>
            <w:ind w:left="2012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2.3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本月土地成交</w:t>
          </w:r>
          <w:r>
            <w:rPr>
              <w:rFonts w:ascii="SimHei" w:eastAsia="SimHei" w:hAnsi="SimHei" w:cs="SimHei"/>
              <w:spacing w:val="-2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8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10107"/>
            </w:tabs>
            <w:spacing w:before="230" w:line="229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第三章商品房市场</w:t>
          </w:r>
          <w:r>
            <w:rPr>
              <w:rFonts w:ascii="SimHei" w:eastAsia="SimHei" w:hAnsi="SimHei" w:cs="SimHei"/>
              <w:spacing w:val="-2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38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SimHei" w:eastAsia="SimHei" w:hAnsi="SimHei" w:cs="SimHei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10107"/>
            </w:tabs>
            <w:spacing w:before="232" w:line="229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3.1</w:t>
          </w:r>
          <w:r>
            <w:rPr>
              <w:rFonts w:ascii="SimHei" w:eastAsia="SimHei" w:hAnsi="SimHei" w:cs="SimHei"/>
              <w:spacing w:val="-2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商品房市场整体供求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0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10107"/>
            </w:tabs>
            <w:spacing w:before="233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sz w:val="19"/>
              <w:szCs w:val="19"/>
            </w:rPr>
            <w:t>3.2</w:t>
          </w:r>
          <w:r>
            <w:rPr>
              <w:rFonts w:ascii="SimHei" w:eastAsia="SimHei" w:hAnsi="SimHei" w:cs="SimHei"/>
              <w:spacing w:val="-2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商品住宅市场</w:t>
          </w:r>
          <w:r>
            <w:rPr>
              <w:rFonts w:ascii="SimHei" w:eastAsia="SimHei" w:hAnsi="SimHei" w:cs="SimHei"/>
              <w:spacing w:val="-2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1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10107"/>
            </w:tabs>
            <w:spacing w:before="231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3.2.1</w:t>
          </w:r>
          <w:r>
            <w:rPr>
              <w:rFonts w:ascii="SimHei" w:eastAsia="SimHei" w:hAnsi="SimHei" w:cs="SimHei"/>
              <w:spacing w:val="-3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商品住宅市场走势</w:t>
          </w:r>
          <w:r>
            <w:rPr>
              <w:rFonts w:ascii="SimHei" w:eastAsia="SimHei" w:hAnsi="SimHei" w:cs="SimHei"/>
              <w:spacing w:val="-2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2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10107"/>
            </w:tabs>
            <w:spacing w:before="231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sz w:val="19"/>
              <w:szCs w:val="19"/>
            </w:rPr>
            <w:t>3.2.2</w:t>
          </w:r>
          <w:r>
            <w:rPr>
              <w:rFonts w:ascii="SimHei" w:eastAsia="SimHei" w:hAnsi="SimHei" w:cs="SimHei"/>
              <w:spacing w:val="-1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区域商品住宅走势</w:t>
          </w:r>
          <w:r>
            <w:rPr>
              <w:rFonts w:ascii="SimHei" w:eastAsia="SimHei" w:hAnsi="SimHei" w:cs="SimHei"/>
              <w:spacing w:val="-2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3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10107"/>
            </w:tabs>
            <w:spacing w:before="231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sz w:val="19"/>
              <w:szCs w:val="19"/>
            </w:rPr>
            <w:t>3.3</w:t>
          </w:r>
          <w:r>
            <w:rPr>
              <w:rFonts w:ascii="SimHei" w:eastAsia="SimHei" w:hAnsi="SimHei" w:cs="SimHei"/>
              <w:spacing w:val="-28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商办市场</w:t>
          </w:r>
          <w:r>
            <w:rPr>
              <w:rFonts w:ascii="SimHei" w:eastAsia="SimHei" w:hAnsi="SimHei" w:cs="SimHei"/>
              <w:spacing w:val="-2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4" w:history="1">
            <w:r>
              <w:rPr>
                <w:rFonts w:ascii="SimHei" w:eastAsia="SimHei" w:hAnsi="SimHei" w:cs="SimHei"/>
                <w:spacing w:val="6"/>
                <w:sz w:val="19"/>
                <w:szCs w:val="19"/>
              </w:rPr>
              <w:t>1</w:t>
            </w:r>
          </w:hyperlink>
          <w:r>
            <w:rPr>
              <w:rFonts w:ascii="SimHei" w:eastAsia="SimHei" w:hAnsi="SimHei" w:cs="SimHei"/>
              <w:spacing w:val="6"/>
              <w:sz w:val="19"/>
              <w:szCs w:val="19"/>
            </w:rPr>
            <w:t>0</w:t>
          </w:r>
        </w:p>
        <w:p>
          <w:pPr>
            <w:tabs>
              <w:tab w:val="right" w:leader="dot" w:pos="10107"/>
            </w:tabs>
            <w:spacing w:before="231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6"/>
              <w:sz w:val="19"/>
              <w:szCs w:val="19"/>
            </w:rPr>
            <w:t>3.3.1</w:t>
          </w:r>
          <w:r>
            <w:rPr>
              <w:rFonts w:ascii="SimHei" w:eastAsia="SimHei" w:hAnsi="SimHei" w:cs="SimHei"/>
              <w:spacing w:val="-2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商办市场整体供求走势</w:t>
          </w:r>
          <w:r>
            <w:rPr>
              <w:rFonts w:ascii="SimHei" w:eastAsia="SimHei" w:hAnsi="SimHei" w:cs="SimHei"/>
              <w:spacing w:val="-2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5" w:history="1">
            <w:r>
              <w:rPr>
                <w:rFonts w:ascii="SimHei" w:eastAsia="SimHei" w:hAnsi="SimHei" w:cs="SimHei"/>
                <w:spacing w:val="5"/>
                <w:sz w:val="19"/>
                <w:szCs w:val="19"/>
              </w:rPr>
              <w:t>1</w:t>
            </w:r>
          </w:hyperlink>
          <w:r>
            <w:rPr>
              <w:rFonts w:ascii="SimHei" w:eastAsia="SimHei" w:hAnsi="SimHei" w:cs="SimHei"/>
              <w:spacing w:val="5"/>
              <w:sz w:val="19"/>
              <w:szCs w:val="19"/>
            </w:rPr>
            <w:t>0</w:t>
          </w:r>
        </w:p>
        <w:p>
          <w:pPr>
            <w:tabs>
              <w:tab w:val="right" w:leader="dot" w:pos="10107"/>
            </w:tabs>
            <w:spacing w:before="232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sz w:val="19"/>
              <w:szCs w:val="19"/>
            </w:rPr>
            <w:t>3.3.2</w:t>
          </w:r>
          <w:r>
            <w:rPr>
              <w:rFonts w:ascii="SimHei" w:eastAsia="SimHei" w:hAnsi="SimHei" w:cs="SimHei"/>
              <w:spacing w:val="-17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区域商办市场走势</w:t>
          </w:r>
          <w:r>
            <w:rPr>
              <w:rFonts w:ascii="SimHei" w:eastAsia="SimHei" w:hAnsi="SimHei" w:cs="SimHei"/>
              <w:spacing w:val="-2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6" w:history="1">
            <w:r>
              <w:rPr>
                <w:rFonts w:ascii="SimHei" w:eastAsia="SimHei" w:hAnsi="SimHei" w:cs="SimHei"/>
                <w:spacing w:val="5"/>
                <w:sz w:val="19"/>
                <w:szCs w:val="19"/>
              </w:rPr>
              <w:t>1</w:t>
            </w:r>
          </w:hyperlink>
          <w:r>
            <w:rPr>
              <w:rFonts w:ascii="SimHei" w:eastAsia="SimHei" w:hAnsi="SimHei" w:cs="SimHei"/>
              <w:spacing w:val="5"/>
              <w:sz w:val="19"/>
              <w:szCs w:val="19"/>
            </w:rPr>
            <w:t>0</w:t>
          </w:r>
        </w:p>
        <w:p>
          <w:pPr>
            <w:tabs>
              <w:tab w:val="right" w:leader="dot" w:pos="10107"/>
            </w:tabs>
            <w:spacing w:before="232" w:line="230" w:lineRule="auto"/>
            <w:ind w:left="2014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第四章市场预判</w:t>
          </w:r>
          <w:r>
            <w:rPr>
              <w:rFonts w:ascii="SimHei" w:eastAsia="SimHei" w:hAnsi="SimHei" w:cs="SimHei"/>
              <w:spacing w:val="-2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2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-6"/>
              <w:sz w:val="19"/>
              <w:szCs w:val="19"/>
            </w:rPr>
            <w:t>11</w:t>
          </w:r>
        </w:p>
      </w:sdtContent>
    </w:sdt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https://d.book118.com/126105143243010055</w:t>
        </w:r>
      </w:hyperlink>
    </w:p>
    <w:p>
      <w:pPr>
        <w:pStyle w:val="BodyText"/>
        <w:spacing w:line="249" w:lineRule="auto"/>
      </w:pPr>
    </w:p>
    <w:sectPr>
      <w:headerReference w:type="default" r:id="rId11"/>
      <w:footerReference w:type="default" r:id="rId12"/>
      <w:pgSz w:w="11906" w:h="16839"/>
      <w:pgMar w:top="1168" w:right="0" w:bottom="1318" w:left="0" w:header="1055" w:footer="1152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1002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2" w:lineRule="exact"/>
    </w:pPr>
    <w:r>
      <w:rPr>
        <w:position w:val="-2"/>
      </w:rPr>
      <w:drawing>
        <wp:inline distT="0" distB="0" distL="0" distR="0">
          <wp:extent cx="7560309" cy="65278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09" cy="65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6105143243010055" TargetMode="Externa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2024-03-09T16:11:54Z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2024-03-09T16:38:00Z</vt:filetime>
  </property>
  <property fmtid="{D5CDD505-2E9C-101B-9397-08002B2CF9AE}" pid="3" name="CRO">
    <vt:lpwstr>wqlLaW5nc29mdCBQREYgdG8gV1BTIDkw</vt:lpwstr>
  </property>
</Properties>
</file>