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筹划书主要内容</w:t>
      </w:r>
    </w:p>
    <w:p>
      <w:pPr>
        <w:pStyle w:val="BodyText"/>
        <w:spacing w:before="0"/>
        <w:ind w:left="0"/>
        <w:rPr>
          <w:b/>
          <w:sz w:val="66"/>
        </w:rPr>
      </w:pPr>
    </w:p>
    <w:p>
      <w:pPr>
        <w:pStyle w:val="BodyText"/>
        <w:spacing w:before="450" w:line="364" w:lineRule="auto"/>
        <w:ind w:left="1098" w:right="6812"/>
      </w:pPr>
      <w:r>
        <w:rPr>
          <w:spacing w:val="-2"/>
        </w:rPr>
        <w:t>篇一：工程筹划主要内容</w:t>
      </w:r>
      <w:r>
        <w:t>工程筹划主要内容</w:t>
      </w:r>
    </w:p>
    <w:p>
      <w:pPr>
        <w:pStyle w:val="BodyText"/>
        <w:spacing w:before="3" w:line="364" w:lineRule="auto"/>
        <w:ind w:left="1098" w:right="8250"/>
      </w:pPr>
      <w:r>
        <w:rPr>
          <w:spacing w:val="-2"/>
        </w:rPr>
        <w:t>一、工程前期筹划</w:t>
      </w:r>
      <w:r>
        <w:t>1.施工调查</w:t>
      </w:r>
    </w:p>
    <w:p>
      <w:pPr>
        <w:pStyle w:val="BodyText"/>
        <w:spacing w:before="3"/>
        <w:ind w:left="1098"/>
      </w:pPr>
      <w:r>
        <w:t>1)自然状况调查</w:t>
      </w:r>
    </w:p>
    <w:p>
      <w:pPr>
        <w:pStyle w:val="BodyText"/>
        <w:spacing w:line="364" w:lineRule="auto"/>
        <w:ind w:right="589" w:firstLine="957"/>
        <w:jc w:val="both"/>
      </w:pPr>
      <w:r>
        <w:rPr>
          <w:w w:val="95"/>
        </w:rPr>
        <w:t>调查内容：当地气象、水文，地形、地貌和地质状况，</w:t>
      </w:r>
      <w:r>
        <w:rPr>
          <w:spacing w:val="1"/>
          <w:w w:val="95"/>
        </w:rPr>
        <w:t xml:space="preserve"> </w:t>
      </w:r>
      <w:r>
        <w:rPr>
          <w:w w:val="95"/>
        </w:rPr>
        <w:t>确定不良地质分布；当地防疫和民族风俗；交通运输条件；</w:t>
      </w:r>
      <w:r>
        <w:rPr>
          <w:spacing w:val="1"/>
          <w:w w:val="95"/>
        </w:rPr>
        <w:t xml:space="preserve"> </w:t>
      </w:r>
      <w:r>
        <w:rPr>
          <w:w w:val="95"/>
        </w:rPr>
        <w:t>施工用电、用水条件以及资源储藏；征地和建筑物拆迁状况</w:t>
      </w:r>
    </w:p>
    <w:p>
      <w:pPr>
        <w:pStyle w:val="BodyText"/>
        <w:spacing w:before="4" w:line="364" w:lineRule="auto"/>
        <w:ind w:left="1098" w:right="7291" w:hanging="958"/>
      </w:pPr>
      <w:r>
        <w:rPr>
          <w:w w:val="95"/>
        </w:rPr>
        <w:t>〔含通信、电力线路〕等。</w:t>
      </w:r>
      <w:r>
        <w:t>2)材料调查选购：</w:t>
      </w:r>
    </w:p>
    <w:p>
      <w:pPr>
        <w:pStyle w:val="BodyText"/>
        <w:spacing w:before="3" w:line="364" w:lineRule="auto"/>
        <w:ind w:right="589" w:firstLine="957"/>
        <w:jc w:val="both"/>
      </w:pPr>
      <w:r>
        <w:rPr>
          <w:w w:val="95"/>
        </w:rPr>
        <w:t>包括当地料及外来料，出具确实可行的材料调查报告，</w:t>
      </w:r>
      <w:r>
        <w:rPr>
          <w:spacing w:val="1"/>
          <w:w w:val="95"/>
        </w:rPr>
        <w:t xml:space="preserve"> </w:t>
      </w:r>
      <w:r>
        <w:rPr>
          <w:w w:val="95"/>
        </w:rPr>
        <w:t>含材料单价、材料厂〔场〕家及运至现场的距离</w:t>
      </w:r>
      <w:r>
        <w:rPr>
          <w:spacing w:val="260"/>
        </w:rPr>
        <w:t xml:space="preserve"> </w:t>
      </w:r>
      <w:r>
        <w:rPr>
          <w:spacing w:val="1"/>
          <w:w w:val="95"/>
        </w:rPr>
        <w:t>(包括路况</w:t>
      </w:r>
      <w:r>
        <w:t>及检查站、收费站状况)、材料估量供给量、材料质量及估量</w:t>
      </w:r>
      <w:r>
        <w:rPr>
          <w:w w:val="95"/>
        </w:rPr>
        <w:t>今后材料变动因素。同时对有必要进展招标选购的材料，</w:t>
      </w:r>
      <w:r>
        <w:rPr>
          <w:spacing w:val="1"/>
          <w:w w:val="95"/>
        </w:rPr>
        <w:t xml:space="preserve"> </w:t>
      </w:r>
      <w:r>
        <w:t>帮助工程部进展相应的招标选购工作。</w:t>
      </w:r>
    </w:p>
    <w:p>
      <w:pPr>
        <w:pStyle w:val="ListParagraph"/>
        <w:numPr>
          <w:ilvl w:val="0"/>
          <w:numId w:val="10"/>
        </w:numPr>
        <w:tabs>
          <w:tab w:val="left" w:pos="1581"/>
        </w:tabs>
        <w:spacing w:before="7" w:after="0" w:line="240" w:lineRule="auto"/>
        <w:ind w:left="1580" w:right="0" w:hanging="483"/>
        <w:jc w:val="left"/>
        <w:rPr>
          <w:sz w:val="48"/>
        </w:rPr>
      </w:pPr>
      <w:r>
        <w:rPr>
          <w:w w:val="95"/>
          <w:sz w:val="48"/>
        </w:rPr>
        <w:t>机械设备、试验仪器调查：</w:t>
      </w:r>
    </w:p>
    <w:p>
      <w:pPr>
        <w:pStyle w:val="BodyText"/>
        <w:spacing w:line="364" w:lineRule="auto"/>
        <w:ind w:right="589" w:firstLine="957"/>
        <w:jc w:val="both"/>
      </w:pPr>
      <w:r>
        <w:rPr>
          <w:w w:val="95"/>
        </w:rPr>
        <w:t>包括内租机械、外租机械及试验仪器的配备，提出切实</w:t>
      </w:r>
      <w:r>
        <w:rPr>
          <w:spacing w:val="1"/>
          <w:w w:val="95"/>
        </w:rPr>
        <w:t xml:space="preserve"> </w:t>
      </w:r>
      <w:r>
        <w:rPr>
          <w:w w:val="95"/>
        </w:rPr>
        <w:t>可行的机械设备、试验仪器配置报告，含机械租用单价，预</w:t>
      </w:r>
      <w:r>
        <w:rPr>
          <w:spacing w:val="1"/>
          <w:w w:val="95"/>
        </w:rPr>
        <w:t xml:space="preserve"> </w:t>
      </w:r>
      <w:r>
        <w:rPr>
          <w:w w:val="95"/>
        </w:rPr>
        <w:t>计今后机械费用支出的变动因素。同时，对有必要进展招标</w:t>
      </w:r>
      <w:r>
        <w:rPr>
          <w:spacing w:val="1"/>
          <w:w w:val="95"/>
        </w:rPr>
        <w:t xml:space="preserve"> </w:t>
      </w:r>
      <w:r>
        <w:rPr>
          <w:w w:val="95"/>
        </w:rPr>
        <w:t>选购的机械设备、试验仪器，帮助工程部进展相应的招标采</w:t>
      </w:r>
    </w:p>
    <w:p>
      <w:pPr>
        <w:spacing w:after="0" w:line="364" w:lineRule="auto"/>
        <w:jc w:val="both"/>
        <w:sectPr>
          <w:type w:val="continuous"/>
          <w:pgSz w:w="17860" w:h="25260"/>
          <w:pgMar w:top="1660" w:right="2120" w:bottom="280" w:left="2560" w:header="708" w:footer="708"/>
          <w:cols w:space="708"/>
        </w:sectPr>
      </w:pPr>
    </w:p>
    <w:p>
      <w:pPr>
        <w:pStyle w:val="BodyText"/>
        <w:spacing w:before="0" w:line="604" w:lineRule="exact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购工作。</w:t>
      </w:r>
    </w:p>
    <w:p>
      <w:pPr>
        <w:pStyle w:val="ListParagraph"/>
        <w:numPr>
          <w:ilvl w:val="0"/>
          <w:numId w:val="11"/>
        </w:numPr>
        <w:tabs>
          <w:tab w:val="left" w:pos="1581"/>
        </w:tabs>
        <w:spacing w:before="321" w:after="0" w:line="240" w:lineRule="auto"/>
        <w:ind w:left="1580" w:right="0" w:hanging="483"/>
        <w:jc w:val="left"/>
        <w:rPr>
          <w:sz w:val="48"/>
        </w:rPr>
      </w:pPr>
      <w:r>
        <w:rPr>
          <w:w w:val="95"/>
          <w:sz w:val="48"/>
        </w:rPr>
        <w:t>工程人员安排：</w:t>
      </w:r>
    </w:p>
    <w:p>
      <w:pPr>
        <w:pStyle w:val="BodyText"/>
        <w:spacing w:line="364" w:lineRule="auto"/>
        <w:ind w:right="588" w:firstLine="957"/>
      </w:pPr>
      <w:r>
        <w:rPr>
          <w:w w:val="95"/>
        </w:rPr>
        <w:t>依据工程的工程性质、简单程度等因素，准时提出工程</w:t>
      </w:r>
      <w:r>
        <w:rPr>
          <w:spacing w:val="1"/>
          <w:w w:val="95"/>
        </w:rPr>
        <w:t xml:space="preserve"> </w:t>
      </w:r>
      <w:r>
        <w:t>施工组织机构、施工队伍安排及人员组成和数量的建议。</w:t>
      </w:r>
    </w:p>
    <w:p>
      <w:pPr>
        <w:pStyle w:val="ListParagraph"/>
        <w:numPr>
          <w:ilvl w:val="0"/>
          <w:numId w:val="11"/>
        </w:numPr>
        <w:tabs>
          <w:tab w:val="left" w:pos="1581"/>
        </w:tabs>
        <w:spacing w:before="2" w:after="0" w:line="240" w:lineRule="auto"/>
        <w:ind w:left="1580" w:right="0" w:hanging="483"/>
        <w:jc w:val="left"/>
        <w:rPr>
          <w:sz w:val="48"/>
        </w:rPr>
      </w:pPr>
      <w:r>
        <w:rPr>
          <w:w w:val="95"/>
          <w:sz w:val="48"/>
        </w:rPr>
        <w:t>财务收支推测：</w:t>
      </w:r>
    </w:p>
    <w:p>
      <w:pPr>
        <w:pStyle w:val="BodyText"/>
        <w:spacing w:line="364" w:lineRule="auto"/>
        <w:ind w:right="588" w:firstLine="957"/>
      </w:pPr>
      <w:r>
        <w:rPr>
          <w:w w:val="95"/>
        </w:rPr>
        <w:t>依据工程合同工期、工程特点、人员配置等因素，合理</w:t>
      </w:r>
      <w:r>
        <w:rPr>
          <w:spacing w:val="1"/>
          <w:w w:val="95"/>
        </w:rPr>
        <w:t xml:space="preserve"> </w:t>
      </w:r>
      <w:r>
        <w:t>推测项</w:t>
      </w:r>
    </w:p>
    <w:p>
      <w:pPr>
        <w:pStyle w:val="BodyText"/>
        <w:spacing w:before="3" w:line="364" w:lineRule="auto"/>
        <w:ind w:right="356" w:firstLine="957"/>
      </w:pPr>
      <w:r>
        <w:rPr>
          <w:spacing w:val="-17"/>
          <w:w w:val="95"/>
        </w:rPr>
        <w:t>目治理费、相关财务费支出，为编制责任本钱供给依据。</w:t>
      </w:r>
      <w:r>
        <w:rPr>
          <w:spacing w:val="1"/>
          <w:w w:val="95"/>
        </w:rPr>
        <w:t xml:space="preserve"> </w:t>
      </w:r>
      <w:r>
        <w:t>并依据招标文件及合同有关条款，拟定工程资金收支打算。对影响工程经济效益的不确定因素进展推测分析。</w:t>
      </w:r>
    </w:p>
    <w:p>
      <w:pPr>
        <w:pStyle w:val="ListParagraph"/>
        <w:numPr>
          <w:ilvl w:val="0"/>
          <w:numId w:val="9"/>
        </w:numPr>
        <w:tabs>
          <w:tab w:val="left" w:pos="1581"/>
        </w:tabs>
        <w:spacing w:before="4" w:after="0" w:line="240" w:lineRule="auto"/>
        <w:ind w:left="1580" w:right="0" w:hanging="483"/>
        <w:jc w:val="left"/>
        <w:rPr>
          <w:sz w:val="48"/>
        </w:rPr>
      </w:pPr>
      <w:r>
        <w:rPr>
          <w:w w:val="95"/>
          <w:sz w:val="48"/>
        </w:rPr>
        <w:t>施工技术方案制定</w:t>
      </w:r>
    </w:p>
    <w:p>
      <w:pPr>
        <w:pStyle w:val="ListParagraph"/>
        <w:numPr>
          <w:ilvl w:val="0"/>
          <w:numId w:val="8"/>
        </w:numPr>
        <w:tabs>
          <w:tab w:val="left" w:pos="1581"/>
        </w:tabs>
        <w:spacing w:before="321" w:after="0" w:line="364" w:lineRule="auto"/>
        <w:ind w:left="140" w:right="584" w:firstLine="957"/>
        <w:jc w:val="left"/>
        <w:rPr>
          <w:sz w:val="48"/>
        </w:rPr>
      </w:pPr>
      <w:r>
        <w:rPr>
          <w:w w:val="95"/>
          <w:sz w:val="48"/>
        </w:rPr>
        <w:t>驻地建设：驻地〔经理部、各工区、试验室〕位置的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选择、建设标准及资金投入。</w:t>
      </w:r>
    </w:p>
    <w:p>
      <w:pPr>
        <w:pStyle w:val="ListParagraph"/>
        <w:numPr>
          <w:ilvl w:val="0"/>
          <w:numId w:val="8"/>
        </w:numPr>
        <w:tabs>
          <w:tab w:val="left" w:pos="1581"/>
        </w:tabs>
        <w:spacing w:before="3" w:after="0" w:line="364" w:lineRule="auto"/>
        <w:ind w:left="140" w:right="105" w:firstLine="957"/>
        <w:jc w:val="left"/>
        <w:rPr>
          <w:sz w:val="48"/>
        </w:rPr>
      </w:pPr>
      <w:r>
        <w:rPr>
          <w:w w:val="95"/>
          <w:sz w:val="48"/>
        </w:rPr>
        <w:t>便道、便桥：便道、便桥修建原则、等级标准、长度、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估算工程数量；改道、改河、改渠及局部过渡方案。</w:t>
      </w:r>
    </w:p>
    <w:p>
      <w:pPr>
        <w:pStyle w:val="ListParagraph"/>
        <w:numPr>
          <w:ilvl w:val="0"/>
          <w:numId w:val="8"/>
        </w:numPr>
        <w:tabs>
          <w:tab w:val="left" w:pos="1581"/>
        </w:tabs>
        <w:spacing w:before="2" w:after="0" w:line="364" w:lineRule="auto"/>
        <w:ind w:left="140" w:right="584" w:firstLine="957"/>
        <w:jc w:val="left"/>
        <w:rPr>
          <w:sz w:val="48"/>
        </w:rPr>
      </w:pPr>
      <w:r>
        <w:rPr>
          <w:w w:val="95"/>
          <w:sz w:val="48"/>
        </w:rPr>
        <w:t>拌和站、预制厂：拌和站、预制厂位置的选择，占地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面积、硬化标准及硬化面积，机械设备的布置。</w:t>
      </w:r>
    </w:p>
    <w:p>
      <w:pPr>
        <w:pStyle w:val="ListParagraph"/>
        <w:numPr>
          <w:ilvl w:val="0"/>
          <w:numId w:val="8"/>
        </w:numPr>
        <w:tabs>
          <w:tab w:val="left" w:pos="1581"/>
        </w:tabs>
        <w:spacing w:before="4" w:after="0" w:line="364" w:lineRule="auto"/>
        <w:ind w:left="140" w:right="584" w:firstLine="957"/>
        <w:jc w:val="left"/>
        <w:rPr>
          <w:sz w:val="48"/>
        </w:rPr>
      </w:pPr>
      <w:r>
        <w:rPr>
          <w:w w:val="95"/>
          <w:sz w:val="48"/>
        </w:rPr>
        <w:t>周转材料：依据施工图纸，计算主要周转用材料的投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入数量。</w:t>
      </w:r>
    </w:p>
    <w:p>
      <w:pPr>
        <w:pStyle w:val="ListParagraph"/>
        <w:numPr>
          <w:ilvl w:val="0"/>
          <w:numId w:val="8"/>
        </w:numPr>
        <w:tabs>
          <w:tab w:val="left" w:pos="1581"/>
        </w:tabs>
        <w:spacing w:before="2" w:after="0" w:line="364" w:lineRule="auto"/>
        <w:ind w:left="140" w:right="584" w:firstLine="957"/>
        <w:jc w:val="left"/>
        <w:rPr>
          <w:sz w:val="48"/>
        </w:rPr>
      </w:pPr>
      <w:r>
        <w:rPr>
          <w:w w:val="95"/>
          <w:sz w:val="48"/>
        </w:rPr>
        <w:t>电力线路及给排水管路：依据现场地貌特点，安排电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力线布置及给、排水管路的布置。</w:t>
      </w:r>
    </w:p>
    <w:p>
      <w:pPr>
        <w:pStyle w:val="ListParagraph"/>
        <w:numPr>
          <w:ilvl w:val="0"/>
          <w:numId w:val="8"/>
        </w:numPr>
        <w:tabs>
          <w:tab w:val="left" w:pos="1639"/>
        </w:tabs>
        <w:spacing w:before="2" w:after="0" w:line="240" w:lineRule="auto"/>
        <w:ind w:left="1638" w:right="0" w:hanging="505"/>
        <w:jc w:val="left"/>
        <w:rPr>
          <w:sz w:val="48"/>
        </w:rPr>
      </w:pPr>
      <w:r>
        <w:rPr>
          <w:w w:val="95"/>
          <w:sz w:val="48"/>
        </w:rPr>
        <w:t>主要施工方案确实定：依据工程实际状况及工程特</w:t>
      </w:r>
    </w:p>
    <w:p>
      <w:pPr>
        <w:spacing w:after="0" w:line="240" w:lineRule="auto"/>
        <w:jc w:val="left"/>
        <w:rPr>
          <w:sz w:val="48"/>
        </w:rPr>
      </w:pPr>
      <w:r>
        <w:rPr>
          <w:sz w:val="48"/>
        </w:rPr>
        <w:br/>
      </w:r>
      <w:r>
        <w:rPr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https://d.book118.com/126145144013010031</w:t>
        </w:r>
      </w:hyperlink>
    </w:p>
    <w:p>
      <w:pPr>
        <w:spacing w:after="0" w:line="240" w:lineRule="auto"/>
        <w:jc w:val="left"/>
        <w:rPr>
          <w:sz w:val="48"/>
        </w:rPr>
      </w:pPr>
    </w:p>
    <w:sectPr>
      <w:pgSz w:w="17860" w:h="25260"/>
      <w:pgMar w:top="1900" w:right="2120" w:bottom="280" w:left="25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DC70"/>
    <w:multiLevelType w:val="hybridMultilevel"/>
    <w:tmpl w:val="00000000"/>
    <w:lvl w:ilvl="0">
      <w:start w:val="3"/>
      <w:numFmt w:val="decimal"/>
      <w:lvlText w:val="%1)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abstractNum w:abstractNumId="1">
    <w:nsid w:val="06B7E7F7"/>
    <w:multiLevelType w:val="hybridMultilevel"/>
    <w:tmpl w:val="00000000"/>
    <w:lvl w:ilvl="0">
      <w:start w:val="1"/>
      <w:numFmt w:val="decimal"/>
      <w:lvlText w:val="%1）"/>
      <w:lvlJc w:val="left"/>
      <w:pPr>
        <w:ind w:left="1819" w:hanging="721"/>
        <w:jc w:val="left"/>
      </w:pPr>
      <w:rPr>
        <w:rFonts w:ascii="幼圆" w:eastAsia="幼圆" w:hAnsi="幼圆" w:cs="幼圆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955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1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7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3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5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1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7" w:hanging="721"/>
      </w:pPr>
      <w:rPr>
        <w:rFonts w:hint="default"/>
      </w:rPr>
    </w:lvl>
  </w:abstractNum>
  <w:abstractNum w:abstractNumId="2">
    <w:nsid w:val="190D249A"/>
    <w:multiLevelType w:val="hybridMultilevel"/>
    <w:tmpl w:val="00000000"/>
    <w:lvl w:ilvl="0">
      <w:start w:val="2"/>
      <w:numFmt w:val="decimal"/>
      <w:lvlText w:val="%1.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abstractNum w:abstractNumId="3">
    <w:nsid w:val="1CDE24E0"/>
    <w:multiLevelType w:val="hybridMultilevel"/>
    <w:tmpl w:val="00000000"/>
    <w:lvl w:ilvl="0">
      <w:start w:val="2"/>
      <w:numFmt w:val="decimal"/>
      <w:lvlText w:val="%1.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abstractNum w:abstractNumId="4">
    <w:nsid w:val="2B2028C5"/>
    <w:multiLevelType w:val="hybridMultilevel"/>
    <w:tmpl w:val="00000000"/>
    <w:lvl w:ilvl="0">
      <w:start w:val="1"/>
      <w:numFmt w:val="decimal"/>
      <w:lvlText w:val="%1)"/>
      <w:lvlJc w:val="left"/>
      <w:pPr>
        <w:ind w:left="14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43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7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1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55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5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3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7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1" w:hanging="483"/>
      </w:pPr>
      <w:rPr>
        <w:rFonts w:hint="default"/>
      </w:rPr>
    </w:lvl>
  </w:abstractNum>
  <w:abstractNum w:abstractNumId="5">
    <w:nsid w:val="3DEA93BE"/>
    <w:multiLevelType w:val="hybridMultilevel"/>
    <w:tmpl w:val="00000000"/>
    <w:lvl w:ilvl="0">
      <w:start w:val="1"/>
      <w:numFmt w:val="decimal"/>
      <w:lvlText w:val="%1.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abstractNum w:abstractNumId="6">
    <w:nsid w:val="58A8ED2A"/>
    <w:multiLevelType w:val="hybridMultilevel"/>
    <w:tmpl w:val="00000000"/>
    <w:lvl w:ilvl="0">
      <w:start w:val="1"/>
      <w:numFmt w:val="decimal"/>
      <w:lvlText w:val="%1)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abstractNum w:abstractNumId="7">
    <w:nsid w:val="5AECF678"/>
    <w:multiLevelType w:val="hybridMultilevel"/>
    <w:tmpl w:val="00000000"/>
    <w:lvl w:ilvl="0">
      <w:start w:val="3"/>
      <w:numFmt w:val="decimal"/>
      <w:lvlText w:val="%1)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abstractNum w:abstractNumId="8">
    <w:nsid w:val="622D2945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731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43" w:hanging="7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7" w:hanging="7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1" w:hanging="7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55" w:hanging="7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59" w:hanging="7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3" w:hanging="7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67" w:hanging="7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1" w:hanging="731"/>
      </w:pPr>
      <w:rPr>
        <w:rFonts w:hint="default"/>
      </w:rPr>
    </w:lvl>
  </w:abstractNum>
  <w:abstractNum w:abstractNumId="9">
    <w:nsid w:val="73165D93"/>
    <w:multiLevelType w:val="hybridMultilevel"/>
    <w:tmpl w:val="00000000"/>
    <w:lvl w:ilvl="0">
      <w:start w:val="1"/>
      <w:numFmt w:val="decimal"/>
      <w:lvlText w:val="%1)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abstractNum w:abstractNumId="10">
    <w:nsid w:val="7A0DD95D"/>
    <w:multiLevelType w:val="hybridMultilevel"/>
    <w:tmpl w:val="00000000"/>
    <w:lvl w:ilvl="0">
      <w:start w:val="1"/>
      <w:numFmt w:val="decimal"/>
      <w:lvlText w:val="%1."/>
      <w:lvlJc w:val="left"/>
      <w:pPr>
        <w:ind w:left="1580" w:hanging="483"/>
        <w:jc w:val="left"/>
      </w:pPr>
      <w:rPr>
        <w:rFonts w:ascii="幼圆" w:eastAsia="幼圆" w:hAnsi="幼圆" w:cs="幼圆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73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59" w:hanging="483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幼圆" w:eastAsia="幼圆" w:hAnsi="幼圆" w:cs="幼圆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21"/>
      <w:ind w:left="140"/>
    </w:pPr>
    <w:rPr>
      <w:rFonts w:ascii="幼圆" w:eastAsia="幼圆" w:hAnsi="幼圆" w:cs="幼圆"/>
      <w:sz w:val="48"/>
      <w:szCs w:val="48"/>
    </w:rPr>
  </w:style>
  <w:style w:type="paragraph" w:styleId="Title">
    <w:name w:val="Title"/>
    <w:basedOn w:val="Normal"/>
    <w:uiPriority w:val="1"/>
    <w:qFormat/>
    <w:pPr>
      <w:spacing w:line="805" w:lineRule="exact"/>
      <w:ind w:left="4134" w:right="4599"/>
      <w:jc w:val="center"/>
    </w:pPr>
    <w:rPr>
      <w:rFonts w:ascii="幼圆" w:eastAsia="幼圆" w:hAnsi="幼圆" w:cs="幼圆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2"/>
      <w:ind w:left="1580" w:hanging="483"/>
    </w:pPr>
    <w:rPr>
      <w:rFonts w:ascii="幼圆" w:eastAsia="幼圆" w:hAnsi="幼圆" w:cs="幼圆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12614514401301003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2023-10-13T12:38:37Z</dcterms:created>
  <dcterms:modified xsi:type="dcterms:W3CDTF">2023-10-13T12:38:37Z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LastSaved">
    <vt:filetime>2023-10-13T00:00:00Z</vt:filetime>
  </property>
</Properties>
</file>