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数控石油深井测井仪项目规划设计方案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41" w:history="1">
        <w:r>
          <w:rPr>
            <w:rFonts w:ascii="仿宋" w:eastAsia="仿宋" w:hAnsi="仿宋" w:cs="仿宋" w:hint="eastAsia"/>
            <w:lang w:eastAsia="zh-CN"/>
          </w:rPr>
          <w:t>概论</w:t>
        </w:r>
        <w:r>
          <w:tab/>
        </w:r>
        <w:r>
          <w:fldChar w:fldCharType="begin"/>
        </w:r>
        <w:r>
          <w:instrText xml:space="preserve"> PAGEREF _Toc27641 \h </w:instrText>
        </w:r>
        <w:r>
          <w:fldChar w:fldCharType="separate"/>
        </w:r>
        <w:r>
          <w:t>3</w:t>
        </w:r>
        <w:r>
          <w:fldChar w:fldCharType="end"/>
        </w:r>
      </w:hyperlink>
    </w:p>
    <w:p>
      <w:pPr>
        <w:pStyle w:val="TOC1"/>
        <w:tabs>
          <w:tab w:val="right" w:leader="dot" w:pos="8306"/>
        </w:tabs>
      </w:pPr>
      <w:hyperlink w:anchor="_Toc22609" w:history="1">
        <w:r>
          <w:rPr>
            <w:rFonts w:ascii="仿宋" w:eastAsia="仿宋" w:hAnsi="仿宋" w:cs="仿宋" w:hint="eastAsia"/>
            <w:lang w:eastAsia="zh-CN"/>
          </w:rPr>
          <w:t>一、数控石油深井测井仪项目危机管理</w:t>
        </w:r>
        <w:r>
          <w:tab/>
        </w:r>
        <w:r>
          <w:fldChar w:fldCharType="begin"/>
        </w:r>
        <w:r>
          <w:instrText xml:space="preserve"> PAGEREF _Toc22609 \h </w:instrText>
        </w:r>
        <w:r>
          <w:fldChar w:fldCharType="separate"/>
        </w:r>
        <w:r>
          <w:t>3</w:t>
        </w:r>
        <w:r>
          <w:fldChar w:fldCharType="end"/>
        </w:r>
      </w:hyperlink>
    </w:p>
    <w:p>
      <w:pPr>
        <w:pStyle w:val="TOC2"/>
        <w:tabs>
          <w:tab w:val="right" w:leader="dot" w:pos="8306"/>
        </w:tabs>
      </w:pPr>
      <w:hyperlink w:anchor="_Toc10543" w:history="1">
        <w:r>
          <w:rPr>
            <w:rFonts w:ascii="仿宋" w:eastAsia="仿宋" w:hAnsi="仿宋" w:cs="仿宋" w:hint="eastAsia"/>
            <w:lang w:eastAsia="zh-CN"/>
          </w:rPr>
          <w:t>(一)、危机预警与识别</w:t>
        </w:r>
        <w:r>
          <w:tab/>
        </w:r>
        <w:r>
          <w:fldChar w:fldCharType="begin"/>
        </w:r>
        <w:r>
          <w:instrText xml:space="preserve"> PAGEREF _Toc10543 \h </w:instrText>
        </w:r>
        <w:r>
          <w:fldChar w:fldCharType="separate"/>
        </w:r>
        <w:r>
          <w:t>3</w:t>
        </w:r>
        <w:r>
          <w:fldChar w:fldCharType="end"/>
        </w:r>
      </w:hyperlink>
    </w:p>
    <w:p>
      <w:pPr>
        <w:pStyle w:val="TOC2"/>
        <w:tabs>
          <w:tab w:val="right" w:leader="dot" w:pos="8306"/>
        </w:tabs>
      </w:pPr>
      <w:hyperlink w:anchor="_Toc32723" w:history="1">
        <w:r>
          <w:rPr>
            <w:rFonts w:ascii="仿宋" w:eastAsia="仿宋" w:hAnsi="仿宋" w:cs="仿宋" w:hint="eastAsia"/>
            <w:lang w:eastAsia="zh-CN"/>
          </w:rPr>
          <w:t>(二)、危机应对与恢复</w:t>
        </w:r>
        <w:r>
          <w:tab/>
        </w:r>
        <w:r>
          <w:fldChar w:fldCharType="begin"/>
        </w:r>
        <w:r>
          <w:instrText xml:space="preserve"> PAGEREF _Toc32723 \h </w:instrText>
        </w:r>
        <w:r>
          <w:fldChar w:fldCharType="separate"/>
        </w:r>
        <w:r>
          <w:t>4</w:t>
        </w:r>
        <w:r>
          <w:fldChar w:fldCharType="end"/>
        </w:r>
      </w:hyperlink>
    </w:p>
    <w:p>
      <w:pPr>
        <w:pStyle w:val="TOC1"/>
        <w:tabs>
          <w:tab w:val="right" w:leader="dot" w:pos="8306"/>
        </w:tabs>
      </w:pPr>
      <w:hyperlink w:anchor="_Toc16223" w:history="1">
        <w:r>
          <w:rPr>
            <w:rFonts w:ascii="仿宋" w:eastAsia="仿宋" w:hAnsi="仿宋" w:cs="仿宋" w:hint="eastAsia"/>
            <w:lang w:eastAsia="zh-CN"/>
          </w:rPr>
          <w:t>二、数控石油深井测井仪项目土建工程</w:t>
        </w:r>
        <w:r>
          <w:tab/>
        </w:r>
        <w:r>
          <w:fldChar w:fldCharType="begin"/>
        </w:r>
        <w:r>
          <w:instrText xml:space="preserve"> PAGEREF _Toc16223 \h </w:instrText>
        </w:r>
        <w:r>
          <w:fldChar w:fldCharType="separate"/>
        </w:r>
        <w:r>
          <w:t>6</w:t>
        </w:r>
        <w:r>
          <w:fldChar w:fldCharType="end"/>
        </w:r>
      </w:hyperlink>
    </w:p>
    <w:p>
      <w:pPr>
        <w:pStyle w:val="TOC2"/>
        <w:tabs>
          <w:tab w:val="right" w:leader="dot" w:pos="8306"/>
        </w:tabs>
      </w:pPr>
      <w:hyperlink w:anchor="_Toc6345" w:history="1">
        <w:r>
          <w:rPr>
            <w:rFonts w:ascii="仿宋" w:eastAsia="仿宋" w:hAnsi="仿宋" w:cs="仿宋" w:hint="eastAsia"/>
            <w:lang w:eastAsia="zh-CN"/>
          </w:rPr>
          <w:t>(一)、建筑工程设计原则</w:t>
        </w:r>
        <w:r>
          <w:tab/>
        </w:r>
        <w:r>
          <w:fldChar w:fldCharType="begin"/>
        </w:r>
        <w:r>
          <w:instrText xml:space="preserve"> PAGEREF _Toc6345 \h </w:instrText>
        </w:r>
        <w:r>
          <w:fldChar w:fldCharType="separate"/>
        </w:r>
        <w:r>
          <w:t>6</w:t>
        </w:r>
        <w:r>
          <w:fldChar w:fldCharType="end"/>
        </w:r>
      </w:hyperlink>
    </w:p>
    <w:p>
      <w:pPr>
        <w:pStyle w:val="TOC2"/>
        <w:tabs>
          <w:tab w:val="right" w:leader="dot" w:pos="8306"/>
        </w:tabs>
      </w:pPr>
      <w:hyperlink w:anchor="_Toc23822" w:history="1">
        <w:r>
          <w:rPr>
            <w:rFonts w:ascii="仿宋" w:eastAsia="仿宋" w:hAnsi="仿宋" w:cs="仿宋" w:hint="eastAsia"/>
            <w:lang w:eastAsia="zh-CN"/>
          </w:rPr>
          <w:t>(二)、土建工程设计年限及安全等级</w:t>
        </w:r>
        <w:r>
          <w:tab/>
        </w:r>
        <w:r>
          <w:fldChar w:fldCharType="begin"/>
        </w:r>
        <w:r>
          <w:instrText xml:space="preserve"> PAGEREF _Toc23822 \h </w:instrText>
        </w:r>
        <w:r>
          <w:fldChar w:fldCharType="separate"/>
        </w:r>
        <w:r>
          <w:t>7</w:t>
        </w:r>
        <w:r>
          <w:fldChar w:fldCharType="end"/>
        </w:r>
      </w:hyperlink>
    </w:p>
    <w:p>
      <w:pPr>
        <w:pStyle w:val="TOC2"/>
        <w:tabs>
          <w:tab w:val="right" w:leader="dot" w:pos="8306"/>
        </w:tabs>
      </w:pPr>
      <w:hyperlink w:anchor="_Toc5280" w:history="1">
        <w:r>
          <w:rPr>
            <w:rFonts w:ascii="仿宋" w:eastAsia="仿宋" w:hAnsi="仿宋" w:cs="仿宋" w:hint="eastAsia"/>
            <w:lang w:eastAsia="zh-CN"/>
          </w:rPr>
          <w:t>(三)、建筑工程设计总体要求</w:t>
        </w:r>
        <w:r>
          <w:tab/>
        </w:r>
        <w:r>
          <w:fldChar w:fldCharType="begin"/>
        </w:r>
        <w:r>
          <w:instrText xml:space="preserve"> PAGEREF _Toc5280 \h </w:instrText>
        </w:r>
        <w:r>
          <w:fldChar w:fldCharType="separate"/>
        </w:r>
        <w:r>
          <w:t>8</w:t>
        </w:r>
        <w:r>
          <w:fldChar w:fldCharType="end"/>
        </w:r>
      </w:hyperlink>
    </w:p>
    <w:p>
      <w:pPr>
        <w:pStyle w:val="TOC2"/>
        <w:tabs>
          <w:tab w:val="right" w:leader="dot" w:pos="8306"/>
        </w:tabs>
      </w:pPr>
      <w:hyperlink w:anchor="_Toc16117" w:history="1">
        <w:r>
          <w:rPr>
            <w:rFonts w:ascii="仿宋" w:eastAsia="仿宋" w:hAnsi="仿宋" w:cs="仿宋" w:hint="eastAsia"/>
            <w:lang w:eastAsia="zh-CN"/>
          </w:rPr>
          <w:t>(四)、土建工程建设指标</w:t>
        </w:r>
        <w:r>
          <w:tab/>
        </w:r>
        <w:r>
          <w:fldChar w:fldCharType="begin"/>
        </w:r>
        <w:r>
          <w:instrText xml:space="preserve"> PAGEREF _Toc16117 \h </w:instrText>
        </w:r>
        <w:r>
          <w:fldChar w:fldCharType="separate"/>
        </w:r>
        <w:r>
          <w:t>9</w:t>
        </w:r>
        <w:r>
          <w:fldChar w:fldCharType="end"/>
        </w:r>
      </w:hyperlink>
    </w:p>
    <w:p>
      <w:pPr>
        <w:pStyle w:val="TOC1"/>
        <w:tabs>
          <w:tab w:val="right" w:leader="dot" w:pos="8306"/>
        </w:tabs>
      </w:pPr>
      <w:hyperlink w:anchor="_Toc29256" w:history="1">
        <w:r>
          <w:rPr>
            <w:rFonts w:ascii="仿宋" w:eastAsia="仿宋" w:hAnsi="仿宋" w:cs="仿宋" w:hint="eastAsia"/>
            <w:lang w:eastAsia="zh-CN"/>
          </w:rPr>
          <w:t>三、数控石油深井测井仪项目绩效评估</w:t>
        </w:r>
        <w:r>
          <w:tab/>
        </w:r>
        <w:r>
          <w:fldChar w:fldCharType="begin"/>
        </w:r>
        <w:r>
          <w:instrText xml:space="preserve"> PAGEREF _Toc29256 \h </w:instrText>
        </w:r>
        <w:r>
          <w:fldChar w:fldCharType="separate"/>
        </w:r>
        <w:r>
          <w:t>9</w:t>
        </w:r>
        <w:r>
          <w:fldChar w:fldCharType="end"/>
        </w:r>
      </w:hyperlink>
    </w:p>
    <w:p>
      <w:pPr>
        <w:pStyle w:val="TOC2"/>
        <w:tabs>
          <w:tab w:val="right" w:leader="dot" w:pos="8306"/>
        </w:tabs>
      </w:pPr>
      <w:hyperlink w:anchor="_Toc4364" w:history="1">
        <w:r>
          <w:rPr>
            <w:rFonts w:ascii="仿宋" w:eastAsia="仿宋" w:hAnsi="仿宋" w:cs="仿宋" w:hint="eastAsia"/>
            <w:lang w:eastAsia="zh-CN"/>
          </w:rPr>
          <w:t>(一)、绩效评估指标</w:t>
        </w:r>
        <w:r>
          <w:tab/>
        </w:r>
        <w:r>
          <w:fldChar w:fldCharType="begin"/>
        </w:r>
        <w:r>
          <w:instrText xml:space="preserve"> PAGEREF _Toc4364 \h </w:instrText>
        </w:r>
        <w:r>
          <w:fldChar w:fldCharType="separate"/>
        </w:r>
        <w:r>
          <w:t>9</w:t>
        </w:r>
        <w:r>
          <w:fldChar w:fldCharType="end"/>
        </w:r>
      </w:hyperlink>
    </w:p>
    <w:p>
      <w:pPr>
        <w:pStyle w:val="TOC2"/>
        <w:tabs>
          <w:tab w:val="right" w:leader="dot" w:pos="8306"/>
        </w:tabs>
      </w:pPr>
      <w:hyperlink w:anchor="_Toc23410" w:history="1">
        <w:r>
          <w:rPr>
            <w:rFonts w:ascii="仿宋" w:eastAsia="仿宋" w:hAnsi="仿宋" w:cs="仿宋" w:hint="eastAsia"/>
            <w:lang w:eastAsia="zh-CN"/>
          </w:rPr>
          <w:t>(二)、绩效评估方法</w:t>
        </w:r>
        <w:r>
          <w:tab/>
        </w:r>
        <w:r>
          <w:fldChar w:fldCharType="begin"/>
        </w:r>
        <w:r>
          <w:instrText xml:space="preserve"> PAGEREF _Toc23410 \h </w:instrText>
        </w:r>
        <w:r>
          <w:fldChar w:fldCharType="separate"/>
        </w:r>
        <w:r>
          <w:t>10</w:t>
        </w:r>
        <w:r>
          <w:fldChar w:fldCharType="end"/>
        </w:r>
      </w:hyperlink>
    </w:p>
    <w:p>
      <w:pPr>
        <w:pStyle w:val="TOC2"/>
        <w:tabs>
          <w:tab w:val="right" w:leader="dot" w:pos="8306"/>
        </w:tabs>
      </w:pPr>
      <w:hyperlink w:anchor="_Toc21853" w:history="1">
        <w:r>
          <w:rPr>
            <w:rFonts w:ascii="仿宋" w:eastAsia="仿宋" w:hAnsi="仿宋" w:cs="仿宋" w:hint="eastAsia"/>
            <w:lang w:eastAsia="zh-CN"/>
          </w:rPr>
          <w:t>(三)、绩效评估周期</w:t>
        </w:r>
        <w:r>
          <w:tab/>
        </w:r>
        <w:r>
          <w:fldChar w:fldCharType="begin"/>
        </w:r>
        <w:r>
          <w:instrText xml:space="preserve"> PAGEREF _Toc21853 \h </w:instrText>
        </w:r>
        <w:r>
          <w:fldChar w:fldCharType="separate"/>
        </w:r>
        <w:r>
          <w:t>11</w:t>
        </w:r>
        <w:r>
          <w:fldChar w:fldCharType="end"/>
        </w:r>
      </w:hyperlink>
    </w:p>
    <w:p>
      <w:pPr>
        <w:pStyle w:val="TOC1"/>
        <w:tabs>
          <w:tab w:val="right" w:leader="dot" w:pos="8306"/>
        </w:tabs>
      </w:pPr>
      <w:hyperlink w:anchor="_Toc13498" w:history="1">
        <w:r>
          <w:rPr>
            <w:rFonts w:ascii="仿宋" w:eastAsia="仿宋" w:hAnsi="仿宋" w:cs="仿宋" w:hint="eastAsia"/>
            <w:lang w:eastAsia="zh-CN"/>
          </w:rPr>
          <w:t>四、数控石油深井测井仪项目建设单位说明</w:t>
        </w:r>
        <w:r>
          <w:tab/>
        </w:r>
        <w:r>
          <w:fldChar w:fldCharType="begin"/>
        </w:r>
        <w:r>
          <w:instrText xml:space="preserve"> PAGEREF _Toc13498 \h </w:instrText>
        </w:r>
        <w:r>
          <w:fldChar w:fldCharType="separate"/>
        </w:r>
        <w:r>
          <w:t>12</w:t>
        </w:r>
        <w:r>
          <w:fldChar w:fldCharType="end"/>
        </w:r>
      </w:hyperlink>
    </w:p>
    <w:p>
      <w:pPr>
        <w:pStyle w:val="TOC2"/>
        <w:tabs>
          <w:tab w:val="right" w:leader="dot" w:pos="8306"/>
        </w:tabs>
      </w:pPr>
      <w:hyperlink w:anchor="_Toc26105" w:history="1">
        <w:r>
          <w:rPr>
            <w:rFonts w:ascii="仿宋" w:eastAsia="仿宋" w:hAnsi="仿宋" w:cs="仿宋" w:hint="eastAsia"/>
            <w:lang w:eastAsia="zh-CN"/>
          </w:rPr>
          <w:t>(一)、数控石油深井测井仪项目承办单位基本情况</w:t>
        </w:r>
        <w:r>
          <w:tab/>
        </w:r>
        <w:r>
          <w:fldChar w:fldCharType="begin"/>
        </w:r>
        <w:r>
          <w:instrText xml:space="preserve"> PAGEREF _Toc26105 \h </w:instrText>
        </w:r>
        <w:r>
          <w:fldChar w:fldCharType="separate"/>
        </w:r>
        <w:r>
          <w:t>12</w:t>
        </w:r>
        <w:r>
          <w:fldChar w:fldCharType="end"/>
        </w:r>
      </w:hyperlink>
    </w:p>
    <w:p>
      <w:pPr>
        <w:pStyle w:val="TOC2"/>
        <w:tabs>
          <w:tab w:val="right" w:leader="dot" w:pos="8306"/>
        </w:tabs>
      </w:pPr>
      <w:hyperlink w:anchor="_Toc41" w:history="1">
        <w:r>
          <w:rPr>
            <w:rFonts w:ascii="仿宋" w:eastAsia="仿宋" w:hAnsi="仿宋" w:cs="仿宋" w:hint="eastAsia"/>
            <w:lang w:eastAsia="zh-CN"/>
          </w:rPr>
          <w:t>(二)、公司经济效益分析</w:t>
        </w:r>
        <w:r>
          <w:tab/>
        </w:r>
        <w:r>
          <w:fldChar w:fldCharType="begin"/>
        </w:r>
        <w:r>
          <w:instrText xml:space="preserve"> PAGEREF _Toc41 \h </w:instrText>
        </w:r>
        <w:r>
          <w:fldChar w:fldCharType="separate"/>
        </w:r>
        <w:r>
          <w:t>13</w:t>
        </w:r>
        <w:r>
          <w:fldChar w:fldCharType="end"/>
        </w:r>
      </w:hyperlink>
    </w:p>
    <w:p>
      <w:pPr>
        <w:pStyle w:val="TOC1"/>
        <w:tabs>
          <w:tab w:val="right" w:leader="dot" w:pos="8306"/>
        </w:tabs>
      </w:pPr>
      <w:hyperlink w:anchor="_Toc5121" w:history="1">
        <w:r>
          <w:rPr>
            <w:rFonts w:ascii="仿宋" w:eastAsia="仿宋" w:hAnsi="仿宋" w:cs="仿宋" w:hint="eastAsia"/>
            <w:lang w:eastAsia="zh-CN"/>
          </w:rPr>
          <w:t>五、产品规划分析</w:t>
        </w:r>
        <w:r>
          <w:tab/>
        </w:r>
        <w:r>
          <w:fldChar w:fldCharType="begin"/>
        </w:r>
        <w:r>
          <w:instrText xml:space="preserve"> PAGEREF _Toc5121 \h </w:instrText>
        </w:r>
        <w:r>
          <w:fldChar w:fldCharType="separate"/>
        </w:r>
        <w:r>
          <w:t>14</w:t>
        </w:r>
        <w:r>
          <w:fldChar w:fldCharType="end"/>
        </w:r>
      </w:hyperlink>
    </w:p>
    <w:p>
      <w:pPr>
        <w:pStyle w:val="TOC2"/>
        <w:tabs>
          <w:tab w:val="right" w:leader="dot" w:pos="8306"/>
        </w:tabs>
      </w:pPr>
      <w:hyperlink w:anchor="_Toc11440" w:history="1">
        <w:r>
          <w:rPr>
            <w:rFonts w:ascii="仿宋" w:eastAsia="仿宋" w:hAnsi="仿宋" w:cs="仿宋" w:hint="eastAsia"/>
            <w:lang w:eastAsia="zh-CN"/>
          </w:rPr>
          <w:t>(一)、产品规划</w:t>
        </w:r>
        <w:r>
          <w:tab/>
        </w:r>
        <w:r>
          <w:fldChar w:fldCharType="begin"/>
        </w:r>
        <w:r>
          <w:instrText xml:space="preserve"> PAGEREF _Toc11440 \h </w:instrText>
        </w:r>
        <w:r>
          <w:fldChar w:fldCharType="separate"/>
        </w:r>
        <w:r>
          <w:t>14</w:t>
        </w:r>
        <w:r>
          <w:fldChar w:fldCharType="end"/>
        </w:r>
      </w:hyperlink>
    </w:p>
    <w:p>
      <w:pPr>
        <w:pStyle w:val="TOC2"/>
        <w:tabs>
          <w:tab w:val="right" w:leader="dot" w:pos="8306"/>
        </w:tabs>
      </w:pPr>
      <w:hyperlink w:anchor="_Toc13230" w:history="1">
        <w:r>
          <w:rPr>
            <w:rFonts w:ascii="仿宋" w:eastAsia="仿宋" w:hAnsi="仿宋" w:cs="仿宋" w:hint="eastAsia"/>
            <w:lang w:eastAsia="zh-CN"/>
          </w:rPr>
          <w:t>(二)、建设规模</w:t>
        </w:r>
        <w:r>
          <w:tab/>
        </w:r>
        <w:r>
          <w:fldChar w:fldCharType="begin"/>
        </w:r>
        <w:r>
          <w:instrText xml:space="preserve"> PAGEREF _Toc13230 \h </w:instrText>
        </w:r>
        <w:r>
          <w:fldChar w:fldCharType="separate"/>
        </w:r>
        <w:r>
          <w:t>15</w:t>
        </w:r>
        <w:r>
          <w:fldChar w:fldCharType="end"/>
        </w:r>
      </w:hyperlink>
    </w:p>
    <w:p>
      <w:pPr>
        <w:pStyle w:val="TOC1"/>
        <w:tabs>
          <w:tab w:val="right" w:leader="dot" w:pos="8306"/>
        </w:tabs>
      </w:pPr>
      <w:hyperlink w:anchor="_Toc649" w:history="1">
        <w:r>
          <w:rPr>
            <w:rFonts w:ascii="仿宋" w:eastAsia="仿宋" w:hAnsi="仿宋" w:cs="仿宋" w:hint="eastAsia"/>
            <w:lang w:eastAsia="zh-CN"/>
          </w:rPr>
          <w:t>六、数控石油深井测井仪项目选址可行性分析</w:t>
        </w:r>
        <w:r>
          <w:tab/>
        </w:r>
        <w:r>
          <w:fldChar w:fldCharType="begin"/>
        </w:r>
        <w:r>
          <w:instrText xml:space="preserve"> PAGEREF _Toc649 \h </w:instrText>
        </w:r>
        <w:r>
          <w:fldChar w:fldCharType="separate"/>
        </w:r>
        <w:r>
          <w:t>16</w:t>
        </w:r>
        <w:r>
          <w:fldChar w:fldCharType="end"/>
        </w:r>
      </w:hyperlink>
    </w:p>
    <w:p>
      <w:pPr>
        <w:pStyle w:val="TOC2"/>
        <w:tabs>
          <w:tab w:val="right" w:leader="dot" w:pos="8306"/>
        </w:tabs>
      </w:pPr>
      <w:hyperlink w:anchor="_Toc9640" w:history="1">
        <w:r>
          <w:rPr>
            <w:rFonts w:ascii="仿宋" w:eastAsia="仿宋" w:hAnsi="仿宋" w:cs="仿宋" w:hint="eastAsia"/>
            <w:lang w:eastAsia="zh-CN"/>
          </w:rPr>
          <w:t>(一)、数控石油深井测井仪项目选址</w:t>
        </w:r>
        <w:r>
          <w:tab/>
        </w:r>
        <w:r>
          <w:fldChar w:fldCharType="begin"/>
        </w:r>
        <w:r>
          <w:instrText xml:space="preserve"> PAGEREF _Toc9640 \h </w:instrText>
        </w:r>
        <w:r>
          <w:fldChar w:fldCharType="separate"/>
        </w:r>
        <w:r>
          <w:t>16</w:t>
        </w:r>
        <w:r>
          <w:fldChar w:fldCharType="end"/>
        </w:r>
      </w:hyperlink>
    </w:p>
    <w:p>
      <w:pPr>
        <w:pStyle w:val="TOC2"/>
        <w:tabs>
          <w:tab w:val="right" w:leader="dot" w:pos="8306"/>
        </w:tabs>
      </w:pPr>
      <w:hyperlink w:anchor="_Toc7079" w:history="1">
        <w:r>
          <w:rPr>
            <w:rFonts w:ascii="仿宋" w:eastAsia="仿宋" w:hAnsi="仿宋" w:cs="仿宋" w:hint="eastAsia"/>
            <w:lang w:eastAsia="zh-CN"/>
          </w:rPr>
          <w:t>(二)、用地控制指标</w:t>
        </w:r>
        <w:r>
          <w:tab/>
        </w:r>
        <w:r>
          <w:fldChar w:fldCharType="begin"/>
        </w:r>
        <w:r>
          <w:instrText xml:space="preserve"> PAGEREF _Toc7079 \h </w:instrText>
        </w:r>
        <w:r>
          <w:fldChar w:fldCharType="separate"/>
        </w:r>
        <w:r>
          <w:t>16</w:t>
        </w:r>
        <w:r>
          <w:fldChar w:fldCharType="end"/>
        </w:r>
      </w:hyperlink>
    </w:p>
    <w:p>
      <w:pPr>
        <w:pStyle w:val="TOC2"/>
        <w:tabs>
          <w:tab w:val="right" w:leader="dot" w:pos="8306"/>
        </w:tabs>
      </w:pPr>
      <w:hyperlink w:anchor="_Toc12354" w:history="1">
        <w:r>
          <w:rPr>
            <w:rFonts w:ascii="仿宋" w:eastAsia="仿宋" w:hAnsi="仿宋" w:cs="仿宋" w:hint="eastAsia"/>
            <w:lang w:eastAsia="zh-CN"/>
          </w:rPr>
          <w:t>(三)、节约用地措施</w:t>
        </w:r>
        <w:r>
          <w:tab/>
        </w:r>
        <w:r>
          <w:fldChar w:fldCharType="begin"/>
        </w:r>
        <w:r>
          <w:instrText xml:space="preserve"> PAGEREF _Toc12354 \h </w:instrText>
        </w:r>
        <w:r>
          <w:fldChar w:fldCharType="separate"/>
        </w:r>
        <w:r>
          <w:t>18</w:t>
        </w:r>
        <w:r>
          <w:fldChar w:fldCharType="end"/>
        </w:r>
      </w:hyperlink>
    </w:p>
    <w:p>
      <w:pPr>
        <w:pStyle w:val="TOC2"/>
        <w:tabs>
          <w:tab w:val="right" w:leader="dot" w:pos="8306"/>
        </w:tabs>
      </w:pPr>
      <w:hyperlink w:anchor="_Toc4250" w:history="1">
        <w:r>
          <w:rPr>
            <w:rFonts w:ascii="仿宋" w:eastAsia="仿宋" w:hAnsi="仿宋" w:cs="仿宋" w:hint="eastAsia"/>
            <w:lang w:eastAsia="zh-CN"/>
          </w:rPr>
          <w:t>(四)、总图布置方案</w:t>
        </w:r>
        <w:r>
          <w:tab/>
        </w:r>
        <w:r>
          <w:fldChar w:fldCharType="begin"/>
        </w:r>
        <w:r>
          <w:instrText xml:space="preserve"> PAGEREF _Toc4250 \h </w:instrText>
        </w:r>
        <w:r>
          <w:fldChar w:fldCharType="separate"/>
        </w:r>
        <w:r>
          <w:t>19</w:t>
        </w:r>
        <w:r>
          <w:fldChar w:fldCharType="end"/>
        </w:r>
      </w:hyperlink>
    </w:p>
    <w:p>
      <w:pPr>
        <w:pStyle w:val="TOC2"/>
        <w:tabs>
          <w:tab w:val="right" w:leader="dot" w:pos="8306"/>
        </w:tabs>
      </w:pPr>
      <w:hyperlink w:anchor="_Toc20296" w:history="1">
        <w:r>
          <w:rPr>
            <w:rFonts w:ascii="仿宋" w:eastAsia="仿宋" w:hAnsi="仿宋" w:cs="仿宋" w:hint="eastAsia"/>
            <w:lang w:eastAsia="zh-CN"/>
          </w:rPr>
          <w:t>(五)、选址综合评价</w:t>
        </w:r>
        <w:r>
          <w:tab/>
        </w:r>
        <w:r>
          <w:fldChar w:fldCharType="begin"/>
        </w:r>
        <w:r>
          <w:instrText xml:space="preserve"> PAGEREF _Toc20296 \h </w:instrText>
        </w:r>
        <w:r>
          <w:fldChar w:fldCharType="separate"/>
        </w:r>
        <w:r>
          <w:t>20</w:t>
        </w:r>
        <w:r>
          <w:fldChar w:fldCharType="end"/>
        </w:r>
      </w:hyperlink>
    </w:p>
    <w:p>
      <w:pPr>
        <w:pStyle w:val="TOC1"/>
        <w:tabs>
          <w:tab w:val="right" w:leader="dot" w:pos="8306"/>
        </w:tabs>
      </w:pPr>
      <w:hyperlink w:anchor="_Toc1421" w:history="1">
        <w:r>
          <w:rPr>
            <w:rFonts w:ascii="仿宋" w:eastAsia="仿宋" w:hAnsi="仿宋" w:cs="仿宋" w:hint="eastAsia"/>
            <w:lang w:eastAsia="zh-CN"/>
          </w:rPr>
          <w:t>七、数控石油深井测井仪项目风险管理</w:t>
        </w:r>
        <w:r>
          <w:tab/>
        </w:r>
        <w:r>
          <w:fldChar w:fldCharType="begin"/>
        </w:r>
        <w:r>
          <w:instrText xml:space="preserve"> PAGEREF _Toc1421 \h </w:instrText>
        </w:r>
        <w:r>
          <w:fldChar w:fldCharType="separate"/>
        </w:r>
        <w:r>
          <w:t>22</w:t>
        </w:r>
        <w:r>
          <w:fldChar w:fldCharType="end"/>
        </w:r>
      </w:hyperlink>
    </w:p>
    <w:p>
      <w:pPr>
        <w:pStyle w:val="TOC2"/>
        <w:tabs>
          <w:tab w:val="right" w:leader="dot" w:pos="8306"/>
        </w:tabs>
      </w:pPr>
      <w:hyperlink w:anchor="_Toc6017" w:history="1">
        <w:r>
          <w:rPr>
            <w:rFonts w:ascii="仿宋" w:eastAsia="仿宋" w:hAnsi="仿宋" w:cs="仿宋" w:hint="eastAsia"/>
            <w:lang w:eastAsia="zh-CN"/>
          </w:rPr>
          <w:t>(一)、风险识别与评估</w:t>
        </w:r>
        <w:r>
          <w:tab/>
        </w:r>
        <w:r>
          <w:fldChar w:fldCharType="begin"/>
        </w:r>
        <w:r>
          <w:instrText xml:space="preserve"> PAGEREF _Toc6017 \h </w:instrText>
        </w:r>
        <w:r>
          <w:fldChar w:fldCharType="separate"/>
        </w:r>
        <w:r>
          <w:t>22</w:t>
        </w:r>
        <w:r>
          <w:fldChar w:fldCharType="end"/>
        </w:r>
      </w:hyperlink>
    </w:p>
    <w:p>
      <w:pPr>
        <w:pStyle w:val="TOC2"/>
        <w:tabs>
          <w:tab w:val="right" w:leader="dot" w:pos="8306"/>
        </w:tabs>
      </w:pPr>
      <w:hyperlink w:anchor="_Toc24654" w:history="1">
        <w:r>
          <w:rPr>
            <w:rFonts w:ascii="仿宋" w:eastAsia="仿宋" w:hAnsi="仿宋" w:cs="仿宋" w:hint="eastAsia"/>
            <w:lang w:eastAsia="zh-CN"/>
          </w:rPr>
          <w:t>(二)、风险应对策略</w:t>
        </w:r>
        <w:r>
          <w:tab/>
        </w:r>
        <w:r>
          <w:fldChar w:fldCharType="begin"/>
        </w:r>
        <w:r>
          <w:instrText xml:space="preserve"> PAGEREF _Toc24654 \h </w:instrText>
        </w:r>
        <w:r>
          <w:fldChar w:fldCharType="separate"/>
        </w:r>
        <w:r>
          <w:t>23</w:t>
        </w:r>
        <w:r>
          <w:fldChar w:fldCharType="end"/>
        </w:r>
      </w:hyperlink>
    </w:p>
    <w:p>
      <w:pPr>
        <w:pStyle w:val="TOC2"/>
        <w:tabs>
          <w:tab w:val="right" w:leader="dot" w:pos="8306"/>
        </w:tabs>
      </w:pPr>
      <w:hyperlink w:anchor="_Toc29467" w:history="1">
        <w:r>
          <w:rPr>
            <w:rFonts w:ascii="仿宋" w:eastAsia="仿宋" w:hAnsi="仿宋" w:cs="仿宋" w:hint="eastAsia"/>
            <w:lang w:eastAsia="zh-CN"/>
          </w:rPr>
          <w:t>(三)、风险监控与控制</w:t>
        </w:r>
        <w:r>
          <w:tab/>
        </w:r>
        <w:r>
          <w:fldChar w:fldCharType="begin"/>
        </w:r>
        <w:r>
          <w:instrText xml:space="preserve"> PAGEREF _Toc29467 \h </w:instrText>
        </w:r>
        <w:r>
          <w:fldChar w:fldCharType="separate"/>
        </w:r>
        <w:r>
          <w:t>25</w:t>
        </w:r>
        <w:r>
          <w:fldChar w:fldCharType="end"/>
        </w:r>
      </w:hyperlink>
    </w:p>
    <w:p>
      <w:pPr>
        <w:pStyle w:val="TOC1"/>
        <w:tabs>
          <w:tab w:val="right" w:leader="dot" w:pos="8306"/>
        </w:tabs>
      </w:pPr>
      <w:hyperlink w:anchor="_Toc30593" w:history="1">
        <w:r>
          <w:rPr>
            <w:rFonts w:ascii="仿宋" w:eastAsia="仿宋" w:hAnsi="仿宋" w:cs="仿宋" w:hint="eastAsia"/>
            <w:lang w:eastAsia="zh-CN"/>
          </w:rPr>
          <w:t>八、生产安全保护</w:t>
        </w:r>
        <w:r>
          <w:tab/>
        </w:r>
        <w:r>
          <w:fldChar w:fldCharType="begin"/>
        </w:r>
        <w:r>
          <w:instrText xml:space="preserve"> PAGEREF _Toc30593 \h </w:instrText>
        </w:r>
        <w:r>
          <w:fldChar w:fldCharType="separate"/>
        </w:r>
        <w:r>
          <w:t>26</w:t>
        </w:r>
        <w:r>
          <w:fldChar w:fldCharType="end"/>
        </w:r>
      </w:hyperlink>
    </w:p>
    <w:p>
      <w:pPr>
        <w:pStyle w:val="TOC2"/>
        <w:tabs>
          <w:tab w:val="right" w:leader="dot" w:pos="8306"/>
        </w:tabs>
      </w:pPr>
      <w:hyperlink w:anchor="_Toc26265" w:history="1">
        <w:r>
          <w:rPr>
            <w:rFonts w:ascii="仿宋" w:eastAsia="仿宋" w:hAnsi="仿宋" w:cs="仿宋" w:hint="eastAsia"/>
            <w:lang w:eastAsia="zh-CN"/>
          </w:rPr>
          <w:t>(一)、消防安全</w:t>
        </w:r>
        <w:r>
          <w:tab/>
        </w:r>
        <w:r>
          <w:fldChar w:fldCharType="begin"/>
        </w:r>
        <w:r>
          <w:instrText xml:space="preserve"> PAGEREF _Toc26265 \h </w:instrText>
        </w:r>
        <w:r>
          <w:fldChar w:fldCharType="separate"/>
        </w:r>
        <w:r>
          <w:t>26</w:t>
        </w:r>
        <w:r>
          <w:fldChar w:fldCharType="end"/>
        </w:r>
      </w:hyperlink>
    </w:p>
    <w:p>
      <w:pPr>
        <w:pStyle w:val="TOC2"/>
        <w:tabs>
          <w:tab w:val="right" w:leader="dot" w:pos="8306"/>
        </w:tabs>
      </w:pPr>
      <w:hyperlink w:anchor="_Toc19557" w:history="1">
        <w:r>
          <w:rPr>
            <w:rFonts w:ascii="仿宋" w:eastAsia="仿宋" w:hAnsi="仿宋" w:cs="仿宋" w:hint="eastAsia"/>
            <w:lang w:eastAsia="zh-CN"/>
          </w:rPr>
          <w:t>(二)、防火防爆总图布置措施</w:t>
        </w:r>
        <w:r>
          <w:tab/>
        </w:r>
        <w:r>
          <w:fldChar w:fldCharType="begin"/>
        </w:r>
        <w:r>
          <w:instrText xml:space="preserve"> PAGEREF _Toc19557 \h </w:instrText>
        </w:r>
        <w:r>
          <w:fldChar w:fldCharType="separate"/>
        </w:r>
        <w:r>
          <w:t>27</w:t>
        </w:r>
        <w:r>
          <w:fldChar w:fldCharType="end"/>
        </w:r>
      </w:hyperlink>
    </w:p>
    <w:p>
      <w:pPr>
        <w:pStyle w:val="TOC2"/>
        <w:tabs>
          <w:tab w:val="right" w:leader="dot" w:pos="8306"/>
        </w:tabs>
      </w:pPr>
      <w:hyperlink w:anchor="_Toc18933" w:history="1">
        <w:r>
          <w:rPr>
            <w:rFonts w:ascii="仿宋" w:eastAsia="仿宋" w:hAnsi="仿宋" w:cs="仿宋" w:hint="eastAsia"/>
            <w:lang w:eastAsia="zh-CN"/>
          </w:rPr>
          <w:t>(三)、自然灾害防范措施</w:t>
        </w:r>
        <w:r>
          <w:tab/>
        </w:r>
        <w:r>
          <w:fldChar w:fldCharType="begin"/>
        </w:r>
        <w:r>
          <w:instrText xml:space="preserve"> PAGEREF _Toc18933 \h </w:instrText>
        </w:r>
        <w:r>
          <w:fldChar w:fldCharType="separate"/>
        </w:r>
        <w:r>
          <w:t>28</w:t>
        </w:r>
        <w:r>
          <w:fldChar w:fldCharType="end"/>
        </w:r>
      </w:hyperlink>
    </w:p>
    <w:p>
      <w:pPr>
        <w:pStyle w:val="TOC2"/>
        <w:tabs>
          <w:tab w:val="right" w:leader="dot" w:pos="8306"/>
        </w:tabs>
      </w:pPr>
      <w:hyperlink w:anchor="_Toc11227" w:history="1">
        <w:r>
          <w:rPr>
            <w:rFonts w:ascii="仿宋" w:eastAsia="仿宋" w:hAnsi="仿宋" w:cs="仿宋" w:hint="eastAsia"/>
            <w:lang w:eastAsia="zh-CN"/>
          </w:rPr>
          <w:t>(四)、安全色及安全标志使用要求</w:t>
        </w:r>
        <w:r>
          <w:tab/>
        </w:r>
        <w:r>
          <w:fldChar w:fldCharType="begin"/>
        </w:r>
        <w:r>
          <w:instrText xml:space="preserve"> PAGEREF _Toc11227 \h </w:instrText>
        </w:r>
        <w:r>
          <w:fldChar w:fldCharType="separate"/>
        </w:r>
        <w:r>
          <w:t>29</w:t>
        </w:r>
        <w:r>
          <w:fldChar w:fldCharType="end"/>
        </w:r>
      </w:hyperlink>
    </w:p>
    <w:p>
      <w:pPr>
        <w:pStyle w:val="TOC2"/>
        <w:tabs>
          <w:tab w:val="right" w:leader="dot" w:pos="8306"/>
        </w:tabs>
      </w:pPr>
      <w:hyperlink w:anchor="_Toc23" w:history="1">
        <w:r>
          <w:rPr>
            <w:rFonts w:ascii="仿宋" w:eastAsia="仿宋" w:hAnsi="仿宋" w:cs="仿宋" w:hint="eastAsia"/>
            <w:lang w:eastAsia="zh-CN"/>
          </w:rPr>
          <w:t>(五)、防尘防毒措施</w:t>
        </w:r>
        <w:r>
          <w:tab/>
        </w:r>
        <w:r>
          <w:fldChar w:fldCharType="begin"/>
        </w:r>
        <w:r>
          <w:instrText xml:space="preserve"> PAGEREF _Toc23 \h </w:instrText>
        </w:r>
        <w:r>
          <w:fldChar w:fldCharType="separate"/>
        </w:r>
        <w:r>
          <w:t>30</w:t>
        </w:r>
        <w:r>
          <w:fldChar w:fldCharType="end"/>
        </w:r>
      </w:hyperlink>
    </w:p>
    <w:p>
      <w:pPr>
        <w:pStyle w:val="TOC2"/>
        <w:tabs>
          <w:tab w:val="right" w:leader="dot" w:pos="8306"/>
        </w:tabs>
      </w:pPr>
      <w:hyperlink w:anchor="_Toc14478" w:history="1">
        <w:r>
          <w:rPr>
            <w:rFonts w:ascii="仿宋" w:eastAsia="仿宋" w:hAnsi="仿宋" w:cs="仿宋" w:hint="eastAsia"/>
            <w:lang w:eastAsia="zh-CN"/>
          </w:rPr>
          <w:t>(六)、防静电、触电防护及防雷措施</w:t>
        </w:r>
        <w:r>
          <w:tab/>
        </w:r>
        <w:r>
          <w:fldChar w:fldCharType="begin"/>
        </w:r>
        <w:r>
          <w:instrText xml:space="preserve"> PAGEREF _Toc14478 \h </w:instrText>
        </w:r>
        <w:r>
          <w:fldChar w:fldCharType="separate"/>
        </w:r>
        <w:r>
          <w:t>31</w:t>
        </w:r>
        <w:r>
          <w:fldChar w:fldCharType="end"/>
        </w:r>
      </w:hyperlink>
    </w:p>
    <w:p>
      <w:pPr>
        <w:pStyle w:val="TOC2"/>
        <w:tabs>
          <w:tab w:val="right" w:leader="dot" w:pos="8306"/>
        </w:tabs>
      </w:pPr>
      <w:hyperlink w:anchor="_Toc18133" w:history="1">
        <w:r>
          <w:rPr>
            <w:rFonts w:ascii="仿宋" w:eastAsia="仿宋" w:hAnsi="仿宋" w:cs="仿宋" w:hint="eastAsia"/>
            <w:lang w:eastAsia="zh-CN"/>
          </w:rPr>
          <w:t>(七)、机械设备安全保障措施</w:t>
        </w:r>
        <w:r>
          <w:tab/>
        </w:r>
        <w:r>
          <w:fldChar w:fldCharType="begin"/>
        </w:r>
        <w:r>
          <w:instrText xml:space="preserve"> PAGEREF _Toc18133 \h </w:instrText>
        </w:r>
        <w:r>
          <w:fldChar w:fldCharType="separate"/>
        </w:r>
        <w:r>
          <w:t>33</w:t>
        </w:r>
        <w:r>
          <w:fldChar w:fldCharType="end"/>
        </w:r>
      </w:hyperlink>
    </w:p>
    <w:p>
      <w:pPr>
        <w:pStyle w:val="TOC1"/>
        <w:tabs>
          <w:tab w:val="right" w:leader="dot" w:pos="8306"/>
        </w:tabs>
      </w:pPr>
      <w:hyperlink w:anchor="_Toc12140" w:history="1">
        <w:r>
          <w:rPr>
            <w:rFonts w:ascii="仿宋" w:eastAsia="仿宋" w:hAnsi="仿宋" w:cs="仿宋" w:hint="eastAsia"/>
            <w:lang w:eastAsia="zh-CN"/>
          </w:rPr>
          <w:t>九、数控石油深井测井仪项目技术管理</w:t>
        </w:r>
        <w:r>
          <w:tab/>
        </w:r>
        <w:r>
          <w:fldChar w:fldCharType="begin"/>
        </w:r>
        <w:r>
          <w:instrText xml:space="preserve"> PAGEREF _Toc12140 \h </w:instrText>
        </w:r>
        <w:r>
          <w:fldChar w:fldCharType="separate"/>
        </w:r>
        <w:r>
          <w:t>34</w:t>
        </w:r>
        <w:r>
          <w:fldChar w:fldCharType="end"/>
        </w:r>
      </w:hyperlink>
    </w:p>
    <w:p>
      <w:pPr>
        <w:pStyle w:val="TOC2"/>
        <w:tabs>
          <w:tab w:val="right" w:leader="dot" w:pos="8306"/>
        </w:tabs>
      </w:pPr>
      <w:hyperlink w:anchor="_Toc19474" w:history="1">
        <w:r>
          <w:rPr>
            <w:rFonts w:ascii="仿宋" w:eastAsia="仿宋" w:hAnsi="仿宋" w:cs="仿宋" w:hint="eastAsia"/>
            <w:lang w:eastAsia="zh-CN"/>
          </w:rPr>
          <w:t>(一)、技术方案选用方向</w:t>
        </w:r>
        <w:r>
          <w:tab/>
        </w:r>
        <w:r>
          <w:fldChar w:fldCharType="begin"/>
        </w:r>
        <w:r>
          <w:instrText xml:space="preserve"> PAGEREF _Toc19474 \h </w:instrText>
        </w:r>
        <w:r>
          <w:fldChar w:fldCharType="separate"/>
        </w:r>
        <w:r>
          <w:t>34</w:t>
        </w:r>
        <w:r>
          <w:fldChar w:fldCharType="end"/>
        </w:r>
      </w:hyperlink>
    </w:p>
    <w:p>
      <w:pPr>
        <w:pStyle w:val="TOC2"/>
        <w:tabs>
          <w:tab w:val="right" w:leader="dot" w:pos="8306"/>
        </w:tabs>
      </w:pPr>
      <w:hyperlink w:anchor="_Toc207" w:history="1">
        <w:r>
          <w:rPr>
            <w:rFonts w:ascii="仿宋" w:eastAsia="仿宋" w:hAnsi="仿宋" w:cs="仿宋" w:hint="eastAsia"/>
            <w:lang w:eastAsia="zh-CN"/>
          </w:rPr>
          <w:t>(二)、工艺技术方案选用原则</w:t>
        </w:r>
        <w:r>
          <w:tab/>
        </w:r>
        <w:r>
          <w:fldChar w:fldCharType="begin"/>
        </w:r>
        <w:r>
          <w:instrText xml:space="preserve"> PAGEREF _Toc207 \h </w:instrText>
        </w:r>
        <w:r>
          <w:fldChar w:fldCharType="separate"/>
        </w:r>
        <w:r>
          <w:t>36</w:t>
        </w:r>
        <w:r>
          <w:fldChar w:fldCharType="end"/>
        </w:r>
      </w:hyperlink>
    </w:p>
    <w:p>
      <w:pPr>
        <w:pStyle w:val="TOC2"/>
        <w:tabs>
          <w:tab w:val="right" w:leader="dot" w:pos="8306"/>
        </w:tabs>
      </w:pPr>
      <w:hyperlink w:anchor="_Toc22714" w:history="1">
        <w:r>
          <w:rPr>
            <w:rFonts w:ascii="仿宋" w:eastAsia="仿宋" w:hAnsi="仿宋" w:cs="仿宋" w:hint="eastAsia"/>
            <w:lang w:eastAsia="zh-CN"/>
          </w:rPr>
          <w:t>(三)、工艺技术方案要求</w:t>
        </w:r>
        <w:r>
          <w:tab/>
        </w:r>
        <w:r>
          <w:fldChar w:fldCharType="begin"/>
        </w:r>
        <w:r>
          <w:instrText xml:space="preserve"> PAGEREF _Toc22714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655" w:history="1">
        <w:r>
          <w:rPr>
            <w:rFonts w:ascii="仿宋" w:eastAsia="仿宋" w:hAnsi="仿宋" w:cs="仿宋" w:hint="eastAsia"/>
            <w:lang w:eastAsia="zh-CN"/>
          </w:rPr>
          <w:t>十、数控石油深井测井仪项目财务管理</w:t>
        </w:r>
        <w:r>
          <w:tab/>
        </w:r>
        <w:r>
          <w:fldChar w:fldCharType="begin"/>
        </w:r>
        <w:r>
          <w:instrText xml:space="preserve"> PAGEREF _Toc27655 \h </w:instrText>
        </w:r>
        <w:r>
          <w:fldChar w:fldCharType="separate"/>
        </w:r>
        <w:r>
          <w:t>41</w:t>
        </w:r>
        <w:r>
          <w:fldChar w:fldCharType="end"/>
        </w:r>
      </w:hyperlink>
    </w:p>
    <w:p>
      <w:pPr>
        <w:pStyle w:val="TOC2"/>
        <w:tabs>
          <w:tab w:val="right" w:leader="dot" w:pos="8306"/>
        </w:tabs>
      </w:pPr>
      <w:hyperlink w:anchor="_Toc10406" w:history="1">
        <w:r>
          <w:rPr>
            <w:rFonts w:ascii="仿宋" w:eastAsia="仿宋" w:hAnsi="仿宋" w:cs="仿宋" w:hint="eastAsia"/>
            <w:lang w:eastAsia="zh-CN"/>
          </w:rPr>
          <w:t>(一)、资金需求大</w:t>
        </w:r>
        <w:r>
          <w:tab/>
        </w:r>
        <w:r>
          <w:fldChar w:fldCharType="begin"/>
        </w:r>
        <w:r>
          <w:instrText xml:space="preserve"> PAGEREF _Toc10406 \h </w:instrText>
        </w:r>
        <w:r>
          <w:fldChar w:fldCharType="separate"/>
        </w:r>
        <w:r>
          <w:t>41</w:t>
        </w:r>
        <w:r>
          <w:fldChar w:fldCharType="end"/>
        </w:r>
      </w:hyperlink>
    </w:p>
    <w:p>
      <w:pPr>
        <w:pStyle w:val="TOC2"/>
        <w:tabs>
          <w:tab w:val="right" w:leader="dot" w:pos="8306"/>
        </w:tabs>
      </w:pPr>
      <w:hyperlink w:anchor="_Toc30758" w:history="1">
        <w:r>
          <w:rPr>
            <w:rFonts w:ascii="仿宋" w:eastAsia="仿宋" w:hAnsi="仿宋" w:cs="仿宋" w:hint="eastAsia"/>
            <w:lang w:eastAsia="zh-CN"/>
          </w:rPr>
          <w:t>(二)、研发周期长</w:t>
        </w:r>
        <w:r>
          <w:tab/>
        </w:r>
        <w:r>
          <w:fldChar w:fldCharType="begin"/>
        </w:r>
        <w:r>
          <w:instrText xml:space="preserve"> PAGEREF _Toc30758 \h </w:instrText>
        </w:r>
        <w:r>
          <w:fldChar w:fldCharType="separate"/>
        </w:r>
        <w:r>
          <w:t>42</w:t>
        </w:r>
        <w:r>
          <w:fldChar w:fldCharType="end"/>
        </w:r>
      </w:hyperlink>
    </w:p>
    <w:p>
      <w:pPr>
        <w:pStyle w:val="TOC2"/>
        <w:tabs>
          <w:tab w:val="right" w:leader="dot" w:pos="8306"/>
        </w:tabs>
      </w:pPr>
      <w:hyperlink w:anchor="_Toc32440" w:history="1">
        <w:r>
          <w:rPr>
            <w:rFonts w:ascii="仿宋" w:eastAsia="仿宋" w:hAnsi="仿宋" w:cs="仿宋" w:hint="eastAsia"/>
            <w:lang w:eastAsia="zh-CN"/>
          </w:rPr>
          <w:t>(三)、市场风险大</w:t>
        </w:r>
        <w:r>
          <w:tab/>
        </w:r>
        <w:r>
          <w:fldChar w:fldCharType="begin"/>
        </w:r>
        <w:r>
          <w:instrText xml:space="preserve"> PAGEREF _Toc32440 \h </w:instrText>
        </w:r>
        <w:r>
          <w:fldChar w:fldCharType="separate"/>
        </w:r>
        <w:r>
          <w:t>43</w:t>
        </w:r>
        <w:r>
          <w:fldChar w:fldCharType="end"/>
        </w:r>
      </w:hyperlink>
    </w:p>
    <w:p>
      <w:pPr>
        <w:pStyle w:val="TOC2"/>
        <w:tabs>
          <w:tab w:val="right" w:leader="dot" w:pos="8306"/>
        </w:tabs>
      </w:pPr>
      <w:hyperlink w:anchor="_Toc15423" w:history="1">
        <w:r>
          <w:rPr>
            <w:rFonts w:ascii="仿宋" w:eastAsia="仿宋" w:hAnsi="仿宋" w:cs="仿宋" w:hint="eastAsia"/>
            <w:lang w:eastAsia="zh-CN"/>
          </w:rPr>
          <w:t>(四)、利润率高</w:t>
        </w:r>
        <w:r>
          <w:tab/>
        </w:r>
        <w:r>
          <w:fldChar w:fldCharType="begin"/>
        </w:r>
        <w:r>
          <w:instrText xml:space="preserve"> PAGEREF _Toc15423 \h </w:instrText>
        </w:r>
        <w:r>
          <w:fldChar w:fldCharType="separate"/>
        </w:r>
        <w:r>
          <w:t>46</w:t>
        </w:r>
        <w:r>
          <w:fldChar w:fldCharType="end"/>
        </w:r>
      </w:hyperlink>
    </w:p>
    <w:p>
      <w:pPr>
        <w:pStyle w:val="TOC1"/>
        <w:tabs>
          <w:tab w:val="right" w:leader="dot" w:pos="8306"/>
        </w:tabs>
      </w:pPr>
      <w:hyperlink w:anchor="_Toc16037" w:history="1">
        <w:r>
          <w:rPr>
            <w:rFonts w:ascii="仿宋" w:eastAsia="仿宋" w:hAnsi="仿宋" w:cs="仿宋" w:hint="eastAsia"/>
            <w:lang w:eastAsia="zh-CN"/>
          </w:rPr>
          <w:t>十一、数控石油深井测井仪项目社会影响</w:t>
        </w:r>
        <w:r>
          <w:tab/>
        </w:r>
        <w:r>
          <w:fldChar w:fldCharType="begin"/>
        </w:r>
        <w:r>
          <w:instrText xml:space="preserve"> PAGEREF _Toc16037 \h </w:instrText>
        </w:r>
        <w:r>
          <w:fldChar w:fldCharType="separate"/>
        </w:r>
        <w:r>
          <w:t>48</w:t>
        </w:r>
        <w:r>
          <w:fldChar w:fldCharType="end"/>
        </w:r>
      </w:hyperlink>
    </w:p>
    <w:p>
      <w:pPr>
        <w:pStyle w:val="TOC2"/>
        <w:tabs>
          <w:tab w:val="right" w:leader="dot" w:pos="8306"/>
        </w:tabs>
      </w:pPr>
      <w:hyperlink w:anchor="_Toc14961" w:history="1">
        <w:r>
          <w:rPr>
            <w:rFonts w:ascii="仿宋" w:eastAsia="仿宋" w:hAnsi="仿宋" w:cs="仿宋" w:hint="eastAsia"/>
            <w:lang w:eastAsia="zh-CN"/>
          </w:rPr>
          <w:t>(一)、社会责任与义务</w:t>
        </w:r>
        <w:r>
          <w:tab/>
        </w:r>
        <w:r>
          <w:fldChar w:fldCharType="begin"/>
        </w:r>
        <w:r>
          <w:instrText xml:space="preserve"> PAGEREF _Toc14961 \h </w:instrText>
        </w:r>
        <w:r>
          <w:fldChar w:fldCharType="separate"/>
        </w:r>
        <w:r>
          <w:t>48</w:t>
        </w:r>
        <w:r>
          <w:fldChar w:fldCharType="end"/>
        </w:r>
      </w:hyperlink>
    </w:p>
    <w:p>
      <w:pPr>
        <w:pStyle w:val="TOC2"/>
        <w:tabs>
          <w:tab w:val="right" w:leader="dot" w:pos="8306"/>
        </w:tabs>
      </w:pPr>
      <w:hyperlink w:anchor="_Toc25162" w:history="1">
        <w:r>
          <w:rPr>
            <w:rFonts w:ascii="仿宋" w:eastAsia="仿宋" w:hAnsi="仿宋" w:cs="仿宋" w:hint="eastAsia"/>
            <w:lang w:eastAsia="zh-CN"/>
          </w:rPr>
          <w:t>(二)、社会参与与沟通</w:t>
        </w:r>
        <w:r>
          <w:tab/>
        </w:r>
        <w:r>
          <w:fldChar w:fldCharType="begin"/>
        </w:r>
        <w:r>
          <w:instrText xml:space="preserve"> PAGEREF _Toc25162 \h </w:instrText>
        </w:r>
        <w:r>
          <w:fldChar w:fldCharType="separate"/>
        </w:r>
        <w:r>
          <w:t>49</w:t>
        </w:r>
        <w:r>
          <w:fldChar w:fldCharType="end"/>
        </w:r>
      </w:hyperlink>
    </w:p>
    <w:p>
      <w:pPr>
        <w:pStyle w:val="TOC1"/>
        <w:tabs>
          <w:tab w:val="right" w:leader="dot" w:pos="8306"/>
        </w:tabs>
      </w:pPr>
      <w:hyperlink w:anchor="_Toc27763" w:history="1">
        <w:r>
          <w:rPr>
            <w:rFonts w:ascii="仿宋" w:eastAsia="仿宋" w:hAnsi="仿宋" w:cs="仿宋" w:hint="eastAsia"/>
            <w:lang w:eastAsia="zh-CN"/>
          </w:rPr>
          <w:t>十二、数控石油深井测井仪项目创新与研发</w:t>
        </w:r>
        <w:r>
          <w:tab/>
        </w:r>
        <w:r>
          <w:fldChar w:fldCharType="begin"/>
        </w:r>
        <w:r>
          <w:instrText xml:space="preserve"> PAGEREF _Toc27763 \h </w:instrText>
        </w:r>
        <w:r>
          <w:fldChar w:fldCharType="separate"/>
        </w:r>
        <w:r>
          <w:t>50</w:t>
        </w:r>
        <w:r>
          <w:fldChar w:fldCharType="end"/>
        </w:r>
      </w:hyperlink>
    </w:p>
    <w:p>
      <w:pPr>
        <w:pStyle w:val="TOC2"/>
        <w:tabs>
          <w:tab w:val="right" w:leader="dot" w:pos="8306"/>
        </w:tabs>
      </w:pPr>
      <w:hyperlink w:anchor="_Toc3720" w:history="1">
        <w:r>
          <w:rPr>
            <w:rFonts w:ascii="仿宋" w:eastAsia="仿宋" w:hAnsi="仿宋" w:cs="仿宋" w:hint="eastAsia"/>
            <w:lang w:eastAsia="zh-CN"/>
          </w:rPr>
          <w:t>(一)、创新策略与方向</w:t>
        </w:r>
        <w:r>
          <w:tab/>
        </w:r>
        <w:r>
          <w:fldChar w:fldCharType="begin"/>
        </w:r>
        <w:r>
          <w:instrText xml:space="preserve"> PAGEREF _Toc3720 \h </w:instrText>
        </w:r>
        <w:r>
          <w:fldChar w:fldCharType="separate"/>
        </w:r>
        <w:r>
          <w:t>50</w:t>
        </w:r>
        <w:r>
          <w:fldChar w:fldCharType="end"/>
        </w:r>
      </w:hyperlink>
    </w:p>
    <w:p>
      <w:pPr>
        <w:pStyle w:val="TOC2"/>
        <w:tabs>
          <w:tab w:val="right" w:leader="dot" w:pos="8306"/>
        </w:tabs>
      </w:pPr>
      <w:hyperlink w:anchor="_Toc21899" w:history="1">
        <w:r>
          <w:rPr>
            <w:rFonts w:ascii="仿宋" w:eastAsia="仿宋" w:hAnsi="仿宋" w:cs="仿宋" w:hint="eastAsia"/>
            <w:lang w:eastAsia="zh-CN"/>
          </w:rPr>
          <w:t>(二)、研发规划与投入</w:t>
        </w:r>
        <w:r>
          <w:tab/>
        </w:r>
        <w:r>
          <w:fldChar w:fldCharType="begin"/>
        </w:r>
        <w:r>
          <w:instrText xml:space="preserve"> PAGEREF _Toc21899 \h </w:instrText>
        </w:r>
        <w:r>
          <w:fldChar w:fldCharType="separate"/>
        </w:r>
        <w:r>
          <w:t>51</w:t>
        </w:r>
        <w:r>
          <w:fldChar w:fldCharType="end"/>
        </w:r>
      </w:hyperlink>
    </w:p>
    <w:p>
      <w:pPr>
        <w:pStyle w:val="TOC1"/>
        <w:tabs>
          <w:tab w:val="right" w:leader="dot" w:pos="8306"/>
        </w:tabs>
      </w:pPr>
      <w:hyperlink w:anchor="_Toc27626" w:history="1">
        <w:r>
          <w:rPr>
            <w:rFonts w:ascii="仿宋" w:eastAsia="仿宋" w:hAnsi="仿宋" w:cs="仿宋" w:hint="eastAsia"/>
            <w:lang w:eastAsia="zh-CN"/>
          </w:rPr>
          <w:t>十三、数控石油深井测井仪项目工程方案分析</w:t>
        </w:r>
        <w:r>
          <w:tab/>
        </w:r>
        <w:r>
          <w:fldChar w:fldCharType="begin"/>
        </w:r>
        <w:r>
          <w:instrText xml:space="preserve"> PAGEREF _Toc27626 \h </w:instrText>
        </w:r>
        <w:r>
          <w:fldChar w:fldCharType="separate"/>
        </w:r>
        <w:r>
          <w:t>53</w:t>
        </w:r>
        <w:r>
          <w:fldChar w:fldCharType="end"/>
        </w:r>
      </w:hyperlink>
    </w:p>
    <w:p>
      <w:pPr>
        <w:pStyle w:val="TOC2"/>
        <w:tabs>
          <w:tab w:val="right" w:leader="dot" w:pos="8306"/>
        </w:tabs>
      </w:pPr>
      <w:hyperlink w:anchor="_Toc19720" w:history="1">
        <w:r>
          <w:rPr>
            <w:rFonts w:ascii="仿宋" w:eastAsia="仿宋" w:hAnsi="仿宋" w:cs="仿宋" w:hint="eastAsia"/>
            <w:lang w:eastAsia="zh-CN"/>
          </w:rPr>
          <w:t>(一)、建筑工程设计原则</w:t>
        </w:r>
        <w:r>
          <w:tab/>
        </w:r>
        <w:r>
          <w:fldChar w:fldCharType="begin"/>
        </w:r>
        <w:r>
          <w:instrText xml:space="preserve"> PAGEREF _Toc19720 \h </w:instrText>
        </w:r>
        <w:r>
          <w:fldChar w:fldCharType="separate"/>
        </w:r>
        <w:r>
          <w:t>53</w:t>
        </w:r>
        <w:r>
          <w:fldChar w:fldCharType="end"/>
        </w:r>
      </w:hyperlink>
    </w:p>
    <w:p>
      <w:pPr>
        <w:pStyle w:val="TOC2"/>
        <w:tabs>
          <w:tab w:val="right" w:leader="dot" w:pos="8306"/>
        </w:tabs>
      </w:pPr>
      <w:hyperlink w:anchor="_Toc18860" w:history="1">
        <w:r>
          <w:rPr>
            <w:rFonts w:ascii="仿宋" w:eastAsia="仿宋" w:hAnsi="仿宋" w:cs="仿宋" w:hint="eastAsia"/>
            <w:lang w:eastAsia="zh-CN"/>
          </w:rPr>
          <w:t>(二)、土建工程建设指标</w:t>
        </w:r>
        <w:r>
          <w:tab/>
        </w:r>
        <w:r>
          <w:fldChar w:fldCharType="begin"/>
        </w:r>
        <w:r>
          <w:instrText xml:space="preserve"> PAGEREF _Toc18860 \h </w:instrText>
        </w:r>
        <w:r>
          <w:fldChar w:fldCharType="separate"/>
        </w:r>
        <w:r>
          <w:t>56</w:t>
        </w:r>
        <w:r>
          <w:fldChar w:fldCharType="end"/>
        </w:r>
      </w:hyperlink>
    </w:p>
    <w:p>
      <w:pPr>
        <w:pStyle w:val="TOC1"/>
        <w:tabs>
          <w:tab w:val="right" w:leader="dot" w:pos="8306"/>
        </w:tabs>
      </w:pPr>
      <w:hyperlink w:anchor="_Toc3512" w:history="1">
        <w:r>
          <w:rPr>
            <w:rFonts w:ascii="仿宋" w:eastAsia="仿宋" w:hAnsi="仿宋" w:cs="仿宋" w:hint="eastAsia"/>
            <w:lang w:eastAsia="zh-CN"/>
          </w:rPr>
          <w:t>十四、风险识别与分类</w:t>
        </w:r>
        <w:r>
          <w:tab/>
        </w:r>
        <w:r>
          <w:fldChar w:fldCharType="begin"/>
        </w:r>
        <w:r>
          <w:instrText xml:space="preserve"> PAGEREF _Toc3512 \h </w:instrText>
        </w:r>
        <w:r>
          <w:fldChar w:fldCharType="separate"/>
        </w:r>
        <w:r>
          <w:t>58</w:t>
        </w:r>
        <w:r>
          <w:fldChar w:fldCharType="end"/>
        </w:r>
      </w:hyperlink>
    </w:p>
    <w:p>
      <w:pPr>
        <w:pStyle w:val="TOC2"/>
        <w:tabs>
          <w:tab w:val="right" w:leader="dot" w:pos="8306"/>
        </w:tabs>
      </w:pPr>
      <w:hyperlink w:anchor="_Toc1503" w:history="1">
        <w:r>
          <w:rPr>
            <w:rFonts w:ascii="仿宋" w:eastAsia="仿宋" w:hAnsi="仿宋" w:cs="仿宋" w:hint="eastAsia"/>
            <w:lang w:eastAsia="zh-CN"/>
          </w:rPr>
          <w:t>(一)、风险识别</w:t>
        </w:r>
        <w:r>
          <w:tab/>
        </w:r>
        <w:r>
          <w:fldChar w:fldCharType="begin"/>
        </w:r>
        <w:r>
          <w:instrText xml:space="preserve"> PAGEREF _Toc1503 \h </w:instrText>
        </w:r>
        <w:r>
          <w:fldChar w:fldCharType="separate"/>
        </w:r>
        <w:r>
          <w:t>58</w:t>
        </w:r>
        <w:r>
          <w:fldChar w:fldCharType="end"/>
        </w:r>
      </w:hyperlink>
    </w:p>
    <w:p>
      <w:pPr>
        <w:pStyle w:val="TOC2"/>
        <w:tabs>
          <w:tab w:val="right" w:leader="dot" w:pos="8306"/>
        </w:tabs>
      </w:pPr>
      <w:hyperlink w:anchor="_Toc14838" w:history="1">
        <w:r>
          <w:rPr>
            <w:rFonts w:ascii="仿宋" w:eastAsia="仿宋" w:hAnsi="仿宋" w:cs="仿宋" w:hint="eastAsia"/>
            <w:lang w:eastAsia="zh-CN"/>
          </w:rPr>
          <w:t>(二)、风险分类</w:t>
        </w:r>
        <w:r>
          <w:tab/>
        </w:r>
        <w:r>
          <w:fldChar w:fldCharType="begin"/>
        </w:r>
        <w:r>
          <w:instrText xml:space="preserve"> PAGEREF _Toc14838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4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609"/>
      <w:r>
        <w:rPr>
          <w:rFonts w:ascii="仿宋" w:eastAsia="仿宋" w:hAnsi="仿宋" w:cs="仿宋" w:hint="eastAsia"/>
          <w:sz w:val="28"/>
          <w:lang w:eastAsia="zh-CN"/>
        </w:rPr>
        <w:t>一、数控石油深井测井仪项目危机管理</w:t>
      </w:r>
      <w:bookmarkEnd w:id="2"/>
    </w:p>
    <w:p>
      <w:pPr>
        <w:pStyle w:val="Heading2"/>
        <w:rPr>
          <w:rFonts w:ascii="仿宋" w:eastAsia="仿宋" w:hAnsi="仿宋" w:cs="仿宋" w:hint="eastAsia"/>
          <w:lang w:eastAsia="zh-CN"/>
        </w:rPr>
      </w:pPr>
      <w:bookmarkStart w:id="3" w:name="_Toc1054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危机管理中，危机预警与识别是确保数控石油深井测井仪项目稳健运行的核心步骤。通过建立全面的监测机制，数控石油深井测井仪项目团队旨在及时发现和理解潜在的风险和危机因素，以便采取及时的预防和应对措施，确保数控石油深井测井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控石油深井测井仪项目团队全面分析了整个数控石油深井测井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控石油深井测井仪项目团队着重于明确定义数控石油深井测井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控石油深井测井仪项目进展的持续监控，团队能够及时发现潜在问题并作出迅速反应。数控石油深井测井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数控石油深井测井仪项目得以更有序、可控地推进。</w:t>
      </w:r>
    </w:p>
    <w:p>
      <w:pPr>
        <w:pStyle w:val="Heading2"/>
        <w:ind w:firstLine="560" w:firstLineChars="200"/>
        <w:rPr>
          <w:rFonts w:ascii="仿宋" w:eastAsia="仿宋" w:hAnsi="仿宋" w:cs="仿宋" w:hint="eastAsia"/>
          <w:sz w:val="28"/>
          <w:lang w:eastAsia="zh-CN"/>
        </w:rPr>
      </w:pPr>
      <w:bookmarkStart w:id="4" w:name="_Toc327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在危机发生时，数控石油深井测井仪项目团队立即行动，成立了应急小组。该小组的任务是迅速制定并实施紧急应对措施，以最小化潜在损失。以下是采取的主要措施：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暂停数控石油深井测井仪项目进度：为遏制危机蔓延，数控石油深井测井仪项目暂时停止进行，以便全面评估当前状况。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资源重新分配：重新评估数控石油深井测井仪项目资源的分配，确保最大限度地减小损失。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实时沟通：与关键利益相关者建立实时沟通机制，向他们传递数控石油深井测井仪项目危机的实际状况，保障数控石油深井测井仪项目核心利益。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在紧急应对的同时，数控石油深井测井仪项目团队强调了团队协作和有效沟通的重要性。以下是团队协作的关键举措：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信息共享机制：建立了信息共享平台，确保团队成员能够及时获取数控石油深井测井仪项目危机的实时信息。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领导者沟通：数控石油深井测井仪项目领导者通过定期会议和即时沟通工具，指导团队应对危机，保持团队稳定运行。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随着危机得到初步控制，数控石油深井测井仪项目团队转向制定恢复计划，以确保数控石油深井测井仪项目能够从中迅速恢复。主要恢复计划包括：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修复受损的进度计划：重新评估数控石油深井测井仪项目进度，制定修复计划，确保数控石油深井测井仪项目尽快回归正常进程。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重新调整资源分配：优化资源分配，确保数控石油深井测井仪项目在有限资源下高效运转。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风险管理机制加强：对数控石油深井测井仪项目风险进行全面评估，制定更强化的风险管理策略，以预防未来可能的危机。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6223"/>
      <w:r>
        <w:rPr>
          <w:rFonts w:ascii="仿宋" w:eastAsia="仿宋" w:hAnsi="仿宋" w:cs="仿宋" w:hint="eastAsia"/>
          <w:sz w:val="28"/>
          <w:lang w:eastAsia="zh-CN"/>
        </w:rPr>
        <w:t>二、数控石油深井测井仪项目土建工程</w:t>
      </w:r>
      <w:bookmarkEnd w:id="5"/>
    </w:p>
    <w:p>
      <w:pPr>
        <w:pStyle w:val="Heading2"/>
        <w:rPr>
          <w:rFonts w:ascii="仿宋" w:eastAsia="仿宋" w:hAnsi="仿宋" w:cs="仿宋" w:hint="eastAsia"/>
          <w:lang w:eastAsia="zh-CN"/>
        </w:rPr>
      </w:pPr>
      <w:bookmarkStart w:id="6" w:name="_Toc634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在数控石油深井测井仪项目的建筑工程设计中，我们将秉承一系列重要的设计原则，以确保数控石油深井测井仪项目建筑在功能、美观、可持续性等方面达到最佳效果。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首要原则是确保建筑的功能性得到最大化的发挥。我们将充分理解数控石油深井测井仪项目的实际需求，合理布局各个功能区域，保证建筑在满足业务需求的同时，提供高效的工作环境。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在建筑设计中，我们将综合考虑建设和运营成本。通过精细的经济效益分析，确保设计方案在高效利用资源的同时，对数控石油深井测井仪项目的长期盈利能力有积极的贡献。</w:t>
      </w:r>
    </w:p>
    <w:p>
      <w:pPr>
        <w:pStyle w:val="Heading2"/>
        <w:ind w:firstLine="560" w:firstLineChars="200"/>
        <w:rPr>
          <w:rFonts w:ascii="仿宋" w:eastAsia="仿宋" w:hAnsi="仿宋" w:cs="仿宋" w:hint="eastAsia"/>
          <w:sz w:val="28"/>
          <w:lang w:eastAsia="zh-CN"/>
        </w:rPr>
      </w:pPr>
      <w:bookmarkStart w:id="7" w:name="_Toc23822"/>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的土建工程设计中，我们将精准设定设计年限，结合数控石油深井测井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数控石油深井测井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5280"/>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石油深井测井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数控石油深井测井仪项目的设计在符合法规的同时，达到最高的安全标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数控石油深井测井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6117"/>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本期工程数控石油深井测井仪项目预计总建筑面积XXX平方米，其中：计容建筑面积XXX平方米，计划建筑工程投资XX万元，占数控石油深井测井仪项目总投资的XX%。</w:t>
      </w:r>
    </w:p>
    <w:p>
      <w:pPr>
        <w:pStyle w:val="Heading1"/>
        <w:ind w:firstLine="560" w:firstLineChars="200"/>
        <w:rPr>
          <w:rFonts w:ascii="仿宋" w:eastAsia="仿宋" w:hAnsi="仿宋" w:cs="仿宋" w:hint="eastAsia"/>
          <w:sz w:val="28"/>
          <w:lang w:eastAsia="zh-CN"/>
        </w:rPr>
      </w:pPr>
      <w:bookmarkStart w:id="10" w:name="_Toc29256"/>
      <w:r>
        <w:rPr>
          <w:rFonts w:ascii="仿宋" w:eastAsia="仿宋" w:hAnsi="仿宋" w:cs="仿宋" w:hint="eastAsia"/>
          <w:sz w:val="28"/>
          <w:lang w:eastAsia="zh-CN"/>
        </w:rPr>
        <w:t>三、数控石油深井测井仪项目绩效评估</w:t>
      </w:r>
      <w:bookmarkEnd w:id="10"/>
    </w:p>
    <w:p>
      <w:pPr>
        <w:pStyle w:val="Heading2"/>
        <w:rPr>
          <w:rFonts w:ascii="仿宋" w:eastAsia="仿宋" w:hAnsi="仿宋" w:cs="仿宋" w:hint="eastAsia"/>
          <w:lang w:eastAsia="zh-CN"/>
        </w:rPr>
      </w:pPr>
      <w:bookmarkStart w:id="11" w:name="_Toc4364"/>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数控石油深井测井仪项目中，我们设计了一套全面的绩效评估指标，以确保数控石油深井测井仪项目的可控和成功交付。这些指标跨足数控石油深井测井仪项目目标、成本、进度和质量等多个维度，为我们提供了全面洞察数控石油深井测井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目标达成率是我们关注的首要指标。我们设定了明确的目标，并通过定期监测和评估，迅速发现并应对潜在的目标偏差。这为数控石油深井测井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成本绩效是另一个核心关注点。通过实际成本与预算成本的对比分析，我们深入了解成本差异的原因，及时调整资源分配，保持数控石油深井测井仪项目在经济效益方面的合理水平。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进度作为关键的绩效指标之一，得到了精心的关注。我们制定了详细的数控石油深井测井仪项目进度计划，并设立了进度符合度指标，确保实际进度与计划进度保持一致。这使我们能够快速发现和解决潜在的进度问题，保持数控石油深井测井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控石油深井测井仪项目绩效的不可或缺的一环。我们引入了一系列的质量标准和客户满意度指标，以确保数控石油深井测井仪项目交付的成果在质量上达到或超越预期水平。通过持续监测这些指标，我们努力提升数控石油深井测井仪项目整体质量水平，为数控石油深井测井仪项目的成功交付提供有力保障。通过这些科学且全面的绩效评估，我们能够更好地引导数控石油深井测井仪项目的持续改进，确保数控石油深井测井仪项目目标的顺利达成。</w:t>
      </w:r>
    </w:p>
    <w:p>
      <w:pPr>
        <w:pStyle w:val="Heading2"/>
        <w:ind w:firstLine="560" w:firstLineChars="200"/>
        <w:rPr>
          <w:rFonts w:ascii="仿宋" w:eastAsia="仿宋" w:hAnsi="仿宋" w:cs="仿宋" w:hint="eastAsia"/>
          <w:sz w:val="28"/>
          <w:lang w:eastAsia="zh-CN"/>
        </w:rPr>
      </w:pPr>
      <w:bookmarkStart w:id="12" w:name="_Toc23410"/>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绩效评估是数控石油深井测井仪项目中的关键环节，为确保数控石油深井测井仪项目达到预期目标，我们采用了多层次、多维度的绩效评估方法。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控石油深井测井仪项目的战略目标对齐，确保每个决策和行动都与数控石油深井测井仪项目整体目标保持一致。团队会定期召开战略对齐会议，审视当前工作与数控石油深井测井仪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控石油深井测井仪项目进度、质量、成本和风险等方面。这些指标通过数据收集和分析，为数控石油深井测井仪项目管理团队提供了客观的评估依据。例如，我们通过数控石油深井测井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控石油深井测井仪项目内部，还考虑了数控石油深井测井仪项目对外部环境的影响。我们定期进行干系人满意度调查，以了解各利益相关方对数控石油深井测井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这种多层次、多角度的绩效评估方法，使得我们能够全面了解数控石油深井测井仪项目的运行状态，及时做出调整，确保数控石油深井测井仪项目在不断变化的环境中保持稳健前行。</w:t>
      </w:r>
    </w:p>
    <w:p>
      <w:pPr>
        <w:pStyle w:val="Heading2"/>
        <w:ind w:firstLine="560" w:firstLineChars="200"/>
        <w:rPr>
          <w:rFonts w:ascii="仿宋" w:eastAsia="仿宋" w:hAnsi="仿宋" w:cs="仿宋" w:hint="eastAsia"/>
          <w:sz w:val="28"/>
          <w:lang w:eastAsia="zh-CN"/>
        </w:rPr>
      </w:pPr>
      <w:bookmarkStart w:id="13" w:name="_Toc2185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为了确保数控石油深井测井仪项目的有效管理和不断优化，我们采用了精心设计的绩效评估周期。这个周期旨在实现灵活、实时和全面的评估，以适应数控石油深井测井仪项目执行中的各种挑战。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控石油深井测井仪项目的不同需求，分为短期、中期和长期。短期评估关注每个迭代或工作周期，以及时发现和解决当前任务中的问题。中期评估涵盖几个迭代，深入了解整体数控石油深井测井仪项目的趋势和性能。长期评估则着眼于整个数控石油深井测井仪项目阶段，确保数控石油深井测井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控石油深井测井仪项目管理工具和协作平台，团队成员能够随时更新和分享数控石油深井测井仪项目数据。这种实时性的反馈机制使我们能够及时察觉潜在问题，快速调整，保持数控石油深井测井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控石油深井测井仪项目的决策制定密不可分。每个周期的数控石油深井测井仪项目回顾会议成为集体总结经验、识别问题深层次原因并找到创新解决方案的平台。这种定期的反思与调整机制使数控石油深井测井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3498"/>
      <w:r>
        <w:rPr>
          <w:rFonts w:ascii="仿宋" w:eastAsia="仿宋" w:hAnsi="仿宋" w:cs="仿宋" w:hint="eastAsia"/>
          <w:sz w:val="28"/>
          <w:lang w:eastAsia="zh-CN"/>
        </w:rPr>
        <w:t>四、数控石油深井测井仪项目建设单位说明</w:t>
      </w:r>
      <w:bookmarkEnd w:id="14"/>
    </w:p>
    <w:p>
      <w:pPr>
        <w:pStyle w:val="Heading2"/>
        <w:rPr>
          <w:rFonts w:ascii="仿宋" w:eastAsia="仿宋" w:hAnsi="仿宋" w:cs="仿宋" w:hint="eastAsia"/>
          <w:lang w:eastAsia="zh-CN"/>
        </w:rPr>
      </w:pPr>
      <w:bookmarkStart w:id="15" w:name="_Toc26105"/>
      <w:r>
        <w:rPr>
          <w:rFonts w:ascii="仿宋" w:eastAsia="仿宋" w:hAnsi="仿宋" w:cs="仿宋" w:hint="eastAsia"/>
          <w:lang w:eastAsia="zh-CN"/>
        </w:rPr>
        <w:t>(一)、数控石油深井测井仪项目承办单位基本情况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控石油深井测井仪项目承办单位的XXXX，我们着眼于实现可持续的经济效益。通过技术创新和解决方案的提供，公司预计在数控石油深井测井仪项目执行期间将获得可观的收入增长。这一收入来源主要包括数控石油深井测井仪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同时，我们注重成本控制和效率提升，以确保数控石油深井测井仪项目的可持续盈利。透过精细的管理和资源优化，公司期望实现数控石油深井测井仪项目利润最大化。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控石油深井测井仪项目实施进行全面的投资评估，包括数控石油深井测井仪项目启动阶段的资金投入和后续运营成本。通过对数控石油深井测井仪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数控石油深井测井仪项目实施过程中具备足够的资金流动性，公司将进行详尽的现金流分析。这包括资金需求的合理预测、数控石油深井测井仪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5121"/>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1440"/>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数控石油深井测井仪项目的主要产品是XXXX，预计年产值为XXX万元。这一产品在市场中占据着重要的地位，其广泛的应用范围使得该数控石油深井测井仪项目的市场前景非常广阔。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数控石油深井测井仪项目的xxx产品作为重要的原材料之一，将在多个领域发挥关键作用。其在建筑、交通、能源等方面的广泛应用将为整个产业链提供强大的支持，形成产业协同效应。数控石油深井测井仪项目的年产值XXX万XXX万XXX万万元不仅反映了其在市场上的巨大潜力，更预示着它对国民经济的积极贡献。这种关联度高、涉及面广的产业关系，使得该数控石油深井测井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13230"/>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总征地面积为XXXX平方米，相当于约XX.XX亩，其中净用地面积为XXXX平方米，红线范围内相当于约XX.XX亩。这一用地规模充分考虑了数控石油深井测井仪项目的建设需求，保障了数控石油深井测井仪项目在合适的空间内得以充分发展。数控石油深井测井仪项目规划的总建筑面积为XXXX平方米，其中主体工程建设占XXXX平方米，计容建筑面积达XXXX平方米。预计建筑工程的投资将达到XXXX万元，为数控石油深井测井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数控石油深井测井仪项目计划购置的设备共计XXXX台（套），设备购置费用为XXXX万元。这一设备购置计划充分考虑到数控石油深井测井仪项目的生产需求和技术要求，确保了数控石油深井测井仪项目在生产运营中具备先进的技术装备和高效的生产能力。设备的合理配置将为数控石油深井测井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数控石油深井测井仪项目计划总投资为XXXX万元，预计年实现营业收入为XXXX万元。这一产能规模的设定旨在确保数控石油深井测井仪项目能够在投资与回报之间取得平衡，实现长期可持续的发展。数控石油深井测井仪项目的总投资充分考虑到各个方面的需求，包括用地建设、设备购置等多个环节，以确保数控石油深井测井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649"/>
      <w:r>
        <w:rPr>
          <w:rFonts w:ascii="仿宋" w:eastAsia="仿宋" w:hAnsi="仿宋" w:cs="仿宋" w:hint="eastAsia"/>
          <w:sz w:val="28"/>
          <w:lang w:eastAsia="zh-CN"/>
        </w:rPr>
        <w:t>六、数控石油深井测井仪项目选址可行性分析</w:t>
      </w:r>
      <w:bookmarkEnd w:id="20"/>
    </w:p>
    <w:p>
      <w:pPr>
        <w:pStyle w:val="Heading2"/>
        <w:rPr>
          <w:rFonts w:ascii="仿宋" w:eastAsia="仿宋" w:hAnsi="仿宋" w:cs="仿宋" w:hint="eastAsia"/>
          <w:lang w:eastAsia="zh-CN"/>
        </w:rPr>
      </w:pPr>
      <w:bookmarkStart w:id="21" w:name="_Toc9640"/>
      <w:r>
        <w:rPr>
          <w:rFonts w:ascii="仿宋" w:eastAsia="仿宋" w:hAnsi="仿宋" w:cs="仿宋" w:hint="eastAsia"/>
          <w:lang w:eastAsia="zh-CN"/>
        </w:rPr>
        <w:t>(一)、数控石油深井测井仪项目选址</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该数控石油深井测井仪项目选址位于XX省XX市XX区XXX街道</w:t>
      </w:r>
    </w:p>
    <w:p>
      <w:pPr>
        <w:pStyle w:val="Heading2"/>
        <w:ind w:firstLine="560" w:firstLineChars="200"/>
        <w:rPr>
          <w:rFonts w:ascii="仿宋" w:eastAsia="仿宋" w:hAnsi="仿宋" w:cs="仿宋" w:hint="eastAsia"/>
          <w:sz w:val="28"/>
          <w:lang w:eastAsia="zh-CN"/>
        </w:rPr>
      </w:pPr>
      <w:bookmarkStart w:id="22" w:name="_Toc7079"/>
      <w:r>
        <w:rPr>
          <w:rFonts w:ascii="仿宋" w:eastAsia="仿宋" w:hAnsi="仿宋" w:cs="仿宋" w:hint="eastAsia"/>
          <w:sz w:val="28"/>
          <w:lang w:eastAsia="zh-CN"/>
        </w:rPr>
        <w:t>(二)、用地控制指标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数控石油深井测井仪项目的征地面积将根据数控石油深井测井仪项目的实际规模和需求进行精确规划。具体面积XXX平方米，旨在确保数控石油深井测井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净用地面积是在征地面积基础上去除不可利用面积后的实际可开发用地。具体面积XXX平方米，考虑到环保、交通、安全等多方面因素，以确保数控石油深井测井仪项目在整体利用效率上达到最优。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https://d.book118.com/126211102203010101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数控石油深井测井仪项目规划设计方案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3F3969"/>
    <w:rsid w:val="163F39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211102203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2024-03-03T05:01:00Z</dcterms:created>
  <dcterms:modified xsi:type="dcterms:W3CDTF">2024-03-03T05:01:39Z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933D48D43570425C838EE3F65597DE97_11</vt:lpwstr>
  </property>
  <property fmtid="{D5CDD505-2E9C-101B-9397-08002B2CF9AE}" pid="3" name="KSOProductBuildVer">
    <vt:lpwstr>2052-12.1.0.16388</vt:lpwstr>
  </property>
</Properties>
</file>