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1210" w:firstLineChars="378"/>
        <w:jc w:val="center"/>
        <w:rPr>
          <w:rFonts w:hint="default"/>
          <w:b/>
          <w:bCs/>
          <w:sz w:val="32"/>
          <w:u w:val="single"/>
        </w:rPr>
      </w:pPr>
      <w:bookmarkStart w:id="0" w:name="_GoBack"/>
      <w:r>
        <w:rPr>
          <w:rFonts w:ascii="Calibri" w:hAnsi="Calibri" w:hint="eastAsia"/>
          <w:b/>
          <w:bCs/>
          <w:sz w:val="32"/>
          <w:u w:val="single" w:color="000000"/>
          <w:lang w:val="en-US" w:eastAsia="zh-CN"/>
        </w:rPr>
        <w:t>基于SLP和AHP的</w:t>
      </w:r>
      <w:r>
        <w:rPr>
          <w:rFonts w:ascii="Calibri" w:hAnsi="Calibri" w:hint="eastAsia"/>
          <w:b/>
          <w:bCs/>
          <w:sz w:val="32"/>
          <w:u w:val="single" w:color="000000"/>
        </w:rPr>
        <w:t>配送中心布局优化</w:t>
      </w:r>
      <w:r>
        <w:rPr>
          <w:rFonts w:ascii="Calibri" w:hAnsi="Calibri" w:hint="eastAsia"/>
          <w:b/>
          <w:bCs/>
          <w:sz w:val="32"/>
          <w:u w:val="single" w:color="000000"/>
          <w:lang w:val="en-US" w:eastAsia="zh-CN"/>
        </w:rPr>
        <w:t>案例分析</w:t>
      </w:r>
    </w:p>
    <w:bookmarkEnd w:id="0"/>
    <w:p>
      <w:pPr>
        <w:jc w:val="center"/>
        <w:rPr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目</w:t>
      </w:r>
      <w:r>
        <w:rPr>
          <w:rFonts w:ascii="宋体" w:hAnsi="宋体" w:hint="eastAsia"/>
          <w:b/>
          <w:bCs/>
          <w:sz w:val="36"/>
          <w:szCs w:val="36"/>
        </w:rPr>
        <w:t xml:space="preserve">  </w:t>
      </w:r>
      <w:r>
        <w:rPr>
          <w:rFonts w:ascii="宋体" w:hAnsi="宋体"/>
          <w:b/>
          <w:bCs/>
          <w:sz w:val="36"/>
          <w:szCs w:val="36"/>
        </w:rPr>
        <w:t>录</w:t>
      </w:r>
    </w:p>
    <w:p>
      <w:pPr>
        <w:pStyle w:val="TOC1"/>
        <w:tabs>
          <w:tab w:val="right" w:leader="dot" w:pos="8306"/>
        </w:tabs>
        <w:spacing w:line="240" w:lineRule="atLeast"/>
        <w:jc w:val="left"/>
        <w:rPr>
          <w:szCs w:val="22"/>
        </w:rPr>
      </w:pPr>
      <w:r>
        <w:rPr>
          <w:rFonts w:ascii="宋体" w:hAnsi="宋体" w:cs="宋体" w:hint="eastAsia"/>
          <w:bCs/>
          <w:snapToGrid w:val="0"/>
          <w:szCs w:val="21"/>
        </w:rPr>
        <w:fldChar w:fldCharType="begin"/>
      </w:r>
      <w:r>
        <w:rPr>
          <w:rFonts w:ascii="宋体" w:hAnsi="宋体" w:cs="宋体" w:hint="eastAsia"/>
          <w:bCs/>
          <w:snapToGrid w:val="0"/>
          <w:szCs w:val="21"/>
        </w:rPr>
        <w:instrText xml:space="preserve">TOC \o "1-3" \h \u </w:instrText>
      </w:r>
      <w:r>
        <w:rPr>
          <w:rFonts w:ascii="宋体" w:hAnsi="宋体" w:cs="宋体" w:hint="eastAsia"/>
          <w:bCs/>
          <w:snapToGrid w:val="0"/>
          <w:szCs w:val="21"/>
        </w:rPr>
        <w:fldChar w:fldCharType="separate"/>
      </w:r>
      <w:hyperlink w:anchor="_Toc29690" w:history="1">
        <w:r>
          <w:rPr>
            <w:rFonts w:ascii="宋体" w:hAnsi="宋体" w:cs="宋体" w:hint="eastAsia"/>
            <w:b/>
            <w:bCs/>
            <w:sz w:val="28"/>
            <w:szCs w:val="28"/>
          </w:rPr>
          <w:t>第</w:t>
        </w:r>
        <w:r>
          <w:rPr>
            <w:b/>
            <w:bCs/>
            <w:sz w:val="28"/>
            <w:szCs w:val="28"/>
          </w:rPr>
          <w:t>1</w:t>
        </w:r>
        <w:r>
          <w:rPr>
            <w:rFonts w:ascii="宋体" w:hAnsi="宋体" w:cs="宋体" w:hint="eastAsia"/>
            <w:b/>
            <w:bCs/>
            <w:sz w:val="28"/>
            <w:szCs w:val="28"/>
          </w:rPr>
          <w:t>章 绪论</w:t>
        </w:r>
        <w:r>
          <w:rPr>
            <w:rFonts w:ascii="宋体" w:hAnsi="宋体" w:cs="宋体" w:hint="eastAsia"/>
            <w:b/>
            <w:bCs/>
            <w:sz w:val="28"/>
            <w:szCs w:val="28"/>
          </w:rPr>
          <w:tab/>
        </w:r>
        <w:r>
          <w:rPr>
            <w:rFonts w:ascii="宋体" w:hAnsi="宋体" w:cs="宋体" w:hint="eastAsia"/>
            <w:b/>
            <w:bCs/>
            <w:sz w:val="28"/>
            <w:szCs w:val="28"/>
          </w:rPr>
          <w:fldChar w:fldCharType="begin"/>
        </w:r>
        <w:r>
          <w:rPr>
            <w:rFonts w:ascii="宋体" w:hAnsi="宋体" w:cs="宋体" w:hint="eastAsia"/>
            <w:b/>
            <w:bCs/>
            <w:sz w:val="28"/>
            <w:szCs w:val="28"/>
          </w:rPr>
          <w:instrText xml:space="preserve"> PAGEREF _Toc29690 </w:instrText>
        </w:r>
        <w:r>
          <w:rPr>
            <w:rFonts w:ascii="宋体" w:hAnsi="宋体" w:cs="宋体" w:hint="eastAsia"/>
            <w:b/>
            <w:bCs/>
            <w:sz w:val="28"/>
            <w:szCs w:val="28"/>
          </w:rPr>
          <w:fldChar w:fldCharType="separate"/>
        </w:r>
        <w:r>
          <w:rPr>
            <w:rFonts w:ascii="宋体" w:hAnsi="宋体" w:cs="宋体" w:hint="eastAsia"/>
            <w:b/>
            <w:bCs/>
            <w:sz w:val="28"/>
            <w:szCs w:val="28"/>
          </w:rPr>
          <w:t>1</w:t>
        </w:r>
        <w:r>
          <w:rPr>
            <w:rFonts w:ascii="宋体" w:hAnsi="宋体" w:cs="宋体" w:hint="eastAsia"/>
            <w:b/>
            <w:bCs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11260" w:history="1">
        <w:r>
          <w:rPr>
            <w:rFonts w:hAnsi="宋体" w:cs="宋体" w:hint="eastAsia"/>
            <w:bCs/>
            <w:sz w:val="28"/>
            <w:szCs w:val="44"/>
          </w:rPr>
          <w:t>1.1</w:t>
        </w:r>
        <w:r>
          <w:rPr>
            <w:rFonts w:hAnsi="宋体" w:cs="宋体" w:hint="eastAsia"/>
            <w:snapToGrid w:val="0"/>
            <w:kern w:val="0"/>
            <w:sz w:val="28"/>
            <w:szCs w:val="44"/>
          </w:rPr>
          <w:t>研究的背景、目的和意义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_Toc11260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6981" w:history="1">
        <w:r>
          <w:rPr>
            <w:rFonts w:hAnsi="宋体" w:cs="宋体" w:hint="eastAsia"/>
            <w:bCs/>
            <w:sz w:val="28"/>
            <w:szCs w:val="40"/>
          </w:rPr>
          <w:t>1.1.1</w:t>
        </w:r>
        <w:r>
          <w:rPr>
            <w:rFonts w:hAnsi="宋体" w:cs="宋体" w:hint="eastAsia"/>
            <w:snapToGrid w:val="0"/>
            <w:kern w:val="0"/>
            <w:sz w:val="28"/>
            <w:szCs w:val="40"/>
          </w:rPr>
          <w:t>研究背景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_Toc6981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0972" w:history="1">
        <w:r>
          <w:rPr>
            <w:rFonts w:hAnsi="宋体" w:cs="宋体" w:hint="eastAsia"/>
            <w:bCs/>
            <w:sz w:val="28"/>
            <w:szCs w:val="40"/>
          </w:rPr>
          <w:t>1.1.2研究目的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_Toc20972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93" w:history="1">
        <w:r>
          <w:rPr>
            <w:rFonts w:hAnsi="宋体" w:cs="宋体" w:hint="eastAsia"/>
            <w:bCs/>
            <w:sz w:val="28"/>
            <w:szCs w:val="40"/>
          </w:rPr>
          <w:t>1.1.3研究意义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_Toc293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</w:t>
        </w:r>
        <w:r>
          <w:rPr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6109" w:history="1">
        <w:r>
          <w:rPr>
            <w:rFonts w:hAnsi="宋体" w:cs="宋体" w:hint="eastAsia"/>
            <w:snapToGrid w:val="0"/>
            <w:kern w:val="0"/>
            <w:sz w:val="28"/>
            <w:szCs w:val="44"/>
          </w:rPr>
          <w:t>1.2</w:t>
        </w:r>
        <w:r>
          <w:rPr>
            <w:rFonts w:hAnsi="宋体" w:cs="宋体" w:hint="eastAsia"/>
            <w:snapToGrid w:val="0"/>
            <w:sz w:val="28"/>
            <w:szCs w:val="44"/>
          </w:rPr>
          <w:t>文献综述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_Toc6109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19642" w:history="1">
        <w:r>
          <w:rPr>
            <w:rFonts w:hint="eastAsia"/>
            <w:snapToGrid w:val="0"/>
            <w:kern w:val="0"/>
            <w:sz w:val="28"/>
            <w:szCs w:val="40"/>
          </w:rPr>
          <w:t xml:space="preserve">1.2.1 </w:t>
        </w:r>
        <w:r>
          <w:rPr>
            <w:snapToGrid w:val="0"/>
            <w:kern w:val="0"/>
            <w:sz w:val="28"/>
            <w:szCs w:val="40"/>
          </w:rPr>
          <w:t>SLP</w:t>
        </w:r>
        <w:r>
          <w:rPr>
            <w:rFonts w:hAnsi="宋体" w:cs="宋体" w:hint="eastAsia"/>
            <w:snapToGrid w:val="0"/>
            <w:kern w:val="0"/>
            <w:sz w:val="28"/>
            <w:szCs w:val="40"/>
          </w:rPr>
          <w:t>法文献综述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_Toc19642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0613" w:history="1">
        <w:r>
          <w:rPr>
            <w:rFonts w:hint="eastAsia"/>
            <w:snapToGrid w:val="0"/>
            <w:sz w:val="28"/>
            <w:szCs w:val="40"/>
          </w:rPr>
          <w:t xml:space="preserve">1.2.2  </w:t>
        </w:r>
        <w:r>
          <w:rPr>
            <w:rFonts w:hint="eastAsia"/>
            <w:snapToGrid w:val="0"/>
            <w:kern w:val="0"/>
            <w:sz w:val="28"/>
            <w:szCs w:val="40"/>
          </w:rPr>
          <w:t>AHP评估法</w:t>
        </w:r>
        <w:r>
          <w:rPr>
            <w:rFonts w:hAnsi="宋体" w:cs="宋体" w:hint="eastAsia"/>
            <w:snapToGrid w:val="0"/>
            <w:kern w:val="0"/>
            <w:sz w:val="28"/>
            <w:szCs w:val="40"/>
          </w:rPr>
          <w:t>文献综述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_Toc20613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3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30125" w:history="1">
        <w:r>
          <w:rPr>
            <w:rFonts w:hint="eastAsia"/>
            <w:snapToGrid w:val="0"/>
            <w:sz w:val="28"/>
            <w:szCs w:val="40"/>
          </w:rPr>
          <w:t>1.2.3</w:t>
        </w:r>
        <w:r>
          <w:rPr>
            <w:snapToGrid w:val="0"/>
            <w:sz w:val="28"/>
            <w:szCs w:val="40"/>
          </w:rPr>
          <w:t xml:space="preserve"> </w:t>
        </w:r>
        <w:r>
          <w:rPr>
            <w:rFonts w:hint="eastAsia"/>
            <w:snapToGrid w:val="0"/>
            <w:sz w:val="28"/>
            <w:szCs w:val="40"/>
          </w:rPr>
          <w:t xml:space="preserve"> </w:t>
        </w:r>
        <w:r>
          <w:rPr>
            <w:rFonts w:hAnsi="宋体" w:cs="宋体" w:hint="eastAsia"/>
            <w:snapToGrid w:val="0"/>
            <w:sz w:val="28"/>
            <w:szCs w:val="40"/>
          </w:rPr>
          <w:t>文献评述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_Toc30125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4</w:t>
        </w:r>
        <w:r>
          <w:rPr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28041" w:history="1">
        <w:r>
          <w:rPr>
            <w:rFonts w:hint="eastAsia"/>
            <w:snapToGrid w:val="0"/>
            <w:sz w:val="28"/>
            <w:szCs w:val="44"/>
          </w:rPr>
          <w:t>1.3</w:t>
        </w:r>
        <w:r>
          <w:rPr>
            <w:snapToGrid w:val="0"/>
            <w:sz w:val="28"/>
            <w:szCs w:val="44"/>
          </w:rPr>
          <w:t xml:space="preserve"> </w:t>
        </w:r>
        <w:r>
          <w:rPr>
            <w:rFonts w:hAnsi="宋体" w:cs="宋体" w:hint="eastAsia"/>
            <w:snapToGrid w:val="0"/>
            <w:sz w:val="28"/>
            <w:szCs w:val="44"/>
          </w:rPr>
          <w:t>研究内容与研究方法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_Toc28041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4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9514" w:history="1">
        <w:r>
          <w:rPr>
            <w:rFonts w:hint="eastAsia"/>
            <w:snapToGrid w:val="0"/>
            <w:sz w:val="28"/>
            <w:szCs w:val="40"/>
          </w:rPr>
          <w:t xml:space="preserve">1.3.1 </w:t>
        </w:r>
        <w:r>
          <w:rPr>
            <w:rFonts w:hAnsi="宋体" w:cs="宋体" w:hint="eastAsia"/>
            <w:snapToGrid w:val="0"/>
            <w:sz w:val="28"/>
            <w:szCs w:val="40"/>
          </w:rPr>
          <w:t>研究内容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_Toc9514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4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</w:pPr>
      <w:hyperlink w:anchor="_Toc24856" w:history="1">
        <w:r>
          <w:rPr>
            <w:rFonts w:hint="eastAsia"/>
            <w:snapToGrid w:val="0"/>
            <w:sz w:val="28"/>
            <w:szCs w:val="40"/>
          </w:rPr>
          <w:t>1.3.2</w:t>
        </w:r>
        <w:r>
          <w:rPr>
            <w:rFonts w:hAnsi="宋体" w:cs="宋体" w:hint="eastAsia"/>
            <w:snapToGrid w:val="0"/>
            <w:sz w:val="28"/>
            <w:szCs w:val="40"/>
          </w:rPr>
          <w:t xml:space="preserve"> 研究方法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_Toc24856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4</w:t>
        </w:r>
        <w:r>
          <w:rPr>
            <w:sz w:val="28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b/>
          <w:bCs/>
          <w:sz w:val="28"/>
          <w:szCs w:val="28"/>
        </w:rPr>
      </w:pPr>
      <w:hyperlink w:anchor="_Toc911" w:history="1">
        <w:r>
          <w:rPr>
            <w:rFonts w:ascii="宋体" w:hAnsi="宋体" w:cs="宋体" w:hint="eastAsia"/>
            <w:b/>
            <w:bCs/>
            <w:snapToGrid w:val="0"/>
            <w:sz w:val="28"/>
            <w:szCs w:val="28"/>
          </w:rPr>
          <w:t>第</w:t>
        </w:r>
        <w:r>
          <w:rPr>
            <w:b/>
            <w:bCs/>
            <w:snapToGrid w:val="0"/>
            <w:sz w:val="28"/>
            <w:szCs w:val="28"/>
          </w:rPr>
          <w:t>2</w:t>
        </w:r>
        <w:r>
          <w:rPr>
            <w:rFonts w:ascii="宋体" w:hAnsi="宋体" w:cs="宋体" w:hint="eastAsia"/>
            <w:b/>
            <w:bCs/>
            <w:snapToGrid w:val="0"/>
            <w:sz w:val="28"/>
            <w:szCs w:val="28"/>
          </w:rPr>
          <w:t>章 相关概念与理论基础</w:t>
        </w:r>
        <w:r>
          <w:rPr>
            <w:b/>
            <w:bCs/>
            <w:sz w:val="28"/>
            <w:szCs w:val="28"/>
          </w:rPr>
          <w:tab/>
        </w:r>
        <w:r>
          <w:rPr>
            <w:b/>
            <w:bCs/>
            <w:sz w:val="28"/>
            <w:szCs w:val="28"/>
          </w:rPr>
          <w:fldChar w:fldCharType="begin"/>
        </w:r>
        <w:r>
          <w:rPr>
            <w:b/>
            <w:bCs/>
            <w:sz w:val="28"/>
            <w:szCs w:val="28"/>
          </w:rPr>
          <w:instrText xml:space="preserve"> PAGEREF _Toc911 </w:instrText>
        </w:r>
        <w:r>
          <w:rPr>
            <w:b/>
            <w:bCs/>
            <w:sz w:val="28"/>
            <w:szCs w:val="28"/>
          </w:rPr>
          <w:fldChar w:fldCharType="separate"/>
        </w:r>
        <w:r>
          <w:rPr>
            <w:b/>
            <w:bCs/>
            <w:sz w:val="28"/>
            <w:szCs w:val="28"/>
          </w:rPr>
          <w:t>6</w:t>
        </w:r>
        <w:r>
          <w:rPr>
            <w:b/>
            <w:bCs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23897" w:history="1">
        <w:r>
          <w:rPr>
            <w:snapToGrid w:val="0"/>
            <w:sz w:val="28"/>
            <w:szCs w:val="40"/>
          </w:rPr>
          <w:t xml:space="preserve">2.1 </w:t>
        </w:r>
        <w:r>
          <w:rPr>
            <w:rFonts w:hint="eastAsia"/>
            <w:snapToGrid w:val="0"/>
            <w:sz w:val="28"/>
            <w:szCs w:val="40"/>
          </w:rPr>
          <w:t>相关</w:t>
        </w:r>
        <w:r>
          <w:rPr>
            <w:rFonts w:ascii="宋体" w:hAnsi="宋体" w:cs="宋体" w:hint="eastAsia"/>
            <w:snapToGrid w:val="0"/>
            <w:sz w:val="28"/>
            <w:szCs w:val="40"/>
          </w:rPr>
          <w:t>概念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_Toc23897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6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157" w:history="1">
        <w:r>
          <w:rPr>
            <w:rFonts w:hint="eastAsia"/>
            <w:snapToGrid w:val="0"/>
            <w:sz w:val="28"/>
            <w:szCs w:val="36"/>
          </w:rPr>
          <w:t>2.1.1</w:t>
        </w:r>
        <w:r>
          <w:rPr>
            <w:rFonts w:hAnsi="宋体" w:cs="宋体" w:hint="eastAsia"/>
            <w:snapToGrid w:val="0"/>
            <w:sz w:val="28"/>
            <w:szCs w:val="36"/>
          </w:rPr>
          <w:t xml:space="preserve"> 配送中心的概念及分类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_Toc157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6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6715" w:history="1">
        <w:r>
          <w:rPr>
            <w:rFonts w:hint="eastAsia"/>
            <w:snapToGrid w:val="0"/>
            <w:sz w:val="28"/>
            <w:szCs w:val="36"/>
          </w:rPr>
          <w:t>2.1.2 配送中心的功能与作用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_Toc26715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6</w:t>
        </w:r>
        <w:r>
          <w:rPr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21042" w:history="1">
        <w:r>
          <w:rPr>
            <w:rFonts w:hint="eastAsia"/>
            <w:snapToGrid w:val="0"/>
            <w:sz w:val="28"/>
            <w:szCs w:val="40"/>
          </w:rPr>
          <w:t>2.2</w:t>
        </w:r>
        <w:r>
          <w:rPr>
            <w:rFonts w:hAnsi="宋体" w:cs="宋体" w:hint="eastAsia"/>
            <w:snapToGrid w:val="0"/>
            <w:sz w:val="28"/>
            <w:szCs w:val="40"/>
          </w:rPr>
          <w:t xml:space="preserve"> 理论基础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_Toc21042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7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12389" w:history="1">
        <w:r>
          <w:rPr>
            <w:rFonts w:hint="eastAsia"/>
            <w:snapToGrid w:val="0"/>
            <w:sz w:val="28"/>
            <w:szCs w:val="36"/>
          </w:rPr>
          <w:t>2.2.1  SLP</w:t>
        </w:r>
        <w:r>
          <w:rPr>
            <w:rFonts w:hAnsi="宋体" w:cs="宋体" w:hint="eastAsia"/>
            <w:snapToGrid w:val="0"/>
            <w:sz w:val="28"/>
            <w:szCs w:val="36"/>
          </w:rPr>
          <w:t>法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_Toc12389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7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</w:pPr>
      <w:hyperlink w:anchor="_Toc1494" w:history="1">
        <w:r>
          <w:rPr>
            <w:rFonts w:hint="eastAsia"/>
            <w:snapToGrid w:val="0"/>
            <w:sz w:val="28"/>
            <w:szCs w:val="36"/>
          </w:rPr>
          <w:t xml:space="preserve">2.2.2  </w:t>
        </w:r>
        <w:r>
          <w:rPr>
            <w:snapToGrid w:val="0"/>
            <w:sz w:val="28"/>
            <w:szCs w:val="36"/>
          </w:rPr>
          <w:t>AHP</w:t>
        </w:r>
        <w:r>
          <w:rPr>
            <w:rFonts w:hint="eastAsia"/>
            <w:snapToGrid w:val="0"/>
            <w:sz w:val="28"/>
            <w:szCs w:val="36"/>
          </w:rPr>
          <w:t>评估法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_Toc1494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9</w:t>
        </w:r>
        <w:r>
          <w:rPr>
            <w:sz w:val="28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b/>
          <w:bCs/>
          <w:sz w:val="28"/>
          <w:szCs w:val="24"/>
        </w:rPr>
        <w:sectPr>
          <w:headerReference w:type="default" r:id="rId5"/>
          <w:footerReference w:type="default" r:id="rId6"/>
          <w:pgSz w:w="11906" w:h="16838"/>
          <w:pgMar w:top="1417" w:right="1417" w:bottom="1417" w:left="1701" w:header="851" w:footer="992" w:gutter="0"/>
          <w:pgNumType w:start="1"/>
          <w:cols w:num="1" w:space="0"/>
          <w:docGrid w:type="lines" w:linePitch="312" w:charSpace="0"/>
        </w:sectPr>
      </w:pPr>
      <w:hyperlink w:anchor="_Toc11220" w:history="1">
        <w:r>
          <w:rPr>
            <w:rFonts w:ascii="宋体" w:hAnsi="宋体" w:cs="宋体" w:hint="eastAsia"/>
            <w:b/>
            <w:bCs/>
            <w:snapToGrid w:val="0"/>
            <w:sz w:val="28"/>
            <w:szCs w:val="40"/>
          </w:rPr>
          <w:t>第</w:t>
        </w:r>
        <w:r>
          <w:rPr>
            <w:b/>
            <w:bCs/>
            <w:snapToGrid w:val="0"/>
            <w:sz w:val="28"/>
            <w:szCs w:val="40"/>
          </w:rPr>
          <w:t>3</w:t>
        </w:r>
        <w:r>
          <w:rPr>
            <w:rFonts w:ascii="宋体" w:hAnsi="宋体" w:cs="宋体" w:hint="eastAsia"/>
            <w:b/>
            <w:bCs/>
            <w:snapToGrid w:val="0"/>
            <w:sz w:val="28"/>
            <w:szCs w:val="40"/>
          </w:rPr>
          <w:t xml:space="preserve">章 </w:t>
        </w:r>
        <w:r>
          <w:rPr>
            <w:rFonts w:ascii="宋体" w:hAnsi="宋体" w:cs="宋体" w:hint="eastAsia"/>
            <w:b/>
            <w:bCs/>
            <w:snapToGrid w:val="0"/>
            <w:sz w:val="28"/>
            <w:szCs w:val="40"/>
            <w:lang w:eastAsia="zh-CN"/>
          </w:rPr>
          <w:t>信阳兴隆</w:t>
        </w:r>
        <w:r>
          <w:rPr>
            <w:rFonts w:ascii="宋体" w:hAnsi="宋体" w:cs="宋体" w:hint="eastAsia"/>
            <w:b/>
            <w:bCs/>
            <w:snapToGrid w:val="0"/>
            <w:sz w:val="28"/>
            <w:szCs w:val="40"/>
          </w:rPr>
          <w:t>配送中心布局现状与问题分析</w:t>
        </w:r>
        <w:r>
          <w:rPr>
            <w:b/>
            <w:bCs/>
            <w:sz w:val="28"/>
            <w:szCs w:val="24"/>
          </w:rPr>
          <w:tab/>
        </w:r>
        <w:r>
          <w:rPr>
            <w:b/>
            <w:bCs/>
            <w:sz w:val="28"/>
            <w:szCs w:val="24"/>
          </w:rPr>
          <w:fldChar w:fldCharType="begin"/>
        </w:r>
        <w:r>
          <w:rPr>
            <w:b/>
            <w:bCs/>
            <w:sz w:val="28"/>
            <w:szCs w:val="24"/>
          </w:rPr>
          <w:instrText xml:space="preserve"> PAGEREF _Toc11220 </w:instrText>
        </w:r>
        <w:r>
          <w:rPr>
            <w:b/>
            <w:bCs/>
            <w:sz w:val="28"/>
            <w:szCs w:val="24"/>
          </w:rPr>
          <w:fldChar w:fldCharType="separate"/>
        </w:r>
        <w:r>
          <w:rPr>
            <w:b/>
            <w:bCs/>
            <w:sz w:val="28"/>
            <w:szCs w:val="24"/>
          </w:rPr>
          <w:t>11</w:t>
        </w:r>
        <w:r>
          <w:rPr>
            <w:b/>
            <w:bCs/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9116" w:history="1">
        <w:r>
          <w:rPr>
            <w:snapToGrid w:val="0"/>
            <w:sz w:val="28"/>
            <w:szCs w:val="40"/>
          </w:rPr>
          <w:t>3.1</w:t>
        </w:r>
        <w:r>
          <w:rPr>
            <w:rFonts w:ascii="宋体" w:hAnsi="宋体" w:cs="宋体" w:hint="eastAsia"/>
            <w:snapToGrid w:val="0"/>
            <w:sz w:val="28"/>
            <w:szCs w:val="40"/>
          </w:rPr>
          <w:t xml:space="preserve"> 公司简介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_Toc9116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11</w:t>
        </w:r>
        <w:r>
          <w:rPr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10477" w:history="1">
        <w:r>
          <w:rPr>
            <w:rFonts w:hint="eastAsia"/>
            <w:snapToGrid w:val="0"/>
            <w:sz w:val="28"/>
            <w:szCs w:val="40"/>
          </w:rPr>
          <w:t>3.2</w:t>
        </w:r>
        <w:r>
          <w:rPr>
            <w:rFonts w:hAnsi="宋体" w:cs="宋体" w:hint="eastAsia"/>
            <w:snapToGrid w:val="0"/>
            <w:sz w:val="28"/>
            <w:szCs w:val="40"/>
            <w:lang w:eastAsia="zh-CN"/>
          </w:rPr>
          <w:t>信阳兴隆</w:t>
        </w:r>
        <w:r>
          <w:rPr>
            <w:rFonts w:hAnsi="宋体" w:cs="宋体" w:hint="eastAsia"/>
            <w:snapToGrid w:val="0"/>
            <w:sz w:val="28"/>
            <w:szCs w:val="40"/>
          </w:rPr>
          <w:t>配送中心布局现状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_Toc10477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11</w:t>
        </w:r>
        <w:r>
          <w:rPr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5419" w:history="1">
        <w:r>
          <w:rPr>
            <w:rFonts w:hint="eastAsia"/>
            <w:snapToGrid w:val="0"/>
            <w:sz w:val="28"/>
            <w:szCs w:val="40"/>
          </w:rPr>
          <w:t>3.3</w:t>
        </w:r>
        <w:r>
          <w:rPr>
            <w:rFonts w:hAnsi="宋体" w:cs="宋体" w:hint="eastAsia"/>
            <w:snapToGrid w:val="0"/>
            <w:sz w:val="28"/>
            <w:szCs w:val="40"/>
          </w:rPr>
          <w:t xml:space="preserve"> </w:t>
        </w:r>
        <w:r>
          <w:rPr>
            <w:rFonts w:hAnsi="宋体" w:cs="宋体" w:hint="eastAsia"/>
            <w:snapToGrid w:val="0"/>
            <w:sz w:val="28"/>
            <w:szCs w:val="40"/>
            <w:lang w:eastAsia="zh-CN"/>
          </w:rPr>
          <w:t>信阳兴隆</w:t>
        </w:r>
        <w:r>
          <w:rPr>
            <w:rFonts w:hAnsi="宋体" w:cs="宋体" w:hint="eastAsia"/>
            <w:snapToGrid w:val="0"/>
            <w:sz w:val="28"/>
            <w:szCs w:val="40"/>
          </w:rPr>
          <w:t>配送中心布局问题及成因分析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_Toc5419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13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1843" w:history="1">
        <w:r>
          <w:rPr>
            <w:snapToGrid w:val="0"/>
            <w:sz w:val="28"/>
            <w:szCs w:val="36"/>
          </w:rPr>
          <w:t>3.3.1</w:t>
        </w:r>
        <w:r>
          <w:rPr>
            <w:rFonts w:hint="eastAsia"/>
            <w:snapToGrid w:val="0"/>
            <w:sz w:val="28"/>
            <w:szCs w:val="36"/>
          </w:rPr>
          <w:t xml:space="preserve"> </w:t>
        </w:r>
        <w:r>
          <w:rPr>
            <w:rFonts w:ascii="宋体" w:hAnsi="宋体" w:cs="宋体" w:hint="eastAsia"/>
            <w:snapToGrid w:val="0"/>
            <w:sz w:val="28"/>
            <w:szCs w:val="36"/>
          </w:rPr>
          <w:t>作业区布局不合理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_Toc21843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13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3014" w:history="1">
        <w:r>
          <w:rPr>
            <w:rFonts w:hAnsi="宋体" w:cs="宋体" w:hint="eastAsia"/>
            <w:snapToGrid w:val="0"/>
            <w:sz w:val="28"/>
            <w:szCs w:val="36"/>
          </w:rPr>
          <w:t>3.3.2 通道位置货物堆垛严重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_Toc23014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13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</w:pPr>
      <w:hyperlink w:anchor="_Toc16888" w:history="1">
        <w:r>
          <w:rPr>
            <w:rFonts w:hAnsi="宋体" w:cs="宋体" w:hint="eastAsia"/>
            <w:snapToGrid w:val="0"/>
            <w:sz w:val="28"/>
            <w:szCs w:val="36"/>
          </w:rPr>
          <w:t>3.3.3 作业区面积划分不合理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_Toc16888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13</w:t>
        </w:r>
        <w:r>
          <w:rPr>
            <w:sz w:val="28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7" w:history="1">
        <w:r>
          <w:rPr>
            <w:rFonts w:hAnsi="宋体" w:cs="宋体" w:hint="eastAsia"/>
            <w:b/>
            <w:bCs/>
            <w:snapToGrid w:val="0"/>
            <w:sz w:val="28"/>
            <w:szCs w:val="40"/>
          </w:rPr>
          <w:t xml:space="preserve">第4章 </w:t>
        </w:r>
        <w:r>
          <w:rPr>
            <w:rFonts w:hAnsi="宋体" w:cs="宋体" w:hint="eastAsia"/>
            <w:b/>
            <w:bCs/>
            <w:snapToGrid w:val="0"/>
            <w:sz w:val="28"/>
            <w:szCs w:val="40"/>
            <w:lang w:eastAsia="zh-CN"/>
          </w:rPr>
          <w:t>信阳兴隆</w:t>
        </w:r>
        <w:r>
          <w:rPr>
            <w:rFonts w:hAnsi="宋体" w:cs="宋体" w:hint="eastAsia"/>
            <w:b/>
            <w:bCs/>
            <w:snapToGrid w:val="0"/>
            <w:sz w:val="28"/>
            <w:szCs w:val="40"/>
          </w:rPr>
          <w:t>配送中心布局优化</w:t>
        </w:r>
        <w:r>
          <w:rPr>
            <w:b/>
            <w:bCs/>
            <w:sz w:val="28"/>
            <w:szCs w:val="24"/>
          </w:rPr>
          <w:tab/>
        </w:r>
        <w:r>
          <w:rPr>
            <w:b/>
            <w:bCs/>
            <w:sz w:val="28"/>
            <w:szCs w:val="24"/>
          </w:rPr>
          <w:fldChar w:fldCharType="begin"/>
        </w:r>
        <w:r>
          <w:rPr>
            <w:b/>
            <w:bCs/>
            <w:sz w:val="28"/>
            <w:szCs w:val="24"/>
          </w:rPr>
          <w:instrText xml:space="preserve"> PAGEREF _Toc6547 </w:instrText>
        </w:r>
        <w:r>
          <w:rPr>
            <w:b/>
            <w:bCs/>
            <w:sz w:val="28"/>
            <w:szCs w:val="24"/>
          </w:rPr>
          <w:fldChar w:fldCharType="separate"/>
        </w:r>
        <w:r>
          <w:rPr>
            <w:b/>
            <w:bCs/>
            <w:sz w:val="28"/>
            <w:szCs w:val="24"/>
          </w:rPr>
          <w:t>14</w:t>
        </w:r>
        <w:r>
          <w:rPr>
            <w:b/>
            <w:bCs/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20416" w:history="1">
        <w:r>
          <w:rPr>
            <w:rFonts w:hint="eastAsia"/>
            <w:snapToGrid w:val="0"/>
            <w:sz w:val="28"/>
            <w:szCs w:val="40"/>
          </w:rPr>
          <w:t>4.1</w:t>
        </w:r>
        <w:r>
          <w:rPr>
            <w:rFonts w:hAnsi="宋体" w:cs="宋体" w:hint="eastAsia"/>
            <w:snapToGrid w:val="0"/>
            <w:sz w:val="28"/>
            <w:szCs w:val="40"/>
          </w:rPr>
          <w:t>基于</w:t>
        </w:r>
        <w:r>
          <w:rPr>
            <w:snapToGrid w:val="0"/>
            <w:sz w:val="28"/>
            <w:szCs w:val="40"/>
          </w:rPr>
          <w:t>SLP</w:t>
        </w:r>
        <w:r>
          <w:rPr>
            <w:rFonts w:hAnsi="宋体" w:cs="宋体" w:hint="eastAsia"/>
            <w:snapToGrid w:val="0"/>
            <w:sz w:val="28"/>
            <w:szCs w:val="40"/>
          </w:rPr>
          <w:t>法的作业区布局优化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_Toc20416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14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8909" w:history="1">
        <w:r>
          <w:rPr>
            <w:rFonts w:hint="eastAsia"/>
            <w:snapToGrid w:val="0"/>
            <w:sz w:val="28"/>
            <w:szCs w:val="36"/>
          </w:rPr>
          <w:t>4.1.1</w:t>
        </w:r>
        <w:r>
          <w:rPr>
            <w:rFonts w:hAnsi="宋体" w:cs="宋体" w:hint="eastAsia"/>
            <w:snapToGrid w:val="0"/>
            <w:sz w:val="28"/>
            <w:szCs w:val="36"/>
          </w:rPr>
          <w:t xml:space="preserve"> </w:t>
        </w:r>
        <w:r>
          <w:rPr>
            <w:rFonts w:hAnsi="宋体" w:cs="宋体" w:hint="eastAsia"/>
            <w:sz w:val="28"/>
            <w:szCs w:val="36"/>
          </w:rPr>
          <w:t>物流关系分析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_Toc28909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14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4666" w:history="1">
        <w:r>
          <w:rPr>
            <w:rFonts w:hint="eastAsia"/>
            <w:snapToGrid w:val="0"/>
            <w:sz w:val="28"/>
            <w:szCs w:val="36"/>
          </w:rPr>
          <w:t>4.1.2</w:t>
        </w:r>
        <w:r>
          <w:rPr>
            <w:rFonts w:hAnsi="宋体" w:cs="宋体" w:hint="eastAsia"/>
            <w:snapToGrid w:val="0"/>
            <w:sz w:val="28"/>
            <w:szCs w:val="36"/>
          </w:rPr>
          <w:t xml:space="preserve"> </w:t>
        </w:r>
        <w:r>
          <w:rPr>
            <w:rFonts w:hAnsi="宋体" w:cs="宋体" w:hint="eastAsia"/>
            <w:sz w:val="28"/>
            <w:szCs w:val="36"/>
          </w:rPr>
          <w:t>非物流关系分析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_Toc4666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17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8673" w:history="1">
        <w:r>
          <w:rPr>
            <w:rFonts w:hAnsi="宋体" w:cs="宋体" w:hint="eastAsia"/>
            <w:snapToGrid w:val="0"/>
            <w:sz w:val="28"/>
            <w:szCs w:val="36"/>
          </w:rPr>
          <w:t xml:space="preserve">4.1.3 </w:t>
        </w:r>
        <w:r>
          <w:rPr>
            <w:rFonts w:hAnsi="宋体" w:cs="宋体" w:hint="eastAsia"/>
            <w:sz w:val="28"/>
            <w:szCs w:val="36"/>
          </w:rPr>
          <w:t>综合关系分析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_Toc28673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19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4854" w:history="1">
        <w:r>
          <w:rPr>
            <w:rFonts w:hAnsi="宋体" w:cs="宋体" w:hint="eastAsia"/>
            <w:snapToGrid w:val="0"/>
            <w:sz w:val="28"/>
            <w:szCs w:val="36"/>
          </w:rPr>
          <w:t>4.1.4 选择布局方案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_Toc24854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22</w:t>
        </w:r>
        <w:r>
          <w:rPr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16459" w:history="1">
        <w:r>
          <w:rPr>
            <w:rFonts w:hAnsi="宋体" w:cs="宋体" w:hint="eastAsia"/>
            <w:snapToGrid w:val="0"/>
            <w:sz w:val="28"/>
            <w:szCs w:val="40"/>
          </w:rPr>
          <w:t>4.2 基于AHP评估法的布局方案评估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_Toc16459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23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2075" w:history="1">
        <w:r>
          <w:rPr>
            <w:rFonts w:hAnsi="宋体" w:cs="宋体" w:hint="eastAsia"/>
            <w:snapToGrid w:val="0"/>
            <w:sz w:val="28"/>
            <w:szCs w:val="36"/>
          </w:rPr>
          <w:t>4.2.1  构建评估要素层次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_Toc22075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23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2768" w:history="1">
        <w:r>
          <w:rPr>
            <w:rFonts w:hAnsi="宋体" w:cs="宋体" w:hint="eastAsia"/>
            <w:snapToGrid w:val="0"/>
            <w:sz w:val="28"/>
            <w:szCs w:val="36"/>
          </w:rPr>
          <w:t>4.2.2  建立要素评点基准表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_Toc22768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23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9648" w:history="1">
        <w:r>
          <w:rPr>
            <w:rFonts w:hint="eastAsia"/>
            <w:snapToGrid w:val="0"/>
            <w:sz w:val="28"/>
            <w:szCs w:val="36"/>
          </w:rPr>
          <w:t>4.2.3  AHP</w:t>
        </w:r>
        <w:r>
          <w:rPr>
            <w:rFonts w:hAnsi="宋体" w:cs="宋体" w:hint="eastAsia"/>
            <w:snapToGrid w:val="0"/>
            <w:sz w:val="28"/>
            <w:szCs w:val="36"/>
          </w:rPr>
          <w:t>要素权重计算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_Toc9648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25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6534" w:history="1">
        <w:r>
          <w:rPr>
            <w:rFonts w:hint="eastAsia"/>
            <w:snapToGrid w:val="0"/>
            <w:sz w:val="28"/>
            <w:szCs w:val="36"/>
          </w:rPr>
          <w:t>4.2.4  对各方案要素评点评分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_Toc6534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26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sz w:val="28"/>
          <w:szCs w:val="24"/>
        </w:rPr>
      </w:pPr>
      <w:hyperlink w:anchor="_Toc26038" w:history="1">
        <w:r>
          <w:rPr>
            <w:rFonts w:hint="eastAsia"/>
            <w:snapToGrid w:val="0"/>
            <w:sz w:val="28"/>
            <w:szCs w:val="36"/>
          </w:rPr>
          <w:t>4.2.5  计算各方案评点评分及优先次序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_Toc26038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26</w:t>
        </w:r>
        <w:r>
          <w:rPr>
            <w:sz w:val="28"/>
            <w:szCs w:val="24"/>
          </w:rPr>
          <w:fldChar w:fldCharType="end"/>
        </w:r>
      </w:hyperlink>
    </w:p>
    <w:p>
      <w:pPr>
        <w:pStyle w:val="TOC3"/>
        <w:tabs>
          <w:tab w:val="right" w:leader="dot" w:pos="8306"/>
        </w:tabs>
        <w:ind w:left="0" w:firstLine="420" w:leftChars="0" w:firstLineChars="200"/>
      </w:pPr>
      <w:hyperlink w:anchor="_Toc10303" w:history="1">
        <w:r>
          <w:rPr>
            <w:rFonts w:hint="eastAsia"/>
            <w:snapToGrid w:val="0"/>
            <w:sz w:val="28"/>
            <w:szCs w:val="40"/>
          </w:rPr>
          <w:t xml:space="preserve">4.3 </w:t>
        </w:r>
        <w:r>
          <w:rPr>
            <w:rFonts w:hAnsi="宋体" w:cs="宋体" w:hint="eastAsia"/>
            <w:snapToGrid w:val="0"/>
            <w:sz w:val="28"/>
            <w:szCs w:val="40"/>
          </w:rPr>
          <w:t>配送中心作业区优化前后分析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_Toc10303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27</w:t>
        </w:r>
        <w:r>
          <w:rPr>
            <w:sz w:val="28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b/>
          <w:bCs/>
          <w:sz w:val="28"/>
          <w:szCs w:val="24"/>
        </w:rPr>
      </w:pPr>
      <w:hyperlink w:anchor="_Toc20676" w:history="1">
        <w:r>
          <w:rPr>
            <w:rFonts w:hAnsi="宋体" w:cs="宋体" w:hint="eastAsia"/>
            <w:b/>
            <w:bCs/>
            <w:snapToGrid w:val="0"/>
            <w:sz w:val="28"/>
            <w:szCs w:val="40"/>
          </w:rPr>
          <w:t>第</w:t>
        </w:r>
        <w:r>
          <w:rPr>
            <w:rFonts w:hint="eastAsia"/>
            <w:b/>
            <w:bCs/>
            <w:snapToGrid w:val="0"/>
            <w:sz w:val="28"/>
            <w:szCs w:val="40"/>
          </w:rPr>
          <w:t>5</w:t>
        </w:r>
        <w:r>
          <w:rPr>
            <w:rFonts w:hAnsi="宋体" w:cs="宋体" w:hint="eastAsia"/>
            <w:b/>
            <w:bCs/>
            <w:snapToGrid w:val="0"/>
            <w:sz w:val="28"/>
            <w:szCs w:val="40"/>
          </w:rPr>
          <w:t xml:space="preserve">章 </w:t>
        </w:r>
        <w:r>
          <w:rPr>
            <w:rFonts w:hAnsi="宋体" w:cs="宋体" w:hint="eastAsia"/>
            <w:b/>
            <w:bCs/>
            <w:snapToGrid w:val="0"/>
            <w:sz w:val="28"/>
            <w:szCs w:val="40"/>
            <w:lang w:eastAsia="zh-CN"/>
          </w:rPr>
          <w:t>信阳兴隆</w:t>
        </w:r>
        <w:r>
          <w:rPr>
            <w:rFonts w:hAnsi="宋体" w:cs="宋体" w:hint="eastAsia"/>
            <w:b/>
            <w:bCs/>
            <w:snapToGrid w:val="0"/>
            <w:sz w:val="28"/>
            <w:szCs w:val="40"/>
          </w:rPr>
          <w:t>配送中心布局优化方案实施保障措施</w:t>
        </w:r>
        <w:r>
          <w:rPr>
            <w:b/>
            <w:bCs/>
            <w:sz w:val="28"/>
            <w:szCs w:val="24"/>
          </w:rPr>
          <w:tab/>
        </w:r>
        <w:r>
          <w:rPr>
            <w:b/>
            <w:bCs/>
            <w:sz w:val="28"/>
            <w:szCs w:val="24"/>
          </w:rPr>
          <w:fldChar w:fldCharType="begin"/>
        </w:r>
        <w:r>
          <w:rPr>
            <w:b/>
            <w:bCs/>
            <w:sz w:val="28"/>
            <w:szCs w:val="24"/>
          </w:rPr>
          <w:instrText xml:space="preserve"> PAGEREF _Toc20676 </w:instrText>
        </w:r>
        <w:r>
          <w:rPr>
            <w:b/>
            <w:bCs/>
            <w:sz w:val="28"/>
            <w:szCs w:val="24"/>
          </w:rPr>
          <w:fldChar w:fldCharType="separate"/>
        </w:r>
        <w:r>
          <w:rPr>
            <w:b/>
            <w:bCs/>
            <w:sz w:val="28"/>
            <w:szCs w:val="24"/>
          </w:rPr>
          <w:t>29</w:t>
        </w:r>
        <w:r>
          <w:rPr>
            <w:b/>
            <w:bCs/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</w:pPr>
      <w:hyperlink w:anchor="_Toc5766" w:history="1">
        <w:r>
          <w:rPr>
            <w:snapToGrid w:val="0"/>
            <w:sz w:val="28"/>
            <w:szCs w:val="40"/>
          </w:rPr>
          <w:t xml:space="preserve">5.1 </w:t>
        </w:r>
        <w:r>
          <w:rPr>
            <w:rFonts w:hAnsi="宋体" w:cs="宋体" w:hint="eastAsia"/>
            <w:snapToGrid w:val="0"/>
            <w:sz w:val="28"/>
            <w:szCs w:val="40"/>
          </w:rPr>
          <w:t>完善信息化管理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_Toc5766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29</w:t>
        </w:r>
        <w:r>
          <w:rPr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sz w:val="28"/>
          <w:szCs w:val="24"/>
        </w:rPr>
        <w:sectPr>
          <w:headerReference w:type="default" r:id="rId7"/>
          <w:footerReference w:type="default" r:id="rId8"/>
          <w:type w:val="nextPage"/>
          <w:pgSz w:w="11906" w:h="16838"/>
          <w:pgMar w:top="1417" w:right="1417" w:bottom="1417" w:left="1701" w:header="851" w:footer="992" w:gutter="0"/>
          <w:pgNumType w:start="2"/>
          <w:cols w:num="1" w:space="0"/>
          <w:titlePg w:val="0"/>
          <w:docGrid w:type="lines" w:linePitch="312" w:charSpace="0"/>
        </w:sectPr>
      </w:pPr>
      <w:hyperlink w:anchor="_Toc6207" w:history="1">
        <w:r>
          <w:rPr>
            <w:snapToGrid w:val="0"/>
            <w:sz w:val="28"/>
            <w:szCs w:val="40"/>
          </w:rPr>
          <w:t>5.2</w:t>
        </w:r>
        <w:r>
          <w:rPr>
            <w:rFonts w:hint="eastAsia"/>
            <w:snapToGrid w:val="0"/>
            <w:sz w:val="28"/>
            <w:szCs w:val="40"/>
          </w:rPr>
          <w:t xml:space="preserve"> 提高员工整体素质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_Toc6207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29</w:t>
        </w:r>
        <w:r>
          <w:rPr>
            <w:sz w:val="28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8" w:history="1">
        <w:r>
          <w:rPr>
            <w:snapToGrid w:val="0"/>
            <w:sz w:val="28"/>
            <w:szCs w:val="40"/>
          </w:rPr>
          <w:t>5.3</w:t>
        </w:r>
        <w:r>
          <w:rPr>
            <w:rFonts w:hint="eastAsia"/>
            <w:snapToGrid w:val="0"/>
            <w:sz w:val="28"/>
            <w:szCs w:val="40"/>
          </w:rPr>
          <w:t xml:space="preserve"> 完善绩效考核制度</w:t>
        </w:r>
        <w:r>
          <w:rPr>
            <w:sz w:val="28"/>
            <w:szCs w:val="24"/>
          </w:rPr>
          <w:tab/>
        </w:r>
        <w:r>
          <w:rPr>
            <w:sz w:val="28"/>
            <w:szCs w:val="24"/>
          </w:rPr>
          <w:fldChar w:fldCharType="begin"/>
        </w:r>
        <w:r>
          <w:rPr>
            <w:sz w:val="28"/>
            <w:szCs w:val="24"/>
          </w:rPr>
          <w:instrText xml:space="preserve"> PAGEREF _Toc10048 </w:instrText>
        </w:r>
        <w:r>
          <w:rPr>
            <w:sz w:val="28"/>
            <w:szCs w:val="24"/>
          </w:rPr>
          <w:fldChar w:fldCharType="separate"/>
        </w:r>
        <w:r>
          <w:rPr>
            <w:sz w:val="28"/>
            <w:szCs w:val="24"/>
          </w:rPr>
          <w:t>29</w:t>
        </w:r>
        <w:r>
          <w:rPr>
            <w:sz w:val="28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b/>
          <w:bCs/>
          <w:sz w:val="28"/>
          <w:szCs w:val="24"/>
        </w:rPr>
      </w:pPr>
      <w:hyperlink w:anchor="_Toc22061" w:history="1">
        <w:r>
          <w:rPr>
            <w:rFonts w:hAnsi="宋体" w:cs="宋体" w:hint="eastAsia"/>
            <w:b/>
            <w:bCs/>
            <w:snapToGrid w:val="0"/>
            <w:sz w:val="28"/>
            <w:szCs w:val="40"/>
          </w:rPr>
          <w:t>结论与展望</w:t>
        </w:r>
        <w:r>
          <w:rPr>
            <w:b/>
            <w:bCs/>
            <w:sz w:val="28"/>
            <w:szCs w:val="24"/>
          </w:rPr>
          <w:tab/>
        </w:r>
        <w:r>
          <w:rPr>
            <w:b/>
            <w:bCs/>
            <w:sz w:val="28"/>
            <w:szCs w:val="24"/>
          </w:rPr>
          <w:fldChar w:fldCharType="begin"/>
        </w:r>
        <w:r>
          <w:rPr>
            <w:b/>
            <w:bCs/>
            <w:sz w:val="28"/>
            <w:szCs w:val="24"/>
          </w:rPr>
          <w:instrText xml:space="preserve"> PAGEREF _Toc22061 </w:instrText>
        </w:r>
        <w:r>
          <w:rPr>
            <w:b/>
            <w:bCs/>
            <w:sz w:val="28"/>
            <w:szCs w:val="24"/>
          </w:rPr>
          <w:fldChar w:fldCharType="separate"/>
        </w:r>
        <w:r>
          <w:rPr>
            <w:b/>
            <w:bCs/>
            <w:sz w:val="28"/>
            <w:szCs w:val="24"/>
          </w:rPr>
          <w:t>30</w:t>
        </w:r>
        <w:r>
          <w:rPr>
            <w:b/>
            <w:bCs/>
            <w:sz w:val="28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b/>
          <w:bCs/>
          <w:sz w:val="28"/>
          <w:szCs w:val="24"/>
        </w:rPr>
      </w:pPr>
      <w:hyperlink w:anchor="_Toc11341" w:history="1">
        <w:r>
          <w:rPr>
            <w:rFonts w:hAnsi="宋体" w:cs="宋体" w:hint="eastAsia"/>
            <w:b/>
            <w:bCs/>
            <w:snapToGrid w:val="0"/>
            <w:sz w:val="28"/>
            <w:szCs w:val="40"/>
          </w:rPr>
          <w:t>参考文献</w:t>
        </w:r>
        <w:r>
          <w:rPr>
            <w:b/>
            <w:bCs/>
            <w:sz w:val="28"/>
            <w:szCs w:val="24"/>
          </w:rPr>
          <w:tab/>
        </w:r>
        <w:r>
          <w:rPr>
            <w:b/>
            <w:bCs/>
            <w:sz w:val="28"/>
            <w:szCs w:val="24"/>
          </w:rPr>
          <w:fldChar w:fldCharType="begin"/>
        </w:r>
        <w:r>
          <w:rPr>
            <w:b/>
            <w:bCs/>
            <w:sz w:val="28"/>
            <w:szCs w:val="24"/>
          </w:rPr>
          <w:instrText xml:space="preserve"> PAGEREF _Toc11341 </w:instrText>
        </w:r>
        <w:r>
          <w:rPr>
            <w:b/>
            <w:bCs/>
            <w:sz w:val="28"/>
            <w:szCs w:val="24"/>
          </w:rPr>
          <w:fldChar w:fldCharType="separate"/>
        </w:r>
        <w:r>
          <w:rPr>
            <w:b/>
            <w:bCs/>
            <w:sz w:val="28"/>
            <w:szCs w:val="24"/>
          </w:rPr>
          <w:t>31</w:t>
        </w:r>
        <w:r>
          <w:rPr>
            <w:b/>
            <w:bCs/>
            <w:sz w:val="28"/>
            <w:szCs w:val="24"/>
          </w:rPr>
          <w:fldChar w:fldCharType="end"/>
        </w:r>
      </w:hyperlink>
    </w:p>
    <w:p>
      <w:pPr>
        <w:spacing w:line="360" w:lineRule="auto"/>
        <w:ind w:firstLine="210" w:firstLineChars="100"/>
        <w:rPr>
          <w:rFonts w:ascii="宋体" w:hAnsi="宋体" w:cs="宋体"/>
          <w:bCs/>
          <w:snapToGrid w:val="0"/>
          <w:szCs w:val="21"/>
        </w:rPr>
      </w:pPr>
      <w:r>
        <w:rPr>
          <w:rFonts w:ascii="宋体" w:hAnsi="宋体" w:cs="宋体" w:hint="eastAsia"/>
          <w:bCs/>
          <w:snapToGrid w:val="0"/>
          <w:szCs w:val="21"/>
        </w:rPr>
        <w:fldChar w:fldCharType="end"/>
      </w:r>
    </w:p>
    <w:p>
      <w:pPr>
        <w:jc w:val="center"/>
        <w:rPr>
          <w:rFonts w:ascii="宋体" w:hAnsi="宋体" w:cs="宋体"/>
          <w:b/>
          <w:bCs/>
          <w:snapToGrid w:val="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snapToGrid w:val="0"/>
          <w:kern w:val="0"/>
          <w:sz w:val="36"/>
          <w:szCs w:val="36"/>
          <w:lang w:eastAsia="zh-CN"/>
        </w:rPr>
        <w:t>信阳兴隆</w:t>
      </w:r>
      <w:r>
        <w:rPr>
          <w:rFonts w:ascii="宋体" w:hAnsi="宋体" w:cs="宋体" w:hint="eastAsia"/>
          <w:b/>
          <w:bCs/>
          <w:snapToGrid w:val="0"/>
          <w:kern w:val="0"/>
          <w:sz w:val="36"/>
          <w:szCs w:val="36"/>
        </w:rPr>
        <w:t>配送中心布局优化分析</w:t>
      </w:r>
    </w:p>
    <w:p>
      <w:pPr>
        <w:jc w:val="center"/>
        <w:rPr>
          <w:rFonts w:ascii="宋体" w:hAnsi="宋体" w:cs="宋体"/>
          <w:b/>
          <w:bCs/>
          <w:snapToGrid w:val="0"/>
          <w:kern w:val="0"/>
          <w:sz w:val="36"/>
          <w:szCs w:val="36"/>
        </w:rPr>
      </w:pPr>
    </w:p>
    <w:p>
      <w:pPr>
        <w:spacing w:line="360" w:lineRule="auto"/>
        <w:jc w:val="center"/>
        <w:outlineLvl w:val="0"/>
        <w:rPr>
          <w:rFonts w:ascii="宋体"/>
          <w:b/>
          <w:bCs/>
          <w:sz w:val="36"/>
          <w:szCs w:val="36"/>
        </w:rPr>
      </w:pPr>
      <w:bookmarkStart w:id="1" w:name="_Toc32490"/>
      <w:r>
        <w:rPr>
          <w:rFonts w:ascii="宋体" w:hint="eastAsia"/>
          <w:b/>
          <w:bCs/>
          <w:sz w:val="36"/>
          <w:szCs w:val="36"/>
        </w:rPr>
        <w:t>摘  要</w:t>
      </w:r>
      <w:bookmarkEnd w:id="1"/>
    </w:p>
    <w:p>
      <w:pPr>
        <w:spacing w:line="360" w:lineRule="auto"/>
        <w:jc w:val="center"/>
        <w:outlineLvl w:val="0"/>
        <w:rPr>
          <w:rFonts w:ascii="宋体"/>
          <w:b/>
          <w:bCs/>
          <w:sz w:val="36"/>
          <w:szCs w:val="36"/>
        </w:rPr>
      </w:pPr>
    </w:p>
    <w:p>
      <w:pPr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8"/>
        </w:rPr>
      </w:pPr>
      <w:r>
        <w:rPr>
          <w:rFonts w:hAnsi="宋体" w:cs="宋体" w:hint="eastAsia"/>
          <w:sz w:val="24"/>
          <w:szCs w:val="28"/>
        </w:rPr>
        <w:t>就当今国内形势来看，各大连锁企业之间的竞争日趋激烈，连锁超市在市场竞争中发展迅猛，越多越多的连锁超市采用自建配送中心的方式来增强自身竞争力，提高配送效率。</w:t>
      </w:r>
      <w:r>
        <w:rPr>
          <w:rFonts w:hAnsi="宋体" w:cs="宋体" w:hint="eastAsia"/>
          <w:bCs/>
          <w:snapToGrid w:val="0"/>
          <w:kern w:val="0"/>
          <w:sz w:val="24"/>
          <w:szCs w:val="28"/>
        </w:rPr>
        <w:t>如何协调配送中心内部各作业区的位置关系</w:t>
      </w:r>
      <w:r>
        <w:rPr>
          <w:rFonts w:hAnsi="宋体" w:cs="宋体" w:hint="eastAsia"/>
          <w:sz w:val="24"/>
          <w:szCs w:val="28"/>
        </w:rPr>
        <w:t>，从而</w:t>
      </w:r>
      <w:r>
        <w:rPr>
          <w:rFonts w:hAnsi="宋体" w:cs="宋体" w:hint="eastAsia"/>
          <w:bCs/>
          <w:snapToGrid w:val="0"/>
          <w:kern w:val="0"/>
          <w:sz w:val="24"/>
          <w:szCs w:val="28"/>
        </w:rPr>
        <w:t>减少资源浪费，发挥配送中心运作的最大效用就成为重中之重。</w:t>
      </w:r>
    </w:p>
    <w:p>
      <w:pPr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8"/>
        </w:rPr>
      </w:pPr>
      <w:r>
        <w:rPr>
          <w:rFonts w:hAnsi="宋体" w:cs="宋体" w:hint="eastAsia"/>
          <w:bCs/>
          <w:snapToGrid w:val="0"/>
          <w:kern w:val="0"/>
          <w:sz w:val="24"/>
          <w:szCs w:val="28"/>
        </w:rPr>
        <w:t>本文以</w:t>
      </w:r>
      <w:r>
        <w:rPr>
          <w:rFonts w:hAnsi="宋体" w:cs="宋体" w:hint="eastAsia"/>
          <w:bCs/>
          <w:snapToGrid w:val="0"/>
          <w:kern w:val="0"/>
          <w:sz w:val="24"/>
          <w:szCs w:val="28"/>
          <w:lang w:eastAsia="zh-CN"/>
        </w:rPr>
        <w:t>信阳兴隆</w:t>
      </w:r>
      <w:r>
        <w:rPr>
          <w:rFonts w:hAnsi="宋体" w:cs="宋体" w:hint="eastAsia"/>
          <w:bCs/>
          <w:snapToGrid w:val="0"/>
          <w:kern w:val="0"/>
          <w:sz w:val="24"/>
          <w:szCs w:val="28"/>
        </w:rPr>
        <w:t>配送中心为研究对象，研究该配送中心的布局问题。重点分析了</w:t>
      </w:r>
      <w:r>
        <w:rPr>
          <w:rFonts w:hAnsi="宋体" w:cs="宋体" w:hint="eastAsia"/>
          <w:bCs/>
          <w:snapToGrid w:val="0"/>
          <w:kern w:val="0"/>
          <w:sz w:val="24"/>
          <w:szCs w:val="28"/>
          <w:lang w:eastAsia="zh-CN"/>
        </w:rPr>
        <w:t>信阳兴隆</w:t>
      </w:r>
      <w:r>
        <w:rPr>
          <w:rFonts w:hAnsi="宋体" w:cs="宋体" w:hint="eastAsia"/>
          <w:bCs/>
          <w:snapToGrid w:val="0"/>
          <w:kern w:val="0"/>
          <w:sz w:val="24"/>
          <w:szCs w:val="28"/>
        </w:rPr>
        <w:t>物流配送中心布局现状，发现存在土地资源浪费、作业区布局不合理、配送效率不高等问题。</w:t>
      </w:r>
      <w:r>
        <w:rPr>
          <w:rFonts w:hAnsi="宋体" w:cs="宋体" w:hint="eastAsia"/>
          <w:bCs/>
          <w:sz w:val="24"/>
          <w:szCs w:val="28"/>
        </w:rPr>
        <w:t>运用</w:t>
      </w:r>
      <w:r>
        <w:rPr>
          <w:bCs/>
          <w:sz w:val="24"/>
          <w:szCs w:val="28"/>
        </w:rPr>
        <w:t>SLP</w:t>
      </w:r>
      <w:r>
        <w:rPr>
          <w:rFonts w:hAnsi="宋体" w:cs="宋体" w:hint="eastAsia"/>
          <w:bCs/>
          <w:sz w:val="24"/>
          <w:szCs w:val="28"/>
        </w:rPr>
        <w:t>法，分析各作业区之间物流与非物流强度相互关系，制定配送中心布局优化方案。再运用</w:t>
      </w:r>
      <w:r>
        <w:rPr>
          <w:sz w:val="24"/>
          <w:szCs w:val="28"/>
        </w:rPr>
        <w:t>AHP</w:t>
      </w:r>
      <w:r>
        <w:rPr>
          <w:rFonts w:hAnsi="宋体" w:cs="宋体" w:hint="eastAsia"/>
          <w:sz w:val="24"/>
          <w:szCs w:val="28"/>
        </w:rPr>
        <w:t>评估法，对优化后的布局方案进行评估。从经济、技术、作业方面确定评估因素，计算权重之后，对方案进行评点评分，确定最优方案。通过配送中心布局的优化，可以有效解决配送中心现存问题，提高其工作效率。对优化方案实施如下三方面的保障措施：</w:t>
      </w:r>
      <w:r>
        <w:rPr>
          <w:rFonts w:hAnsi="宋体" w:cs="宋体" w:hint="eastAsia"/>
          <w:bCs/>
          <w:snapToGrid w:val="0"/>
          <w:kern w:val="0"/>
          <w:sz w:val="24"/>
          <w:szCs w:val="28"/>
        </w:rPr>
        <w:t>完善信息化管理；提高员工整体素质；完善绩效考核制度。</w:t>
      </w: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Cs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关键词：</w:t>
      </w:r>
      <w:r>
        <w:rPr>
          <w:rFonts w:hint="eastAsia"/>
          <w:bCs/>
          <w:sz w:val="24"/>
          <w:szCs w:val="24"/>
        </w:rPr>
        <w:t>配送中心布局优化；</w:t>
      </w:r>
      <w:r>
        <w:rPr>
          <w:bCs/>
          <w:sz w:val="24"/>
          <w:szCs w:val="28"/>
        </w:rPr>
        <w:t>SLP</w:t>
      </w:r>
      <w:r>
        <w:rPr>
          <w:rFonts w:hint="eastAsia"/>
          <w:bCs/>
          <w:sz w:val="24"/>
          <w:szCs w:val="28"/>
        </w:rPr>
        <w:t>；</w:t>
      </w:r>
      <w:r>
        <w:rPr>
          <w:bCs/>
          <w:sz w:val="24"/>
          <w:szCs w:val="28"/>
        </w:rPr>
        <w:t>AHP</w:t>
      </w:r>
    </w:p>
    <w:p>
      <w:pPr>
        <w:spacing w:line="360" w:lineRule="auto"/>
        <w:jc w:val="center"/>
        <w:outlineLvl w:val="0"/>
        <w:rPr>
          <w:b/>
          <w:bCs/>
          <w:sz w:val="30"/>
          <w:szCs w:val="28"/>
        </w:rPr>
      </w:pPr>
      <w:bookmarkStart w:id="2" w:name="_Toc29690"/>
      <w:r>
        <w:rPr>
          <w:rFonts w:hint="eastAsia"/>
          <w:b/>
          <w:bCs/>
          <w:sz w:val="30"/>
          <w:szCs w:val="28"/>
        </w:rPr>
        <w:t>第1章 绪论</w:t>
      </w:r>
      <w:bookmarkEnd w:id="2"/>
    </w:p>
    <w:p>
      <w:pPr>
        <w:widowControl/>
        <w:spacing w:line="360" w:lineRule="auto"/>
        <w:jc w:val="left"/>
        <w:outlineLvl w:val="1"/>
        <w:rPr>
          <w:rFonts w:hAnsi="宋体" w:cs="宋体"/>
          <w:b/>
          <w:snapToGrid w:val="0"/>
          <w:kern w:val="0"/>
          <w:sz w:val="28"/>
          <w:szCs w:val="32"/>
        </w:rPr>
      </w:pPr>
      <w:bookmarkStart w:id="3" w:name="_Toc11260"/>
      <w:r>
        <w:rPr>
          <w:rFonts w:hAnsi="宋体" w:cs="宋体" w:hint="eastAsia"/>
          <w:b/>
          <w:bCs/>
          <w:sz w:val="28"/>
          <w:szCs w:val="32"/>
        </w:rPr>
        <w:t xml:space="preserve">1.1 </w:t>
      </w:r>
      <w:r>
        <w:rPr>
          <w:rFonts w:hAnsi="宋体" w:cs="宋体" w:hint="eastAsia"/>
          <w:b/>
          <w:snapToGrid w:val="0"/>
          <w:kern w:val="0"/>
          <w:sz w:val="28"/>
          <w:szCs w:val="32"/>
        </w:rPr>
        <w:t>研究的背景、目的与意义</w:t>
      </w:r>
      <w:bookmarkEnd w:id="3"/>
    </w:p>
    <w:p>
      <w:pPr>
        <w:widowControl/>
        <w:spacing w:line="360" w:lineRule="auto"/>
        <w:jc w:val="left"/>
        <w:outlineLvl w:val="2"/>
        <w:rPr>
          <w:rFonts w:hAnsi="宋体" w:cs="宋体"/>
          <w:b/>
          <w:snapToGrid w:val="0"/>
          <w:kern w:val="0"/>
          <w:sz w:val="24"/>
          <w:szCs w:val="28"/>
        </w:rPr>
      </w:pPr>
      <w:bookmarkStart w:id="4" w:name="_Toc6981"/>
      <w:r>
        <w:rPr>
          <w:rFonts w:hAnsi="宋体" w:cs="宋体" w:hint="eastAsia"/>
          <w:b/>
          <w:bCs/>
          <w:sz w:val="24"/>
          <w:szCs w:val="28"/>
        </w:rPr>
        <w:t xml:space="preserve">1.1.1 </w:t>
      </w:r>
      <w:r>
        <w:rPr>
          <w:rFonts w:hAnsi="宋体" w:cs="宋体" w:hint="eastAsia"/>
          <w:b/>
          <w:snapToGrid w:val="0"/>
          <w:kern w:val="0"/>
          <w:sz w:val="24"/>
          <w:szCs w:val="28"/>
        </w:rPr>
        <w:t>研究背景</w:t>
      </w:r>
      <w:bookmarkEnd w:id="4"/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  <w:sectPr>
          <w:headerReference w:type="default" r:id="rId9"/>
          <w:footerReference w:type="default" r:id="rId10"/>
          <w:type w:val="nextPage"/>
          <w:pgSz w:w="11906" w:h="16838"/>
          <w:pgMar w:top="1417" w:right="1417" w:bottom="1417" w:left="1701" w:header="851" w:footer="992" w:gutter="0"/>
          <w:pgNumType w:start="3"/>
          <w:cols w:num="1" w:space="0"/>
          <w:titlePg w:val="0"/>
          <w:docGrid w:type="lines" w:linePitch="312" w:charSpace="0"/>
        </w:sectPr>
      </w:pPr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在市场经济的高速发展下，零售行业成为一大热点。目前，在商业模式限制和网络消费冲击下，95%的实体零售企业发展陷入困境。2018年，零售行业下各大实体店，其消费品零售额增长了5.9%，与2017年相比，2018年实体店零售额处于下降阶段。自2012年以来，零售企业销售额增速逐年放缓，甚至有些年份出现不增反降的现象。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实体零售企业要想在激烈的市场竞争中谋求发展，必须加强自身的物流系统建设，而配送中心是其物流系统的一个关键结点。然而在大多数零售企业的配送中心中还存在着土地资源浪费、作业区布局不合理等问题，阻碍连锁超市的发展。因此如何协调配送中心内部各作业区的位置关系，减少资源浪费，发挥配送中心运作的最大效用，成为所要研究的</w:t>
      </w:r>
      <w:r>
        <w:rPr>
          <w:rFonts w:hAnsi="宋体" w:cs="宋体" w:hint="eastAsia"/>
          <w:bCs/>
          <w:snapToGrid w:val="0"/>
          <w:kern w:val="0"/>
          <w:sz w:val="24"/>
          <w:szCs w:val="24"/>
          <w:lang w:eastAsia="zh-CN"/>
        </w:rPr>
        <w:t>信阳兴隆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配送中心布局优化分析这一课题的背景。</w:t>
      </w:r>
    </w:p>
    <w:p>
      <w:pPr>
        <w:widowControl/>
        <w:spacing w:line="360" w:lineRule="auto"/>
        <w:jc w:val="left"/>
        <w:outlineLvl w:val="2"/>
        <w:rPr>
          <w:rFonts w:hAnsi="宋体" w:cs="宋体"/>
          <w:b/>
          <w:bCs/>
          <w:sz w:val="24"/>
          <w:szCs w:val="28"/>
        </w:rPr>
      </w:pPr>
      <w:bookmarkStart w:id="5" w:name="_Toc20972"/>
      <w:r>
        <w:rPr>
          <w:rFonts w:hAnsi="宋体" w:cs="宋体" w:hint="eastAsia"/>
          <w:b/>
          <w:bCs/>
          <w:sz w:val="24"/>
          <w:szCs w:val="28"/>
        </w:rPr>
        <w:t>1.1.2 研究目的</w:t>
      </w:r>
      <w:bookmarkEnd w:id="5"/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本篇论文的研究目的是通过对</w:t>
      </w:r>
      <w:r>
        <w:rPr>
          <w:rFonts w:hAnsi="宋体" w:cs="宋体" w:hint="eastAsia"/>
          <w:bCs/>
          <w:snapToGrid w:val="0"/>
          <w:kern w:val="0"/>
          <w:sz w:val="24"/>
          <w:szCs w:val="24"/>
          <w:lang w:eastAsia="zh-CN"/>
        </w:rPr>
        <w:t>信阳兴隆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配送中心布局优化的研究，找出其配送中心存在的布局问题并进行分析。通过查阅相关资料，运用系统布置规划设计的方法，对配送中心的布局进行优化，以解决企业在土地利用率不高，作业区布局混乱等方面的问题。</w:t>
      </w:r>
    </w:p>
    <w:p>
      <w:pPr>
        <w:widowControl/>
        <w:spacing w:line="360" w:lineRule="auto"/>
        <w:jc w:val="left"/>
        <w:outlineLvl w:val="2"/>
        <w:rPr>
          <w:rFonts w:hAnsi="宋体" w:cs="宋体"/>
          <w:b/>
          <w:bCs/>
          <w:sz w:val="24"/>
          <w:szCs w:val="28"/>
        </w:rPr>
      </w:pPr>
      <w:bookmarkStart w:id="6" w:name="_Toc293"/>
      <w:r>
        <w:rPr>
          <w:rFonts w:hAnsi="宋体" w:cs="宋体" w:hint="eastAsia"/>
          <w:b/>
          <w:bCs/>
          <w:sz w:val="24"/>
          <w:szCs w:val="28"/>
        </w:rPr>
        <w:t>1.1.3 研究意义</w:t>
      </w:r>
      <w:bookmarkEnd w:id="6"/>
    </w:p>
    <w:p>
      <w:pPr>
        <w:widowControl/>
        <w:spacing w:line="360" w:lineRule="auto"/>
        <w:rPr>
          <w:rFonts w:hAnsi="宋体" w:cs="宋体"/>
          <w:b/>
          <w:snapToGrid w:val="0"/>
          <w:kern w:val="0"/>
          <w:sz w:val="24"/>
          <w:szCs w:val="24"/>
        </w:rPr>
      </w:pPr>
      <w:r>
        <w:rPr>
          <w:rFonts w:hAnsi="宋体" w:cs="宋体" w:hint="eastAsia"/>
          <w:b/>
          <w:snapToGrid w:val="0"/>
          <w:kern w:val="0"/>
          <w:sz w:val="24"/>
          <w:szCs w:val="24"/>
        </w:rPr>
        <w:t>1.1.3.1 理论意义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高效有序的配送中心可以提高作业区的工作效率，减少成本。然而我国在布局优化方面的研究较为宽泛，研究方法多倾向于系统布置规划方法的使用，通用性强。本文针对大型零售超市即</w:t>
      </w:r>
      <w:r>
        <w:rPr>
          <w:rFonts w:hAnsi="宋体" w:cs="宋体" w:hint="eastAsia"/>
          <w:bCs/>
          <w:snapToGrid w:val="0"/>
          <w:kern w:val="0"/>
          <w:sz w:val="24"/>
          <w:szCs w:val="24"/>
          <w:lang w:eastAsia="zh-CN"/>
        </w:rPr>
        <w:t>信阳兴隆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的自有配送中心，来研究配送中心布局规划，为研究零售企业自有配送中心的布局优化问题提供了解题思路，加强了布局优化的特殊性研究，更进一步丰富了理论知识。</w:t>
      </w:r>
    </w:p>
    <w:p>
      <w:pPr>
        <w:widowControl/>
        <w:spacing w:line="360" w:lineRule="auto"/>
        <w:rPr>
          <w:rFonts w:hAnsi="宋体" w:cs="宋体"/>
          <w:b/>
          <w:snapToGrid w:val="0"/>
          <w:kern w:val="0"/>
          <w:sz w:val="24"/>
          <w:szCs w:val="24"/>
        </w:rPr>
      </w:pPr>
      <w:r>
        <w:rPr>
          <w:rFonts w:hAnsi="宋体" w:cs="宋体" w:hint="eastAsia"/>
          <w:b/>
          <w:snapToGrid w:val="0"/>
          <w:kern w:val="0"/>
          <w:sz w:val="24"/>
          <w:szCs w:val="24"/>
        </w:rPr>
        <w:t>1.1.3.2 实践价值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目前我国拥有自有配送中心的零售企业数量多，但总体上配送效率不高，一定程度上会对超市的及时供应和销售带来不利的影响。通过对配送中心的布局优化，会极大的提高物流效率，解决因布局不合理所造成的资源浪费等问题，增强企业的物流配送能力。也为其他零售企业在优化配送中心布局方面提供了借鉴。</w:t>
      </w:r>
    </w:p>
    <w:p>
      <w:pPr>
        <w:spacing w:line="360" w:lineRule="auto"/>
        <w:jc w:val="left"/>
        <w:outlineLvl w:val="1"/>
        <w:rPr>
          <w:rFonts w:hAnsi="宋体" w:cs="宋体"/>
          <w:b/>
          <w:snapToGrid w:val="0"/>
          <w:sz w:val="28"/>
          <w:szCs w:val="32"/>
        </w:rPr>
      </w:pPr>
      <w:bookmarkStart w:id="7" w:name="_Toc6109"/>
      <w:r>
        <w:rPr>
          <w:rFonts w:hAnsi="宋体" w:cs="宋体" w:hint="eastAsia"/>
          <w:b/>
          <w:snapToGrid w:val="0"/>
          <w:kern w:val="0"/>
          <w:sz w:val="28"/>
          <w:szCs w:val="32"/>
        </w:rPr>
        <w:t xml:space="preserve">1.2 </w:t>
      </w:r>
      <w:r>
        <w:rPr>
          <w:rFonts w:hAnsi="宋体" w:cs="宋体" w:hint="eastAsia"/>
          <w:b/>
          <w:snapToGrid w:val="0"/>
          <w:sz w:val="28"/>
          <w:szCs w:val="32"/>
        </w:rPr>
        <w:t>文献综述</w:t>
      </w:r>
      <w:bookmarkEnd w:id="7"/>
    </w:p>
    <w:p>
      <w:pPr>
        <w:spacing w:line="360" w:lineRule="auto"/>
        <w:jc w:val="left"/>
        <w:outlineLvl w:val="2"/>
        <w:rPr>
          <w:rFonts w:hAnsi="宋体" w:cs="宋体"/>
          <w:b/>
          <w:snapToGrid w:val="0"/>
          <w:kern w:val="0"/>
          <w:sz w:val="24"/>
          <w:szCs w:val="28"/>
        </w:rPr>
      </w:pPr>
      <w:bookmarkStart w:id="8" w:name="_Toc19642"/>
      <w:r>
        <w:rPr>
          <w:rFonts w:hint="eastAsia"/>
          <w:b/>
          <w:snapToGrid w:val="0"/>
          <w:kern w:val="0"/>
          <w:sz w:val="24"/>
          <w:szCs w:val="28"/>
        </w:rPr>
        <w:t xml:space="preserve">1.2.1 </w:t>
      </w:r>
      <w:r>
        <w:rPr>
          <w:b/>
          <w:snapToGrid w:val="0"/>
          <w:kern w:val="0"/>
          <w:sz w:val="24"/>
          <w:szCs w:val="28"/>
        </w:rPr>
        <w:t>SLP</w:t>
      </w:r>
      <w:r>
        <w:rPr>
          <w:rFonts w:hAnsi="宋体" w:cs="宋体" w:hint="eastAsia"/>
          <w:b/>
          <w:snapToGrid w:val="0"/>
          <w:kern w:val="0"/>
          <w:sz w:val="24"/>
          <w:szCs w:val="28"/>
        </w:rPr>
        <w:t>法文献综述</w:t>
      </w:r>
      <w:bookmarkEnd w:id="8"/>
    </w:p>
    <w:p>
      <w:pPr>
        <w:widowControl/>
        <w:spacing w:line="360" w:lineRule="auto"/>
        <w:ind w:firstLine="480" w:firstLineChars="200"/>
        <w:rPr>
          <w:bCs/>
          <w:sz w:val="24"/>
          <w:szCs w:val="24"/>
        </w:rPr>
        <w:sectPr>
          <w:headerReference w:type="default" r:id="rId11"/>
          <w:footerReference w:type="default" r:id="rId12"/>
          <w:type w:val="nextPage"/>
          <w:pgSz w:w="11906" w:h="16838"/>
          <w:pgMar w:top="1417" w:right="1417" w:bottom="1417" w:left="1701" w:header="851" w:footer="992" w:gutter="0"/>
          <w:pgNumType w:start="4"/>
          <w:cols w:num="1" w:space="0"/>
          <w:titlePg w:val="0"/>
          <w:docGrid w:type="lines" w:linePitch="312" w:charSpace="0"/>
        </w:sectPr>
      </w:pPr>
      <w:r>
        <w:rPr>
          <w:rFonts w:hint="eastAsia"/>
          <w:bCs/>
          <w:sz w:val="24"/>
          <w:szCs w:val="24"/>
        </w:rPr>
        <w:t>SLP法起源于传统制造业的工厂布局以及仓库优化，在制造行业已经发展完善并得到熟练运用，随着SLP法的逐步发展，这一方法在其他领域例如超市、学校等地方的布局优化中也得到了广泛的应用。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int="eastAsia"/>
          <w:bCs/>
          <w:sz w:val="24"/>
          <w:szCs w:val="24"/>
        </w:rPr>
        <w:t>自从</w:t>
      </w:r>
      <w:r>
        <w:rPr>
          <w:bCs/>
          <w:sz w:val="24"/>
          <w:szCs w:val="24"/>
        </w:rPr>
        <w:t>Richard Muther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1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z w:val="24"/>
          <w:szCs w:val="24"/>
        </w:rPr>
        <w:t>提出</w:t>
      </w:r>
      <w:r>
        <w:rPr>
          <w:bCs/>
          <w:sz w:val="24"/>
          <w:szCs w:val="24"/>
        </w:rPr>
        <w:t>SLP</w:t>
      </w:r>
      <w:r>
        <w:rPr>
          <w:rFonts w:hAnsi="宋体" w:cs="宋体" w:hint="eastAsia"/>
          <w:bCs/>
          <w:sz w:val="24"/>
          <w:szCs w:val="24"/>
        </w:rPr>
        <w:t>，让布局问题由定性向定量发展，这是对优化布局知识的一大突破，成为研究布局优化的一大得力工具。在实际运用的案例中，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赵玉欣、张兵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2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等就本土旭旺超市为背景，研究配送中心作业区布局问题，针对超市布局散乱的问题，运用了</w:t>
      </w:r>
      <w:r>
        <w:rPr>
          <w:bCs/>
          <w:snapToGrid w:val="0"/>
          <w:kern w:val="0"/>
          <w:sz w:val="24"/>
          <w:szCs w:val="24"/>
        </w:rPr>
        <w:t>SLP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的方法得出作业区的布局情况。</w:t>
      </w:r>
      <w:r>
        <w:rPr>
          <w:rFonts w:hAnsi="宋体" w:cs="宋体" w:hint="eastAsia"/>
          <w:bCs/>
          <w:sz w:val="24"/>
          <w:szCs w:val="24"/>
        </w:rPr>
        <w:t>常悦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3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z w:val="24"/>
          <w:szCs w:val="24"/>
        </w:rPr>
        <w:t>等人则有针对性的将</w:t>
      </w:r>
      <w:r>
        <w:rPr>
          <w:bCs/>
          <w:sz w:val="24"/>
          <w:szCs w:val="24"/>
        </w:rPr>
        <w:t>SLP</w:t>
      </w:r>
      <w:r>
        <w:rPr>
          <w:rFonts w:hAnsi="宋体" w:cs="宋体" w:hint="eastAsia"/>
          <w:bCs/>
          <w:sz w:val="24"/>
          <w:szCs w:val="24"/>
        </w:rPr>
        <w:t>用于对陆港功能区布局规划进行研究，指出其存在的布局不合理的问题，用</w:t>
      </w:r>
      <w:r>
        <w:rPr>
          <w:bCs/>
          <w:sz w:val="24"/>
          <w:szCs w:val="24"/>
        </w:rPr>
        <w:t>SLP</w:t>
      </w:r>
      <w:r>
        <w:rPr>
          <w:rFonts w:hint="eastAsia"/>
          <w:bCs/>
          <w:sz w:val="24"/>
          <w:szCs w:val="24"/>
        </w:rPr>
        <w:t>法进行布局优化。</w:t>
      </w:r>
      <w:r>
        <w:rPr>
          <w:rFonts w:hAnsi="宋体" w:cs="宋体" w:hint="eastAsia"/>
          <w:bCs/>
          <w:sz w:val="24"/>
          <w:szCs w:val="24"/>
        </w:rPr>
        <w:t>赵珊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4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z w:val="24"/>
          <w:szCs w:val="24"/>
        </w:rPr>
        <w:t>用</w:t>
      </w:r>
      <w:r>
        <w:rPr>
          <w:bCs/>
          <w:sz w:val="24"/>
          <w:szCs w:val="24"/>
        </w:rPr>
        <w:t>SLP</w:t>
      </w:r>
      <w:r>
        <w:rPr>
          <w:rFonts w:hint="eastAsia"/>
          <w:bCs/>
          <w:sz w:val="24"/>
          <w:szCs w:val="24"/>
        </w:rPr>
        <w:t>法和EIQ-PCB</w:t>
      </w:r>
      <w:r>
        <w:rPr>
          <w:rFonts w:hAnsi="宋体" w:cs="宋体" w:hint="eastAsia"/>
          <w:bCs/>
          <w:sz w:val="24"/>
          <w:szCs w:val="24"/>
        </w:rPr>
        <w:t>分析相结合，优化</w:t>
      </w:r>
      <w:r>
        <w:rPr>
          <w:bCs/>
          <w:sz w:val="24"/>
          <w:szCs w:val="24"/>
        </w:rPr>
        <w:t>D</w:t>
      </w:r>
      <w:r>
        <w:rPr>
          <w:rFonts w:hint="eastAsia"/>
          <w:bCs/>
          <w:sz w:val="24"/>
          <w:szCs w:val="24"/>
        </w:rPr>
        <w:t>公司的仓库布局</w:t>
      </w:r>
      <w:r>
        <w:rPr>
          <w:rFonts w:hAnsi="宋体" w:cs="宋体" w:hint="eastAsia"/>
          <w:bCs/>
          <w:sz w:val="24"/>
          <w:szCs w:val="24"/>
        </w:rPr>
        <w:t>。温念慈，王文宪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5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z w:val="24"/>
          <w:szCs w:val="24"/>
        </w:rPr>
        <w:t>以码头扩建工程为例，用</w:t>
      </w:r>
      <w:r>
        <w:rPr>
          <w:bCs/>
          <w:sz w:val="24"/>
          <w:szCs w:val="24"/>
        </w:rPr>
        <w:t>SLP</w:t>
      </w:r>
      <w:r>
        <w:rPr>
          <w:rFonts w:hAnsi="宋体" w:cs="宋体" w:hint="eastAsia"/>
          <w:bCs/>
          <w:sz w:val="24"/>
          <w:szCs w:val="24"/>
        </w:rPr>
        <w:t>法进行布局优化，考虑到码头具体地理情况，将理论与实际密切结合。袁贵鹏，陆志强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6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z w:val="24"/>
          <w:szCs w:val="24"/>
        </w:rPr>
        <w:t>以Ｊ商业办公楼为对象，分析表明运用</w:t>
      </w:r>
      <w:r>
        <w:rPr>
          <w:bCs/>
          <w:sz w:val="24"/>
          <w:szCs w:val="24"/>
        </w:rPr>
        <w:t>SLP</w:t>
      </w:r>
      <w:r>
        <w:rPr>
          <w:rFonts w:hAnsi="宋体" w:cs="宋体" w:hint="eastAsia"/>
          <w:bCs/>
          <w:sz w:val="24"/>
          <w:szCs w:val="24"/>
        </w:rPr>
        <w:t>法可以有效的缩短功能区间的运输距离，减少重复搬运，提高生产效率。</w:t>
      </w:r>
      <w:r>
        <w:rPr>
          <w:rFonts w:hint="eastAsia"/>
          <w:bCs/>
          <w:snapToGrid w:val="0"/>
          <w:kern w:val="0"/>
          <w:sz w:val="24"/>
          <w:szCs w:val="24"/>
        </w:rPr>
        <w:t>Liu Y,Zhao Q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7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以医药物流中心为例，采用</w:t>
      </w:r>
      <w:r>
        <w:rPr>
          <w:bCs/>
          <w:sz w:val="24"/>
          <w:szCs w:val="24"/>
        </w:rPr>
        <w:t>SLP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 xml:space="preserve"> 法进行布局优化，为医药类服务体系布局提供了参考。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国内学者对</w:t>
      </w:r>
      <w:r>
        <w:rPr>
          <w:rFonts w:hint="eastAsia"/>
          <w:bCs/>
          <w:snapToGrid w:val="0"/>
          <w:kern w:val="0"/>
          <w:sz w:val="24"/>
          <w:szCs w:val="24"/>
        </w:rPr>
        <w:t>SLP法应用到配送中心上的研究也已经十分广泛。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杜文宏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8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在应用</w:t>
      </w:r>
      <w:r>
        <w:rPr>
          <w:bCs/>
          <w:sz w:val="24"/>
          <w:szCs w:val="24"/>
        </w:rPr>
        <w:t>SLP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法时，提出一系列算法概念</w:t>
      </w:r>
      <w:r>
        <w:rPr>
          <w:rFonts w:hint="eastAsia"/>
          <w:bCs/>
          <w:snapToGrid w:val="0"/>
          <w:kern w:val="0"/>
          <w:sz w:val="24"/>
          <w:szCs w:val="24"/>
        </w:rPr>
        <w:t>，能快速解决问题，确定最优方案。陈传昊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9</w:t>
      </w:r>
      <w:r>
        <w:rPr>
          <w:bCs/>
          <w:sz w:val="24"/>
          <w:szCs w:val="24"/>
          <w:vertAlign w:val="superscript"/>
        </w:rPr>
        <w:t>]</w:t>
      </w:r>
      <w:r>
        <w:rPr>
          <w:rFonts w:hint="eastAsia"/>
          <w:bCs/>
          <w:snapToGrid w:val="0"/>
          <w:kern w:val="0"/>
          <w:sz w:val="24"/>
          <w:szCs w:val="24"/>
        </w:rPr>
        <w:t>等人以新星配送中心为研究对象，从配送中心现存问题出发，运用SLP法对其进行优化分析，从而得出优化方案。位晶晶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10</w:t>
      </w:r>
      <w:r>
        <w:rPr>
          <w:bCs/>
          <w:sz w:val="24"/>
          <w:szCs w:val="24"/>
          <w:vertAlign w:val="superscript"/>
        </w:rPr>
        <w:t>]</w:t>
      </w:r>
      <w:r>
        <w:rPr>
          <w:rFonts w:hint="eastAsia"/>
          <w:bCs/>
          <w:snapToGrid w:val="0"/>
          <w:kern w:val="0"/>
          <w:sz w:val="24"/>
          <w:szCs w:val="24"/>
        </w:rPr>
        <w:t>等人用SLP方法与Flexsim仿真软件相结合来研究汽车零配件配送中心的布局，从而提高了布局的合理性。</w:t>
      </w:r>
    </w:p>
    <w:p>
      <w:pPr>
        <w:widowControl/>
        <w:spacing w:line="360" w:lineRule="auto"/>
        <w:jc w:val="left"/>
        <w:outlineLvl w:val="2"/>
        <w:rPr>
          <w:b/>
          <w:sz w:val="24"/>
          <w:szCs w:val="24"/>
        </w:rPr>
      </w:pPr>
      <w:bookmarkStart w:id="9" w:name="_Toc20613"/>
      <w:r>
        <w:rPr>
          <w:rFonts w:hint="eastAsia"/>
          <w:b/>
          <w:snapToGrid w:val="0"/>
          <w:sz w:val="24"/>
          <w:szCs w:val="28"/>
        </w:rPr>
        <w:t xml:space="preserve">1.2.2 </w:t>
      </w:r>
      <w:r>
        <w:rPr>
          <w:rFonts w:hint="eastAsia"/>
          <w:b/>
          <w:snapToGrid w:val="0"/>
          <w:kern w:val="0"/>
          <w:sz w:val="24"/>
          <w:szCs w:val="28"/>
        </w:rPr>
        <w:t>AHP评估法</w:t>
      </w:r>
      <w:r>
        <w:rPr>
          <w:rFonts w:hAnsi="宋体" w:cs="宋体" w:hint="eastAsia"/>
          <w:b/>
          <w:snapToGrid w:val="0"/>
          <w:kern w:val="0"/>
          <w:sz w:val="24"/>
          <w:szCs w:val="28"/>
        </w:rPr>
        <w:t>文献综述</w:t>
      </w:r>
      <w:bookmarkEnd w:id="9"/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运用</w:t>
      </w:r>
      <w:r>
        <w:rPr>
          <w:bCs/>
          <w:sz w:val="24"/>
          <w:szCs w:val="24"/>
        </w:rPr>
        <w:t>SLP</w:t>
      </w:r>
      <w:r>
        <w:rPr>
          <w:rFonts w:hint="eastAsia"/>
          <w:bCs/>
          <w:sz w:val="24"/>
          <w:szCs w:val="24"/>
        </w:rPr>
        <w:t>法进行布局规划之后，针对得出的备选方案有很多种评价方法，其中对于</w:t>
      </w:r>
      <w:r>
        <w:rPr>
          <w:rFonts w:hint="eastAsia"/>
          <w:bCs/>
          <w:snapToGrid w:val="0"/>
          <w:kern w:val="0"/>
          <w:sz w:val="24"/>
          <w:szCs w:val="24"/>
        </w:rPr>
        <w:t>AHP评估法的运用最为广泛，以下是国内外学者对AHP评估法的文献综述：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  <w:sectPr>
          <w:headerReference w:type="default" r:id="rId13"/>
          <w:footerReference w:type="default" r:id="rId14"/>
          <w:type w:val="nextPage"/>
          <w:pgSz w:w="11906" w:h="16838"/>
          <w:pgMar w:top="1417" w:right="1417" w:bottom="1417" w:left="1701" w:header="851" w:footer="992" w:gutter="0"/>
          <w:pgNumType w:start="5"/>
          <w:cols w:num="1" w:space="0"/>
          <w:titlePg w:val="0"/>
          <w:docGrid w:type="lines" w:linePitch="312" w:charSpace="0"/>
        </w:sect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杨文昕，陈琳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11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等人认为电商仓库的分拣效率决定着物流配送的运作效率。为了解决包裹数量的剧烈增长带来一系列分拣问题，以</w:t>
      </w:r>
      <w:r>
        <w:rPr>
          <w:rFonts w:hint="eastAsia"/>
          <w:bCs/>
          <w:snapToGrid w:val="0"/>
          <w:kern w:val="0"/>
          <w:sz w:val="24"/>
          <w:szCs w:val="24"/>
        </w:rPr>
        <w:t>B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公司的电商仓库为例，运用</w:t>
      </w:r>
      <w:r>
        <w:rPr>
          <w:rFonts w:hint="eastAsia"/>
          <w:bCs/>
          <w:snapToGrid w:val="0"/>
          <w:kern w:val="0"/>
          <w:sz w:val="24"/>
          <w:szCs w:val="24"/>
        </w:rPr>
        <w:t>SLP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法和</w:t>
      </w:r>
      <w:r>
        <w:rPr>
          <w:rFonts w:hint="eastAsia"/>
          <w:bCs/>
          <w:snapToGrid w:val="0"/>
          <w:kern w:val="0"/>
          <w:sz w:val="24"/>
          <w:szCs w:val="24"/>
        </w:rPr>
        <w:t>AHP评估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法，选出最优方案。娄慧斌，李坤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12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利用</w:t>
      </w:r>
      <w:r>
        <w:rPr>
          <w:rFonts w:hint="eastAsia"/>
          <w:bCs/>
          <w:snapToGrid w:val="0"/>
          <w:kern w:val="0"/>
          <w:sz w:val="24"/>
          <w:szCs w:val="24"/>
        </w:rPr>
        <w:t>SLP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方法和</w:t>
      </w:r>
      <w:r>
        <w:rPr>
          <w:rFonts w:hint="eastAsia"/>
          <w:bCs/>
          <w:snapToGrid w:val="0"/>
          <w:kern w:val="0"/>
          <w:sz w:val="24"/>
          <w:szCs w:val="24"/>
        </w:rPr>
        <w:t>AHP法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，对食品厂的配送中心进行分析，从而确定方案的可行性。王斌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13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以某生产企业车间为布局设计对象，采用将</w:t>
      </w:r>
      <w:r>
        <w:rPr>
          <w:rFonts w:hint="eastAsia"/>
          <w:bCs/>
          <w:snapToGrid w:val="0"/>
          <w:kern w:val="0"/>
          <w:sz w:val="24"/>
          <w:szCs w:val="24"/>
        </w:rPr>
        <w:t>SLP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法和</w:t>
      </w:r>
      <w:r>
        <w:rPr>
          <w:rFonts w:hint="eastAsia"/>
          <w:bCs/>
          <w:snapToGrid w:val="0"/>
          <w:kern w:val="0"/>
          <w:sz w:val="24"/>
          <w:szCs w:val="24"/>
        </w:rPr>
        <w:t>AHP评估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法结合以得出合理布局，提高了企业的工作效率。陈爽，马钧</w:t>
      </w:r>
      <w:r>
        <w:rPr>
          <w:bCs/>
          <w:sz w:val="24"/>
          <w:szCs w:val="24"/>
          <w:vertAlign w:val="superscript"/>
        </w:rPr>
        <w:t>[1</w:t>
      </w:r>
      <w:r>
        <w:rPr>
          <w:rFonts w:hint="eastAsia"/>
          <w:bCs/>
          <w:sz w:val="24"/>
          <w:szCs w:val="24"/>
          <w:vertAlign w:val="superscript"/>
        </w:rPr>
        <w:t>4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认为仓储关系着企业经济效益与服务效益，将</w:t>
      </w:r>
      <w:r>
        <w:rPr>
          <w:rFonts w:hint="eastAsia"/>
          <w:bCs/>
          <w:snapToGrid w:val="0"/>
          <w:kern w:val="0"/>
          <w:sz w:val="24"/>
          <w:szCs w:val="24"/>
        </w:rPr>
        <w:t>SLP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法和</w:t>
      </w:r>
      <w:r>
        <w:rPr>
          <w:rFonts w:hint="eastAsia"/>
          <w:bCs/>
          <w:snapToGrid w:val="0"/>
          <w:kern w:val="0"/>
          <w:sz w:val="24"/>
          <w:szCs w:val="24"/>
        </w:rPr>
        <w:t>AHP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法应用到仓储规划设计，可以将仓库的基本经济效益和服务效益充分发挥出来。</w:t>
      </w:r>
      <w:r>
        <w:rPr>
          <w:rFonts w:hint="eastAsia"/>
          <w:bCs/>
          <w:snapToGrid w:val="0"/>
          <w:kern w:val="0"/>
          <w:sz w:val="24"/>
          <w:szCs w:val="24"/>
        </w:rPr>
        <w:t>Hui Zhang</w:t>
      </w:r>
      <w:r>
        <w:rPr>
          <w:bCs/>
          <w:sz w:val="24"/>
          <w:szCs w:val="24"/>
          <w:vertAlign w:val="superscript"/>
        </w:rPr>
        <w:t>[</w:t>
      </w:r>
      <w:r>
        <w:rPr>
          <w:rFonts w:hint="eastAsia"/>
          <w:bCs/>
          <w:sz w:val="24"/>
          <w:szCs w:val="24"/>
          <w:vertAlign w:val="superscript"/>
        </w:rPr>
        <w:t>15</w:t>
      </w:r>
      <w:r>
        <w:rPr>
          <w:bCs/>
          <w:sz w:val="24"/>
          <w:szCs w:val="24"/>
          <w:vertAlign w:val="superscript"/>
        </w:rPr>
        <w:t>]</w:t>
      </w:r>
      <w:r>
        <w:rPr>
          <w:rFonts w:hAnsi="宋体" w:cs="宋体" w:hint="eastAsia"/>
          <w:bCs/>
          <w:snapToGrid w:val="0"/>
          <w:kern w:val="0"/>
          <w:sz w:val="24"/>
          <w:szCs w:val="24"/>
        </w:rPr>
        <w:t>等人采用</w:t>
      </w:r>
      <w:r>
        <w:rPr>
          <w:rFonts w:hint="eastAsia"/>
          <w:bCs/>
          <w:snapToGrid w:val="0"/>
          <w:kern w:val="0"/>
          <w:sz w:val="24"/>
          <w:szCs w:val="24"/>
        </w:rPr>
        <w:t>AHP评估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法和模糊逻辑技术综合评价虚拟现实矿井安全培训系统。首先，通过各组成部分的分析，确定系统各组成部分的权重以及各组成部分的主要元素。其次，对各单元的模糊逻辑给出系统的综合评价结果。通过这种方法，可以科学有效地对系统进行评估，并从评估结果中得出系统的不足之处，从而在未来对系统进行改进，保证系统本身的有效性，为安全训练打下坚实的基础。</w:t>
      </w:r>
    </w:p>
    <w:p>
      <w:pPr>
        <w:spacing w:line="360" w:lineRule="auto"/>
        <w:jc w:val="left"/>
        <w:outlineLvl w:val="2"/>
        <w:rPr>
          <w:rFonts w:hAnsi="宋体" w:cs="宋体"/>
          <w:b/>
          <w:snapToGrid w:val="0"/>
          <w:sz w:val="24"/>
          <w:szCs w:val="28"/>
        </w:rPr>
      </w:pPr>
      <w:bookmarkStart w:id="10" w:name="_Toc30125"/>
      <w:r>
        <w:rPr>
          <w:rFonts w:hint="eastAsia"/>
          <w:b/>
          <w:snapToGrid w:val="0"/>
          <w:sz w:val="24"/>
          <w:szCs w:val="28"/>
        </w:rPr>
        <w:t>1.2.3</w:t>
      </w:r>
      <w:r>
        <w:rPr>
          <w:b/>
          <w:snapToGrid w:val="0"/>
          <w:sz w:val="24"/>
          <w:szCs w:val="28"/>
        </w:rPr>
        <w:t xml:space="preserve"> </w:t>
      </w:r>
      <w:r>
        <w:rPr>
          <w:rFonts w:hAnsi="宋体" w:cs="宋体" w:hint="eastAsia"/>
          <w:b/>
          <w:snapToGrid w:val="0"/>
          <w:sz w:val="24"/>
          <w:szCs w:val="28"/>
        </w:rPr>
        <w:t>文献评述</w:t>
      </w:r>
      <w:bookmarkEnd w:id="10"/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cs="宋体" w:hint="eastAsia"/>
          <w:bCs/>
          <w:snapToGrid w:val="0"/>
          <w:kern w:val="0"/>
          <w:sz w:val="24"/>
          <w:szCs w:val="24"/>
        </w:rPr>
        <w:t>由以上内容可以看出，国内外学者对布局优化问题的研究已经取得了一定的成果，但在某些问题上还有所欠缺：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Ansi="宋体" w:hint="eastAsia"/>
          <w:sz w:val="24"/>
          <w:szCs w:val="24"/>
        </w:rPr>
        <w:t>学者在研究布局问题时多数采用系统布置规划设计的方法，以提高运作效率为目标。缺少对零售业小批量多批次配送模式下配送中心的研究，缺少对不确定因素情况下布局问题的研究，这类研究还有所欠缺。</w:t>
      </w:r>
    </w:p>
    <w:p>
      <w:pPr>
        <w:spacing w:line="360" w:lineRule="auto"/>
        <w:jc w:val="left"/>
        <w:outlineLvl w:val="1"/>
        <w:rPr>
          <w:rFonts w:hAnsi="宋体" w:cs="宋体"/>
          <w:b/>
          <w:snapToGrid w:val="0"/>
          <w:sz w:val="28"/>
          <w:szCs w:val="32"/>
        </w:rPr>
      </w:pPr>
      <w:bookmarkStart w:id="11" w:name="_Toc28041"/>
      <w:r>
        <w:rPr>
          <w:rFonts w:hint="eastAsia"/>
          <w:b/>
          <w:snapToGrid w:val="0"/>
          <w:sz w:val="28"/>
          <w:szCs w:val="32"/>
        </w:rPr>
        <w:t xml:space="preserve">1.3 </w:t>
      </w:r>
      <w:r>
        <w:rPr>
          <w:rFonts w:hAnsi="宋体" w:cs="宋体" w:hint="eastAsia"/>
          <w:b/>
          <w:snapToGrid w:val="0"/>
          <w:sz w:val="28"/>
          <w:szCs w:val="32"/>
        </w:rPr>
        <w:t>研究内容与研究方法</w:t>
      </w:r>
      <w:bookmarkEnd w:id="11"/>
    </w:p>
    <w:p>
      <w:pPr>
        <w:spacing w:line="360" w:lineRule="auto"/>
        <w:jc w:val="left"/>
        <w:outlineLvl w:val="2"/>
        <w:rPr>
          <w:rFonts w:hAnsi="宋体" w:cs="宋体"/>
          <w:b/>
          <w:snapToGrid w:val="0"/>
          <w:sz w:val="24"/>
          <w:szCs w:val="28"/>
        </w:rPr>
      </w:pPr>
      <w:bookmarkStart w:id="12" w:name="_Toc9514"/>
      <w:r>
        <w:rPr>
          <w:rFonts w:hint="eastAsia"/>
          <w:b/>
          <w:snapToGrid w:val="0"/>
          <w:sz w:val="24"/>
          <w:szCs w:val="28"/>
        </w:rPr>
        <w:t xml:space="preserve">1.3.1 </w:t>
      </w:r>
      <w:r>
        <w:rPr>
          <w:rFonts w:hAnsi="宋体" w:cs="宋体" w:hint="eastAsia"/>
          <w:b/>
          <w:snapToGrid w:val="0"/>
          <w:sz w:val="24"/>
          <w:szCs w:val="28"/>
        </w:rPr>
        <w:t>研究内容</w:t>
      </w:r>
      <w:bookmarkEnd w:id="12"/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本文研究的主要思路：针对</w:t>
      </w:r>
      <w:r>
        <w:rPr>
          <w:rFonts w:hint="eastAsia"/>
          <w:sz w:val="24"/>
          <w:szCs w:val="24"/>
          <w:lang w:eastAsia="zh-CN"/>
        </w:rPr>
        <w:t>信阳兴隆</w:t>
      </w:r>
      <w:r>
        <w:rPr>
          <w:rFonts w:hint="eastAsia"/>
          <w:sz w:val="24"/>
          <w:szCs w:val="24"/>
        </w:rPr>
        <w:t>物流配送中心现状和配送中心是一些问题。运用SLP法，分析各作业区之间物流与非物流强度相互关系，重新规划该配送中心的区域布局和面积划分，制定配送中心布局优化方案。再运用AHP评估法，对优化后的布局方案进行评估，从经济、技术、作业方面确定评估因素，计算权重之后，对方案进行评分，确定最优方案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本文主要研究内容如下：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第1章：绪论。简要介绍了研究的背景、目的、意义以及国内外学者对相关内容的研究概述，着重于SLP法和AHP评估法的综述。</w:t>
      </w:r>
      <w:r>
        <w:rPr>
          <w:rFonts w:hint="eastAsia"/>
          <w:sz w:val="24"/>
          <w:szCs w:val="24"/>
        </w:rPr>
        <w:cr/>
      </w:r>
      <w:r>
        <w:rPr>
          <w:rFonts w:hint="eastAsia"/>
          <w:sz w:val="24"/>
          <w:szCs w:val="24"/>
        </w:rPr>
        <w:t xml:space="preserve">    第2章：基本概念及理论基础。介绍了本文所要用到的理论和方法，作为后文研究</w:t>
      </w:r>
      <w:r>
        <w:rPr>
          <w:rFonts w:hint="eastAsia"/>
          <w:sz w:val="24"/>
          <w:szCs w:val="24"/>
          <w:lang w:eastAsia="zh-CN"/>
        </w:rPr>
        <w:t>信阳兴隆</w:t>
      </w:r>
      <w:r>
        <w:rPr>
          <w:rFonts w:hint="eastAsia"/>
          <w:sz w:val="24"/>
          <w:szCs w:val="24"/>
        </w:rPr>
        <w:t>配送中心布局优化的依据。</w:t>
      </w:r>
      <w:r>
        <w:rPr>
          <w:rFonts w:hint="eastAsia"/>
          <w:sz w:val="24"/>
          <w:szCs w:val="24"/>
        </w:rPr>
        <w:cr/>
      </w:r>
      <w:r>
        <w:rPr>
          <w:rFonts w:hint="eastAsia"/>
          <w:sz w:val="24"/>
          <w:szCs w:val="24"/>
        </w:rPr>
        <w:t xml:space="preserve">    第3章：</w:t>
      </w:r>
      <w:r>
        <w:rPr>
          <w:rFonts w:hint="eastAsia"/>
          <w:sz w:val="24"/>
          <w:szCs w:val="24"/>
          <w:lang w:eastAsia="zh-CN"/>
        </w:rPr>
        <w:t>信阳兴隆</w:t>
      </w:r>
      <w:r>
        <w:rPr>
          <w:rFonts w:hint="eastAsia"/>
          <w:sz w:val="24"/>
          <w:szCs w:val="24"/>
        </w:rPr>
        <w:t>配送中心布局现状与问题分析。主要对</w:t>
      </w:r>
      <w:r>
        <w:rPr>
          <w:rFonts w:hint="eastAsia"/>
          <w:sz w:val="24"/>
          <w:szCs w:val="24"/>
          <w:lang w:eastAsia="zh-CN"/>
        </w:rPr>
        <w:t>信阳兴隆</w:t>
      </w:r>
      <w:r>
        <w:rPr>
          <w:rFonts w:hint="eastAsia"/>
          <w:sz w:val="24"/>
          <w:szCs w:val="24"/>
        </w:rPr>
        <w:t>目前布局状况、存在的问题及成因分析。</w:t>
      </w:r>
      <w:r>
        <w:rPr>
          <w:rFonts w:hint="eastAsia"/>
          <w:sz w:val="24"/>
          <w:szCs w:val="24"/>
        </w:rPr>
        <w:cr/>
      </w:r>
      <w:r>
        <w:rPr>
          <w:rFonts w:hint="eastAsia"/>
          <w:sz w:val="24"/>
          <w:szCs w:val="24"/>
        </w:rPr>
        <w:t xml:space="preserve">    第4章：</w:t>
      </w:r>
      <w:r>
        <w:rPr>
          <w:rFonts w:hint="eastAsia"/>
          <w:sz w:val="24"/>
          <w:szCs w:val="24"/>
          <w:lang w:eastAsia="zh-CN"/>
        </w:rPr>
        <w:t>信阳兴隆</w:t>
      </w:r>
      <w:r>
        <w:rPr>
          <w:rFonts w:hint="eastAsia"/>
          <w:sz w:val="24"/>
          <w:szCs w:val="24"/>
        </w:rPr>
        <w:t>配送中心的布局优化。主要运用SLP法进行作业区布局优化，并用AHP评估法对布局方案进行评估。</w:t>
      </w:r>
      <w:r>
        <w:rPr>
          <w:rFonts w:hint="eastAsia"/>
          <w:sz w:val="24"/>
          <w:szCs w:val="24"/>
        </w:rPr>
        <w:cr/>
      </w:r>
      <w:r>
        <w:rPr>
          <w:rFonts w:hint="eastAsia"/>
          <w:sz w:val="24"/>
          <w:szCs w:val="24"/>
        </w:rPr>
        <w:t xml:space="preserve">    第5章：对</w:t>
      </w:r>
      <w:r>
        <w:rPr>
          <w:rFonts w:hint="eastAsia"/>
          <w:sz w:val="24"/>
          <w:szCs w:val="24"/>
          <w:lang w:eastAsia="zh-CN"/>
        </w:rPr>
        <w:t>信阳兴隆</w:t>
      </w:r>
      <w:r>
        <w:rPr>
          <w:rFonts w:hint="eastAsia"/>
          <w:sz w:val="24"/>
          <w:szCs w:val="24"/>
        </w:rPr>
        <w:t>配送中心布局优化方案实施一些保障措施。从完善信息化管理、提高员工整体素质、完善绩效考核制度三个方面实施。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</w:rPr>
        <w:t>结论与展望。</w:t>
      </w:r>
    </w:p>
    <w:p>
      <w:pPr>
        <w:spacing w:line="360" w:lineRule="auto"/>
        <w:jc w:val="left"/>
        <w:outlineLvl w:val="2"/>
        <w:rPr>
          <w:rFonts w:hAnsi="宋体" w:cs="宋体"/>
          <w:b/>
          <w:bCs/>
          <w:snapToGrid w:val="0"/>
          <w:sz w:val="24"/>
          <w:szCs w:val="28"/>
        </w:rPr>
        <w:sectPr>
          <w:headerReference w:type="default" r:id="rId15"/>
          <w:footerReference w:type="default" r:id="rId16"/>
          <w:type w:val="nextPage"/>
          <w:pgSz w:w="11906" w:h="16838"/>
          <w:pgMar w:top="1417" w:right="1417" w:bottom="1417" w:left="1701" w:header="851" w:footer="992" w:gutter="0"/>
          <w:pgNumType w:start="6"/>
          <w:cols w:num="1" w:space="0"/>
          <w:titlePg w:val="0"/>
          <w:docGrid w:type="lines" w:linePitch="312" w:charSpace="0"/>
        </w:sectPr>
      </w:pPr>
      <w:bookmarkStart w:id="13" w:name="_Toc24856"/>
      <w:r>
        <w:rPr>
          <w:rFonts w:hint="eastAsia"/>
          <w:b/>
          <w:snapToGrid w:val="0"/>
          <w:sz w:val="24"/>
          <w:szCs w:val="28"/>
        </w:rPr>
        <w:t>1.3.2</w:t>
      </w:r>
      <w:r>
        <w:rPr>
          <w:rFonts w:hAnsi="宋体" w:cs="宋体" w:hint="eastAsia"/>
          <w:b/>
          <w:snapToGrid w:val="0"/>
          <w:sz w:val="24"/>
          <w:szCs w:val="28"/>
        </w:rPr>
        <w:t xml:space="preserve"> 研究方法</w:t>
      </w:r>
      <w:bookmarkEnd w:id="13"/>
    </w:p>
    <w:p>
      <w:pPr>
        <w:widowControl/>
        <w:spacing w:line="360" w:lineRule="auto"/>
        <w:ind w:firstLine="480" w:firstLineChars="200"/>
        <w:jc w:val="left"/>
        <w:rPr>
          <w:rFonts w:hAnsi="宋体" w:cs="宋体"/>
          <w:kern w:val="0"/>
          <w:sz w:val="24"/>
          <w:szCs w:val="24"/>
          <w:lang w:bidi="ar"/>
        </w:rPr>
      </w:pPr>
      <w:r>
        <w:rPr>
          <w:rFonts w:hAnsi="宋体" w:cs="宋体" w:hint="eastAsia"/>
          <w:kern w:val="0"/>
          <w:sz w:val="24"/>
          <w:szCs w:val="24"/>
          <w:lang w:bidi="ar"/>
        </w:rPr>
        <w:t>为了便于对</w:t>
      </w:r>
      <w:r>
        <w:rPr>
          <w:rFonts w:hAnsi="宋体" w:cs="宋体" w:hint="eastAsia"/>
          <w:bCs/>
          <w:sz w:val="24"/>
          <w:szCs w:val="24"/>
          <w:lang w:eastAsia="zh-CN"/>
        </w:rPr>
        <w:t>信阳兴隆</w:t>
      </w:r>
      <w:r>
        <w:rPr>
          <w:rFonts w:hAnsi="宋体" w:cs="宋体" w:hint="eastAsia"/>
          <w:bCs/>
          <w:sz w:val="24"/>
          <w:szCs w:val="24"/>
        </w:rPr>
        <w:t>配送中心</w:t>
      </w:r>
      <w:r>
        <w:rPr>
          <w:rFonts w:hAnsi="宋体" w:cs="宋体" w:hint="eastAsia"/>
          <w:kern w:val="0"/>
          <w:sz w:val="24"/>
          <w:szCs w:val="24"/>
          <w:lang w:bidi="ar"/>
        </w:rPr>
        <w:t>布局问题进行分析，本文采用了三种研究方法，分别是文献研究法、</w:t>
      </w:r>
      <w:r>
        <w:rPr>
          <w:rFonts w:hAnsi="宋体" w:cs="宋体" w:hint="eastAsia"/>
          <w:bCs/>
          <w:sz w:val="24"/>
          <w:szCs w:val="24"/>
        </w:rPr>
        <w:t>实地调研法</w:t>
      </w:r>
      <w:r>
        <w:rPr>
          <w:rFonts w:hAnsi="宋体" w:cs="宋体" w:hint="eastAsia"/>
          <w:kern w:val="0"/>
          <w:sz w:val="24"/>
          <w:szCs w:val="24"/>
          <w:lang w:bidi="ar"/>
        </w:rPr>
        <w:t>和定性与定量相结合的方法。</w:t>
      </w:r>
    </w:p>
    <w:p>
      <w:pPr>
        <w:widowControl/>
        <w:spacing w:line="360" w:lineRule="auto"/>
        <w:rPr>
          <w:rFonts w:hAnsi="宋体" w:cs="宋体"/>
          <w:bCs/>
          <w:sz w:val="24"/>
          <w:szCs w:val="24"/>
        </w:rPr>
      </w:pPr>
      <w:r>
        <w:rPr>
          <w:rFonts w:hAnsi="宋体" w:cs="宋体" w:hint="eastAsia"/>
          <w:b/>
          <w:sz w:val="24"/>
          <w:szCs w:val="24"/>
        </w:rPr>
        <w:t>1.3.2.1 文献研究法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z w:val="24"/>
          <w:szCs w:val="24"/>
        </w:rPr>
      </w:pPr>
      <w:r>
        <w:rPr>
          <w:rFonts w:hAnsi="宋体" w:cs="宋体" w:hint="eastAsia"/>
          <w:bCs/>
          <w:sz w:val="24"/>
          <w:szCs w:val="24"/>
        </w:rPr>
        <w:t>在研究</w:t>
      </w:r>
      <w:r>
        <w:rPr>
          <w:rFonts w:hAnsi="宋体" w:cs="宋体" w:hint="eastAsia"/>
          <w:bCs/>
          <w:sz w:val="24"/>
          <w:szCs w:val="24"/>
          <w:lang w:eastAsia="zh-CN"/>
        </w:rPr>
        <w:t>信阳兴隆</w:t>
      </w:r>
      <w:r>
        <w:rPr>
          <w:rFonts w:hAnsi="宋体" w:cs="宋体" w:hint="eastAsia"/>
          <w:bCs/>
          <w:sz w:val="24"/>
          <w:szCs w:val="24"/>
        </w:rPr>
        <w:t>配送中心布局优化这个课题时，通过查阅国内外参考文献，广泛了解有关配送中心布局优化的相关理论和方法，结合</w:t>
      </w:r>
      <w:r>
        <w:rPr>
          <w:rFonts w:hAnsi="宋体" w:cs="宋体" w:hint="eastAsia"/>
          <w:bCs/>
          <w:sz w:val="24"/>
          <w:szCs w:val="24"/>
          <w:lang w:eastAsia="zh-CN"/>
        </w:rPr>
        <w:t>信阳兴隆</w:t>
      </w:r>
      <w:r>
        <w:rPr>
          <w:rFonts w:hAnsi="宋体" w:cs="宋体" w:hint="eastAsia"/>
          <w:bCs/>
          <w:sz w:val="24"/>
          <w:szCs w:val="24"/>
        </w:rPr>
        <w:t>配送中心的现状，可以快速准确的选择合适的优化方法。</w:t>
      </w:r>
    </w:p>
    <w:p>
      <w:pPr>
        <w:widowControl/>
        <w:spacing w:line="360" w:lineRule="auto"/>
        <w:jc w:val="left"/>
        <w:rPr>
          <w:rFonts w:hAnsi="宋体" w:cs="宋体"/>
          <w:b/>
          <w:sz w:val="24"/>
          <w:szCs w:val="24"/>
        </w:rPr>
      </w:pPr>
      <w:r>
        <w:rPr>
          <w:rFonts w:hAnsi="宋体" w:cs="宋体" w:hint="eastAsia"/>
          <w:b/>
          <w:sz w:val="24"/>
          <w:szCs w:val="24"/>
        </w:rPr>
        <w:t>1.3.2.2 实地调研法</w:t>
      </w:r>
    </w:p>
    <w:p>
      <w:pPr>
        <w:widowControl/>
        <w:spacing w:line="360" w:lineRule="auto"/>
        <w:ind w:firstLine="480" w:firstLineChars="200"/>
        <w:rPr>
          <w:rFonts w:hAnsi="宋体" w:cs="宋体"/>
          <w:bCs/>
          <w:sz w:val="24"/>
          <w:szCs w:val="24"/>
        </w:rPr>
      </w:pPr>
      <w:r>
        <w:rPr>
          <w:rFonts w:hAnsi="宋体" w:cs="宋体" w:hint="eastAsia"/>
          <w:bCs/>
          <w:sz w:val="24"/>
          <w:szCs w:val="24"/>
        </w:rPr>
        <w:t>在进行优化之前，来到配送中心所在地进行实地调研，考察最新作业区的分布情况，向相关工作人员询问第一手资料，并及时做好记录，以确保论文中所使用数据的可靠性。</w:t>
      </w:r>
    </w:p>
    <w:p>
      <w:pPr>
        <w:widowControl/>
        <w:spacing w:line="360" w:lineRule="auto"/>
        <w:jc w:val="left"/>
        <w:rPr>
          <w:rFonts w:hAnsi="宋体" w:cs="宋体"/>
          <w:b/>
          <w:sz w:val="24"/>
          <w:szCs w:val="24"/>
        </w:rPr>
      </w:pPr>
      <w:r>
        <w:rPr>
          <w:rFonts w:hAnsi="宋体" w:cs="宋体" w:hint="eastAsia"/>
          <w:b/>
          <w:sz w:val="24"/>
          <w:szCs w:val="24"/>
        </w:rPr>
        <w:t>1.3.2.3 定性与定量相结合</w:t>
      </w:r>
    </w:p>
    <w:p>
      <w:pPr>
        <w:spacing w:line="360" w:lineRule="auto"/>
        <w:ind w:firstLine="480" w:firstLineChars="200"/>
        <w:rPr>
          <w:bCs/>
          <w:snapToGrid w:val="0"/>
          <w:sz w:val="24"/>
          <w:szCs w:val="24"/>
        </w:rPr>
      </w:pPr>
      <w:r>
        <w:rPr>
          <w:rFonts w:hAnsi="宋体" w:cs="宋体" w:hint="eastAsia"/>
          <w:bCs/>
          <w:sz w:val="24"/>
          <w:szCs w:val="24"/>
        </w:rPr>
        <w:t>本文先</w:t>
      </w:r>
      <w:r>
        <w:rPr>
          <w:rFonts w:hAnsi="宋体" w:cs="宋体" w:hint="eastAsia"/>
          <w:bCs/>
          <w:snapToGrid w:val="0"/>
          <w:sz w:val="24"/>
          <w:szCs w:val="24"/>
        </w:rPr>
        <w:t>用</w:t>
      </w:r>
      <w:r>
        <w:rPr>
          <w:bCs/>
          <w:snapToGrid w:val="0"/>
          <w:sz w:val="24"/>
          <w:szCs w:val="24"/>
        </w:rPr>
        <w:t>SLP</w:t>
      </w:r>
      <w:r>
        <w:rPr>
          <w:rFonts w:hAnsi="宋体" w:cs="宋体" w:hint="eastAsia"/>
          <w:bCs/>
          <w:snapToGrid w:val="0"/>
          <w:sz w:val="24"/>
          <w:szCs w:val="24"/>
        </w:rPr>
        <w:t>方法进行优化，得出优化后的方案，再用</w:t>
      </w:r>
      <w:r>
        <w:rPr>
          <w:rFonts w:hint="eastAsia"/>
          <w:bCs/>
          <w:snapToGrid w:val="0"/>
          <w:sz w:val="24"/>
          <w:szCs w:val="24"/>
        </w:rPr>
        <w:t>AHP评估法对布局方案进行评估，最终得出最优方案。</w:t>
      </w:r>
    </w:p>
    <w:p>
      <w:pPr>
        <w:spacing w:line="360" w:lineRule="auto"/>
        <w:ind w:firstLine="240" w:firstLineChars="100"/>
        <w:rPr>
          <w:bCs/>
          <w:snapToGrid w:val="0"/>
          <w:sz w:val="24"/>
          <w:szCs w:val="24"/>
        </w:rPr>
      </w:pPr>
    </w:p>
    <w:p>
      <w:pPr>
        <w:spacing w:line="360" w:lineRule="auto"/>
        <w:ind w:firstLine="600" w:firstLineChars="200"/>
        <w:jc w:val="center"/>
        <w:outlineLvl w:val="0"/>
        <w:rPr>
          <w:rFonts w:ascii="宋体" w:hAnsi="宋体" w:cs="宋体"/>
          <w:b/>
          <w:snapToGrid w:val="0"/>
          <w:sz w:val="30"/>
          <w:szCs w:val="30"/>
        </w:rPr>
      </w:pPr>
      <w:bookmarkStart w:id="14" w:name="_Toc911"/>
      <w:r>
        <w:rPr>
          <w:rFonts w:ascii="宋体" w:hAnsi="宋体" w:cs="宋体" w:hint="eastAsia"/>
          <w:b/>
          <w:snapToGrid w:val="0"/>
          <w:sz w:val="30"/>
          <w:szCs w:val="30"/>
        </w:rPr>
        <w:t>第</w:t>
      </w:r>
      <w:r>
        <w:rPr>
          <w:b/>
          <w:snapToGrid w:val="0"/>
          <w:sz w:val="30"/>
          <w:szCs w:val="30"/>
        </w:rPr>
        <w:t>2</w:t>
      </w:r>
      <w:r>
        <w:rPr>
          <w:rFonts w:ascii="宋体" w:hAnsi="宋体" w:cs="宋体" w:hint="eastAsia"/>
          <w:b/>
          <w:snapToGrid w:val="0"/>
          <w:sz w:val="30"/>
          <w:szCs w:val="30"/>
        </w:rPr>
        <w:t>章 相关概念与理论基础</w:t>
      </w:r>
      <w:bookmarkEnd w:id="14"/>
    </w:p>
    <w:p>
      <w:pPr>
        <w:spacing w:line="360" w:lineRule="auto"/>
        <w:outlineLvl w:val="1"/>
        <w:rPr>
          <w:rFonts w:ascii="宋体" w:hAnsi="宋体" w:cs="宋体"/>
          <w:b/>
          <w:snapToGrid w:val="0"/>
          <w:sz w:val="28"/>
          <w:szCs w:val="28"/>
        </w:rPr>
      </w:pPr>
      <w:bookmarkStart w:id="15" w:name="_Toc23897"/>
      <w:r>
        <w:rPr>
          <w:b/>
          <w:snapToGrid w:val="0"/>
          <w:sz w:val="28"/>
          <w:szCs w:val="28"/>
        </w:rPr>
        <w:t xml:space="preserve">2.1 </w:t>
      </w:r>
      <w:r>
        <w:rPr>
          <w:rFonts w:hint="eastAsia"/>
          <w:b/>
          <w:snapToGrid w:val="0"/>
          <w:sz w:val="28"/>
          <w:szCs w:val="28"/>
        </w:rPr>
        <w:t>相关</w:t>
      </w:r>
      <w:r>
        <w:rPr>
          <w:rFonts w:ascii="宋体" w:hAnsi="宋体" w:cs="宋体" w:hint="eastAsia"/>
          <w:b/>
          <w:snapToGrid w:val="0"/>
          <w:sz w:val="28"/>
          <w:szCs w:val="28"/>
        </w:rPr>
        <w:t>概念</w:t>
      </w:r>
      <w:bookmarkEnd w:id="15"/>
    </w:p>
    <w:p>
      <w:pPr>
        <w:spacing w:line="360" w:lineRule="auto"/>
        <w:outlineLvl w:val="2"/>
        <w:rPr>
          <w:rFonts w:hAnsi="宋体" w:cs="宋体"/>
          <w:b/>
          <w:snapToGrid w:val="0"/>
          <w:sz w:val="24"/>
          <w:szCs w:val="24"/>
        </w:rPr>
      </w:pPr>
      <w:bookmarkStart w:id="16" w:name="_Toc157"/>
      <w:r>
        <w:rPr>
          <w:rFonts w:hint="eastAsia"/>
          <w:b/>
          <w:snapToGrid w:val="0"/>
          <w:sz w:val="24"/>
          <w:szCs w:val="24"/>
        </w:rPr>
        <w:t>2.1.1</w:t>
      </w:r>
      <w:r>
        <w:rPr>
          <w:rFonts w:hAnsi="宋体" w:cs="宋体" w:hint="eastAsia"/>
          <w:b/>
          <w:snapToGrid w:val="0"/>
          <w:sz w:val="24"/>
          <w:szCs w:val="24"/>
        </w:rPr>
        <w:t xml:space="preserve"> 配送中心的概念及分类</w:t>
      </w:r>
      <w:bookmarkEnd w:id="16"/>
    </w:p>
    <w:p>
      <w:pPr>
        <w:widowControl/>
        <w:spacing w:line="360" w:lineRule="auto"/>
        <w:ind w:firstLine="480" w:firstLineChars="200"/>
        <w:rPr>
          <w:rFonts w:hAnsi="宋体" w:cs="宋体" w:hint="eastAsia"/>
          <w:bCs/>
          <w:sz w:val="24"/>
          <w:szCs w:val="24"/>
        </w:rPr>
      </w:pPr>
      <w:bookmarkStart w:id="17" w:name="_Toc26715"/>
      <w:r>
        <w:rPr>
          <w:rFonts w:hAnsi="宋体" w:cs="宋体" w:hint="eastAsia"/>
          <w:bCs/>
          <w:sz w:val="24"/>
          <w:szCs w:val="24"/>
        </w:rPr>
        <w:t>组织用户配送产品和货物的配置是配送中心的两大职能，拥有配送中心，可以让现代的销售与服务水平提高，同时也是顺应市场的发展及物流合理化的需求。</w:t>
      </w:r>
    </w:p>
    <w:p>
      <w:pPr>
        <w:widowControl/>
        <w:spacing w:line="360" w:lineRule="auto"/>
        <w:ind w:firstLine="480" w:firstLineChars="200"/>
        <w:rPr>
          <w:rFonts w:hAnsi="宋体" w:cs="宋体" w:hint="eastAsia"/>
          <w:bCs/>
          <w:sz w:val="24"/>
          <w:szCs w:val="24"/>
        </w:rPr>
      </w:pPr>
      <w:r>
        <w:rPr>
          <w:rFonts w:hAnsi="宋体" w:cs="宋体" w:hint="eastAsia"/>
          <w:bCs/>
          <w:sz w:val="24"/>
          <w:szCs w:val="24"/>
        </w:rPr>
        <w:t xml:space="preserve">配送中心根据不同的用途有不同的分类，从功能上区分又可以分为加工型、流通型和储藏型；从服务的范围来分来又可以分为区域物流和城市物流；根据用途可以分为以下几种类型：专业物流、零售商、批发和厂家型。 </w:t>
      </w:r>
    </w:p>
    <w:p>
      <w:pPr>
        <w:spacing w:line="360" w:lineRule="auto"/>
        <w:jc w:val="left"/>
        <w:outlineLvl w:val="2"/>
        <w:rPr>
          <w:rFonts w:hAnsi="宋体" w:cs="宋体"/>
          <w:bCs/>
          <w:snapToGrid w:val="0"/>
          <w:kern w:val="0"/>
          <w:sz w:val="24"/>
          <w:szCs w:val="24"/>
        </w:rPr>
      </w:pPr>
      <w:r>
        <w:rPr>
          <w:rFonts w:hint="eastAsia"/>
          <w:b/>
          <w:snapToGrid w:val="0"/>
          <w:sz w:val="24"/>
          <w:szCs w:val="24"/>
        </w:rPr>
        <w:t>2.1.2 配送中心的功能与作用</w:t>
      </w:r>
      <w:bookmarkEnd w:id="17"/>
    </w:p>
    <w:p>
      <w:pPr>
        <w:spacing w:line="360" w:lineRule="auto"/>
        <w:jc w:val="left"/>
        <w:rPr>
          <w:rFonts w:hAnsi="宋体" w:cs="宋体"/>
          <w:b/>
          <w:snapToGrid w:val="0"/>
          <w:kern w:val="0"/>
          <w:sz w:val="24"/>
          <w:szCs w:val="24"/>
        </w:rPr>
      </w:pPr>
      <w:r>
        <w:rPr>
          <w:rFonts w:hAnsi="宋体" w:cs="宋体" w:hint="eastAsia"/>
          <w:b/>
          <w:snapToGrid w:val="0"/>
          <w:kern w:val="0"/>
          <w:sz w:val="24"/>
          <w:szCs w:val="24"/>
        </w:rPr>
        <w:t xml:space="preserve">2.1.2.1 </w:t>
      </w:r>
      <w:r>
        <w:rPr>
          <w:rFonts w:hAnsi="宋体" w:cs="宋体"/>
          <w:b/>
          <w:snapToGrid w:val="0"/>
          <w:kern w:val="0"/>
          <w:sz w:val="24"/>
          <w:szCs w:val="24"/>
        </w:rPr>
        <w:t>配送中心的功能</w:t>
      </w:r>
    </w:p>
    <w:p>
      <w:pPr>
        <w:widowControl/>
        <w:spacing w:line="360" w:lineRule="auto"/>
        <w:ind w:firstLine="480" w:firstLineChars="200"/>
        <w:rPr>
          <w:rFonts w:hAnsi="宋体" w:cs="宋体" w:hint="eastAsia"/>
          <w:bCs/>
          <w:sz w:val="24"/>
          <w:szCs w:val="24"/>
        </w:rPr>
      </w:pPr>
      <w:r>
        <w:rPr>
          <w:rFonts w:hAnsi="宋体" w:cs="宋体" w:hint="eastAsia"/>
          <w:bCs/>
          <w:sz w:val="24"/>
          <w:szCs w:val="24"/>
        </w:rPr>
        <w:t>1、物流信息处理功能。电脑是物流中心必不可少的硬件配置，通过电脑的一些信息处理软件，我们可以对物流环节及物流工作中的各种信息进行收集、分析和传达，通过这个步骤，可以向货主提供相关咨询信息和具体明细。</w:t>
      </w:r>
      <w:r>
        <w:rPr>
          <w:rFonts w:hAnsi="宋体" w:cs="宋体" w:hint="eastAsia"/>
          <w:bCs/>
          <w:sz w:val="24"/>
          <w:szCs w:val="24"/>
        </w:rPr>
        <w:br/>
      </w:r>
      <w:r>
        <w:rPr>
          <w:rFonts w:hAnsi="宋体" w:cs="宋体" w:hint="eastAsia"/>
          <w:bCs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https://d.book118.com/126215020133010050</w:t>
        </w:r>
      </w:hyperlink>
    </w:p>
    <w:p>
      <w:pPr>
        <w:widowControl/>
        <w:spacing w:line="360" w:lineRule="auto"/>
        <w:ind w:firstLine="480" w:firstLineChars="200"/>
        <w:rPr>
          <w:rFonts w:hAnsi="宋体" w:cs="宋体" w:hint="eastAsia"/>
          <w:bCs/>
          <w:sz w:val="24"/>
          <w:szCs w:val="24"/>
        </w:rPr>
      </w:pPr>
    </w:p>
    <w:sectPr>
      <w:headerReference w:type="default" r:id="rId18"/>
      <w:footerReference w:type="default" r:id="rId19"/>
      <w:type w:val="nextPage"/>
      <w:pgSz w:w="11906" w:h="16838"/>
      <w:pgMar w:top="1417" w:right="1417" w:bottom="1417" w:left="1701" w:header="851" w:footer="992" w:gutter="0"/>
      <w:pgNumType w:start="7"/>
      <w:cols w:num="1" w:space="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left" w:pos="4821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left" w:pos="4821"/>
      </w:tabs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469890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left" w:pos="4821"/>
      </w:tabs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858039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left" w:pos="4821"/>
      </w:tabs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399915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left" w:pos="4821"/>
      </w:tabs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50077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left" w:pos="4821"/>
      </w:tabs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054167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left" w:pos="4821"/>
      </w:tabs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877136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1" w:color="auto"/>
        <w:left w:val="none" w:sz="0" w:space="4" w:color="auto"/>
        <w:bottom w:val="double" w:sz="6" w:space="1" w:color="000000" w:themeColor="text1"/>
        <w:right w:val="none" w:sz="0" w:space="4" w:color="auto"/>
      </w:pBdr>
      <w:tabs>
        <w:tab w:val="center" w:pos="4213"/>
        <w:tab w:val="left" w:pos="5901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1" w:color="auto"/>
        <w:left w:val="none" w:sz="0" w:space="4" w:color="auto"/>
        <w:bottom w:val="double" w:sz="6" w:space="1" w:color="000000" w:themeColor="text1"/>
        <w:right w:val="none" w:sz="0" w:space="4" w:color="auto"/>
      </w:pBdr>
      <w:tabs>
        <w:tab w:val="center" w:pos="4213"/>
        <w:tab w:val="left" w:pos="5901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1" w:color="auto"/>
        <w:left w:val="none" w:sz="0" w:space="4" w:color="auto"/>
        <w:bottom w:val="double" w:sz="6" w:space="1" w:color="000000" w:themeColor="text1"/>
        <w:right w:val="none" w:sz="0" w:space="4" w:color="auto"/>
      </w:pBdr>
      <w:tabs>
        <w:tab w:val="center" w:pos="4213"/>
        <w:tab w:val="left" w:pos="5901"/>
      </w:tabs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1" w:color="auto"/>
        <w:left w:val="none" w:sz="0" w:space="4" w:color="auto"/>
        <w:bottom w:val="double" w:sz="6" w:space="1" w:color="000000" w:themeColor="text1"/>
        <w:right w:val="none" w:sz="0" w:space="4" w:color="auto"/>
      </w:pBdr>
      <w:tabs>
        <w:tab w:val="center" w:pos="4213"/>
        <w:tab w:val="left" w:pos="5901"/>
      </w:tabs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1" w:color="auto"/>
        <w:left w:val="none" w:sz="0" w:space="4" w:color="auto"/>
        <w:bottom w:val="double" w:sz="6" w:space="1" w:color="000000" w:themeColor="text1"/>
        <w:right w:val="none" w:sz="0" w:space="4" w:color="auto"/>
      </w:pBdr>
      <w:tabs>
        <w:tab w:val="center" w:pos="4213"/>
        <w:tab w:val="left" w:pos="5901"/>
      </w:tabs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1" w:color="auto"/>
        <w:left w:val="none" w:sz="0" w:space="4" w:color="auto"/>
        <w:bottom w:val="double" w:sz="6" w:space="1" w:color="000000" w:themeColor="text1"/>
        <w:right w:val="none" w:sz="0" w:space="4" w:color="auto"/>
      </w:pBdr>
      <w:tabs>
        <w:tab w:val="center" w:pos="4213"/>
        <w:tab w:val="left" w:pos="5901"/>
      </w:tabs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1" w:color="auto"/>
        <w:left w:val="none" w:sz="0" w:space="4" w:color="auto"/>
        <w:bottom w:val="double" w:sz="6" w:space="1" w:color="000000" w:themeColor="text1"/>
        <w:right w:val="none" w:sz="0" w:space="4" w:color="auto"/>
      </w:pBdr>
      <w:tabs>
        <w:tab w:val="center" w:pos="4213"/>
        <w:tab w:val="left" w:pos="5901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4A7"/>
    <w:rsid w:val="001E24A7"/>
    <w:rsid w:val="002447BF"/>
    <w:rsid w:val="00280EC8"/>
    <w:rsid w:val="00290D0C"/>
    <w:rsid w:val="002A4845"/>
    <w:rsid w:val="003D6505"/>
    <w:rsid w:val="00442AA2"/>
    <w:rsid w:val="005D00DB"/>
    <w:rsid w:val="005D197F"/>
    <w:rsid w:val="005F078B"/>
    <w:rsid w:val="005F78DC"/>
    <w:rsid w:val="006064B7"/>
    <w:rsid w:val="0067411A"/>
    <w:rsid w:val="007100A9"/>
    <w:rsid w:val="0074654E"/>
    <w:rsid w:val="007E4FCE"/>
    <w:rsid w:val="00971E7F"/>
    <w:rsid w:val="009B6100"/>
    <w:rsid w:val="00A22025"/>
    <w:rsid w:val="00A63CF0"/>
    <w:rsid w:val="00A72AF4"/>
    <w:rsid w:val="00B85866"/>
    <w:rsid w:val="00C47F3C"/>
    <w:rsid w:val="00CB5D68"/>
    <w:rsid w:val="00D110B0"/>
    <w:rsid w:val="00D455FB"/>
    <w:rsid w:val="00D660D2"/>
    <w:rsid w:val="00D943F1"/>
    <w:rsid w:val="00ED6D5B"/>
    <w:rsid w:val="00F91A97"/>
    <w:rsid w:val="0112541B"/>
    <w:rsid w:val="011B72BF"/>
    <w:rsid w:val="0123477E"/>
    <w:rsid w:val="01D549C4"/>
    <w:rsid w:val="01E277E3"/>
    <w:rsid w:val="0202088D"/>
    <w:rsid w:val="02A3283C"/>
    <w:rsid w:val="02B305E6"/>
    <w:rsid w:val="03866142"/>
    <w:rsid w:val="038B75DC"/>
    <w:rsid w:val="039B48E2"/>
    <w:rsid w:val="03BB0882"/>
    <w:rsid w:val="048C522F"/>
    <w:rsid w:val="04FD3650"/>
    <w:rsid w:val="05095070"/>
    <w:rsid w:val="0518644E"/>
    <w:rsid w:val="055A12D9"/>
    <w:rsid w:val="05B10F95"/>
    <w:rsid w:val="05BE1B71"/>
    <w:rsid w:val="05BF36B7"/>
    <w:rsid w:val="05E86038"/>
    <w:rsid w:val="060130C3"/>
    <w:rsid w:val="06142C42"/>
    <w:rsid w:val="06144687"/>
    <w:rsid w:val="061620F6"/>
    <w:rsid w:val="061C21C6"/>
    <w:rsid w:val="062E7197"/>
    <w:rsid w:val="066B159D"/>
    <w:rsid w:val="06975CA6"/>
    <w:rsid w:val="06AB7041"/>
    <w:rsid w:val="06D52488"/>
    <w:rsid w:val="06E87E0E"/>
    <w:rsid w:val="07EF38A9"/>
    <w:rsid w:val="07F44229"/>
    <w:rsid w:val="080661E5"/>
    <w:rsid w:val="08231740"/>
    <w:rsid w:val="0872003B"/>
    <w:rsid w:val="08862871"/>
    <w:rsid w:val="089C492A"/>
    <w:rsid w:val="093F6A4B"/>
    <w:rsid w:val="09523A7A"/>
    <w:rsid w:val="09C45D0E"/>
    <w:rsid w:val="09CA025E"/>
    <w:rsid w:val="0A316156"/>
    <w:rsid w:val="0A485423"/>
    <w:rsid w:val="0AB07260"/>
    <w:rsid w:val="0AC0490D"/>
    <w:rsid w:val="0AD67C5B"/>
    <w:rsid w:val="0B1F136E"/>
    <w:rsid w:val="0B25402C"/>
    <w:rsid w:val="0B3126D1"/>
    <w:rsid w:val="0BE95555"/>
    <w:rsid w:val="0CBC7F6D"/>
    <w:rsid w:val="0CCD2B3D"/>
    <w:rsid w:val="0D173760"/>
    <w:rsid w:val="0D6C4C70"/>
    <w:rsid w:val="0D7E2372"/>
    <w:rsid w:val="0D88716B"/>
    <w:rsid w:val="0EF2604D"/>
    <w:rsid w:val="0F22056B"/>
    <w:rsid w:val="0F2B02C5"/>
    <w:rsid w:val="0F8206CA"/>
    <w:rsid w:val="0F960E74"/>
    <w:rsid w:val="0FB92EF0"/>
    <w:rsid w:val="0FB97460"/>
    <w:rsid w:val="102459EF"/>
    <w:rsid w:val="10573148"/>
    <w:rsid w:val="107769CA"/>
    <w:rsid w:val="111959FD"/>
    <w:rsid w:val="11936585"/>
    <w:rsid w:val="11B81917"/>
    <w:rsid w:val="11EF5096"/>
    <w:rsid w:val="12160E64"/>
    <w:rsid w:val="125759DA"/>
    <w:rsid w:val="12D254A9"/>
    <w:rsid w:val="12F63752"/>
    <w:rsid w:val="130316E0"/>
    <w:rsid w:val="135F1D64"/>
    <w:rsid w:val="138D2323"/>
    <w:rsid w:val="13981D7B"/>
    <w:rsid w:val="13C14DE1"/>
    <w:rsid w:val="13EB7535"/>
    <w:rsid w:val="14227C85"/>
    <w:rsid w:val="143A3634"/>
    <w:rsid w:val="1474185D"/>
    <w:rsid w:val="14C65F5B"/>
    <w:rsid w:val="14D262AF"/>
    <w:rsid w:val="15335C91"/>
    <w:rsid w:val="15382DFC"/>
    <w:rsid w:val="153A2504"/>
    <w:rsid w:val="15BF714D"/>
    <w:rsid w:val="160A03C9"/>
    <w:rsid w:val="166B41C2"/>
    <w:rsid w:val="166B7346"/>
    <w:rsid w:val="166D5C19"/>
    <w:rsid w:val="16A33F5B"/>
    <w:rsid w:val="17091B34"/>
    <w:rsid w:val="172F6133"/>
    <w:rsid w:val="176957A9"/>
    <w:rsid w:val="178D5559"/>
    <w:rsid w:val="17945ED2"/>
    <w:rsid w:val="1795749E"/>
    <w:rsid w:val="184B63E7"/>
    <w:rsid w:val="1883082C"/>
    <w:rsid w:val="189560E0"/>
    <w:rsid w:val="18AF395F"/>
    <w:rsid w:val="18BE2CAD"/>
    <w:rsid w:val="18DB05DD"/>
    <w:rsid w:val="18F42EAC"/>
    <w:rsid w:val="19325C59"/>
    <w:rsid w:val="19615A8D"/>
    <w:rsid w:val="197B01D9"/>
    <w:rsid w:val="197D38CA"/>
    <w:rsid w:val="19D23757"/>
    <w:rsid w:val="19EC151C"/>
    <w:rsid w:val="19F838B1"/>
    <w:rsid w:val="1AAF72BC"/>
    <w:rsid w:val="1AC27C7E"/>
    <w:rsid w:val="1ADE142D"/>
    <w:rsid w:val="1B1217B1"/>
    <w:rsid w:val="1B131CDD"/>
    <w:rsid w:val="1B140097"/>
    <w:rsid w:val="1B240DF3"/>
    <w:rsid w:val="1B6F57DD"/>
    <w:rsid w:val="1B7A581A"/>
    <w:rsid w:val="1BAB6E6A"/>
    <w:rsid w:val="1BC8778A"/>
    <w:rsid w:val="1BDE30E2"/>
    <w:rsid w:val="1BE031E6"/>
    <w:rsid w:val="1C1C2117"/>
    <w:rsid w:val="1C2A72A8"/>
    <w:rsid w:val="1C817956"/>
    <w:rsid w:val="1CF7037F"/>
    <w:rsid w:val="1D071853"/>
    <w:rsid w:val="1D0E0435"/>
    <w:rsid w:val="1D5F2F4E"/>
    <w:rsid w:val="1D767CF1"/>
    <w:rsid w:val="1D9C682C"/>
    <w:rsid w:val="1DA02DE6"/>
    <w:rsid w:val="1DD173DC"/>
    <w:rsid w:val="1E195A1A"/>
    <w:rsid w:val="1E1D0124"/>
    <w:rsid w:val="1E1E20AE"/>
    <w:rsid w:val="1E497E0F"/>
    <w:rsid w:val="1E7A1430"/>
    <w:rsid w:val="1EB777B0"/>
    <w:rsid w:val="1EE74C8C"/>
    <w:rsid w:val="1F030BBC"/>
    <w:rsid w:val="1F5A6D34"/>
    <w:rsid w:val="1F813C3D"/>
    <w:rsid w:val="1FC5269B"/>
    <w:rsid w:val="20005C13"/>
    <w:rsid w:val="201825C3"/>
    <w:rsid w:val="201C60F1"/>
    <w:rsid w:val="201F4341"/>
    <w:rsid w:val="20303A3F"/>
    <w:rsid w:val="204561A0"/>
    <w:rsid w:val="20695870"/>
    <w:rsid w:val="20724B3A"/>
    <w:rsid w:val="208B0FE0"/>
    <w:rsid w:val="20920EE3"/>
    <w:rsid w:val="20B80428"/>
    <w:rsid w:val="20BD2BA8"/>
    <w:rsid w:val="20DC4D0F"/>
    <w:rsid w:val="217C3246"/>
    <w:rsid w:val="22973D18"/>
    <w:rsid w:val="22E306A2"/>
    <w:rsid w:val="23C07AF3"/>
    <w:rsid w:val="248E5D2F"/>
    <w:rsid w:val="24C4430E"/>
    <w:rsid w:val="259652D8"/>
    <w:rsid w:val="25A35360"/>
    <w:rsid w:val="26102535"/>
    <w:rsid w:val="26414554"/>
    <w:rsid w:val="264E3E79"/>
    <w:rsid w:val="26EE5548"/>
    <w:rsid w:val="26F82FAA"/>
    <w:rsid w:val="26FD5A6F"/>
    <w:rsid w:val="272C49A7"/>
    <w:rsid w:val="27512FB7"/>
    <w:rsid w:val="27C803F5"/>
    <w:rsid w:val="28276EA5"/>
    <w:rsid w:val="285625BD"/>
    <w:rsid w:val="28596EA1"/>
    <w:rsid w:val="2868593D"/>
    <w:rsid w:val="286931D4"/>
    <w:rsid w:val="28AF1145"/>
    <w:rsid w:val="29492F30"/>
    <w:rsid w:val="29553E4B"/>
    <w:rsid w:val="29644DA4"/>
    <w:rsid w:val="29D21260"/>
    <w:rsid w:val="2A0E1CA7"/>
    <w:rsid w:val="2A3010EE"/>
    <w:rsid w:val="2AB71E5A"/>
    <w:rsid w:val="2ADD7FF2"/>
    <w:rsid w:val="2B1235E0"/>
    <w:rsid w:val="2B601727"/>
    <w:rsid w:val="2B8A5083"/>
    <w:rsid w:val="2C06442A"/>
    <w:rsid w:val="2C5D505A"/>
    <w:rsid w:val="2C6F1990"/>
    <w:rsid w:val="2C761342"/>
    <w:rsid w:val="2C831FAF"/>
    <w:rsid w:val="2CD503AD"/>
    <w:rsid w:val="2CE86AE0"/>
    <w:rsid w:val="2D46434E"/>
    <w:rsid w:val="2D7A3CB2"/>
    <w:rsid w:val="2D7D4D15"/>
    <w:rsid w:val="2DA34B57"/>
    <w:rsid w:val="2DAE6487"/>
    <w:rsid w:val="2DC44006"/>
    <w:rsid w:val="2E6F6F49"/>
    <w:rsid w:val="2E813ABE"/>
    <w:rsid w:val="2EE9271D"/>
    <w:rsid w:val="2F4706B0"/>
    <w:rsid w:val="2F652D70"/>
    <w:rsid w:val="2F6D138E"/>
    <w:rsid w:val="2F7A2260"/>
    <w:rsid w:val="2FAF633A"/>
    <w:rsid w:val="2FB36A21"/>
    <w:rsid w:val="2FCD0873"/>
    <w:rsid w:val="302B28CB"/>
    <w:rsid w:val="302E1096"/>
    <w:rsid w:val="303635C5"/>
    <w:rsid w:val="303D4BD2"/>
    <w:rsid w:val="304A216D"/>
    <w:rsid w:val="309B125B"/>
    <w:rsid w:val="30B15FD5"/>
    <w:rsid w:val="30F85867"/>
    <w:rsid w:val="312D5317"/>
    <w:rsid w:val="314B5BAD"/>
    <w:rsid w:val="3189352E"/>
    <w:rsid w:val="319E015B"/>
    <w:rsid w:val="31F81BE6"/>
    <w:rsid w:val="3298639C"/>
    <w:rsid w:val="3299220F"/>
    <w:rsid w:val="32C43947"/>
    <w:rsid w:val="32EF716E"/>
    <w:rsid w:val="33652850"/>
    <w:rsid w:val="338A709A"/>
    <w:rsid w:val="339167B5"/>
    <w:rsid w:val="33925E2F"/>
    <w:rsid w:val="33B96E81"/>
    <w:rsid w:val="33C16420"/>
    <w:rsid w:val="33CF51DD"/>
    <w:rsid w:val="34107F44"/>
    <w:rsid w:val="341712A3"/>
    <w:rsid w:val="343B6564"/>
    <w:rsid w:val="3453473F"/>
    <w:rsid w:val="34A71948"/>
    <w:rsid w:val="350576AB"/>
    <w:rsid w:val="35667802"/>
    <w:rsid w:val="35A96DE7"/>
    <w:rsid w:val="35C20DE9"/>
    <w:rsid w:val="36056F45"/>
    <w:rsid w:val="3643551C"/>
    <w:rsid w:val="364F0588"/>
    <w:rsid w:val="36660539"/>
    <w:rsid w:val="366D1752"/>
    <w:rsid w:val="368A1C71"/>
    <w:rsid w:val="36962B89"/>
    <w:rsid w:val="36CD6CE8"/>
    <w:rsid w:val="378E1871"/>
    <w:rsid w:val="37977DF8"/>
    <w:rsid w:val="37B4106E"/>
    <w:rsid w:val="3834675D"/>
    <w:rsid w:val="383848A8"/>
    <w:rsid w:val="3845741F"/>
    <w:rsid w:val="384917A2"/>
    <w:rsid w:val="384E0A52"/>
    <w:rsid w:val="38D753DA"/>
    <w:rsid w:val="39093F91"/>
    <w:rsid w:val="39261F51"/>
    <w:rsid w:val="39352298"/>
    <w:rsid w:val="39AE0386"/>
    <w:rsid w:val="39FD68F0"/>
    <w:rsid w:val="3A232A6A"/>
    <w:rsid w:val="3AC85494"/>
    <w:rsid w:val="3AC85F6D"/>
    <w:rsid w:val="3AE76268"/>
    <w:rsid w:val="3B1439A2"/>
    <w:rsid w:val="3B415FB1"/>
    <w:rsid w:val="3B542846"/>
    <w:rsid w:val="3B760EEF"/>
    <w:rsid w:val="3BCA30AD"/>
    <w:rsid w:val="3BD10F9F"/>
    <w:rsid w:val="3C2D5B13"/>
    <w:rsid w:val="3C2F4CA8"/>
    <w:rsid w:val="3C713B02"/>
    <w:rsid w:val="3C9666F9"/>
    <w:rsid w:val="3CF25B97"/>
    <w:rsid w:val="3D292BC1"/>
    <w:rsid w:val="3D4A74F6"/>
    <w:rsid w:val="3D6B6FE8"/>
    <w:rsid w:val="3D906902"/>
    <w:rsid w:val="3DC75550"/>
    <w:rsid w:val="3DC838AE"/>
    <w:rsid w:val="3E1B1B6C"/>
    <w:rsid w:val="3E6D6674"/>
    <w:rsid w:val="3ECA325C"/>
    <w:rsid w:val="3EF85C72"/>
    <w:rsid w:val="3F152447"/>
    <w:rsid w:val="3F443A73"/>
    <w:rsid w:val="3F991894"/>
    <w:rsid w:val="3FAB1150"/>
    <w:rsid w:val="3FD77324"/>
    <w:rsid w:val="3FEE3AC5"/>
    <w:rsid w:val="3FFB2626"/>
    <w:rsid w:val="40123E5A"/>
    <w:rsid w:val="40410E0B"/>
    <w:rsid w:val="40520440"/>
    <w:rsid w:val="40E61178"/>
    <w:rsid w:val="411439A3"/>
    <w:rsid w:val="416E0281"/>
    <w:rsid w:val="41840403"/>
    <w:rsid w:val="41FA2219"/>
    <w:rsid w:val="42206F55"/>
    <w:rsid w:val="42364D85"/>
    <w:rsid w:val="42530B99"/>
    <w:rsid w:val="426C49E4"/>
    <w:rsid w:val="42C0692F"/>
    <w:rsid w:val="42D46F48"/>
    <w:rsid w:val="43296246"/>
    <w:rsid w:val="432B482E"/>
    <w:rsid w:val="432C4484"/>
    <w:rsid w:val="434C4295"/>
    <w:rsid w:val="439112CD"/>
    <w:rsid w:val="439D732D"/>
    <w:rsid w:val="43A34C28"/>
    <w:rsid w:val="43E14DB8"/>
    <w:rsid w:val="440C772F"/>
    <w:rsid w:val="442A4956"/>
    <w:rsid w:val="443F2CD2"/>
    <w:rsid w:val="444B14B4"/>
    <w:rsid w:val="44B55493"/>
    <w:rsid w:val="44D40FD6"/>
    <w:rsid w:val="452E3B7E"/>
    <w:rsid w:val="455C4593"/>
    <w:rsid w:val="457C4AC2"/>
    <w:rsid w:val="459371FA"/>
    <w:rsid w:val="45B032FB"/>
    <w:rsid w:val="45B20DAF"/>
    <w:rsid w:val="45C91E84"/>
    <w:rsid w:val="45EE4B74"/>
    <w:rsid w:val="4629532C"/>
    <w:rsid w:val="468061A1"/>
    <w:rsid w:val="46A73A59"/>
    <w:rsid w:val="46ED0FCD"/>
    <w:rsid w:val="4733377D"/>
    <w:rsid w:val="47D22A10"/>
    <w:rsid w:val="47EA70A0"/>
    <w:rsid w:val="47F709F0"/>
    <w:rsid w:val="47FA418A"/>
    <w:rsid w:val="480444ED"/>
    <w:rsid w:val="48284BD9"/>
    <w:rsid w:val="48392973"/>
    <w:rsid w:val="48466078"/>
    <w:rsid w:val="489A66E8"/>
    <w:rsid w:val="4922323A"/>
    <w:rsid w:val="4951061C"/>
    <w:rsid w:val="499579B4"/>
    <w:rsid w:val="499B5860"/>
    <w:rsid w:val="49D05422"/>
    <w:rsid w:val="49F465FA"/>
    <w:rsid w:val="4A472FB4"/>
    <w:rsid w:val="4A8746CA"/>
    <w:rsid w:val="4A97296A"/>
    <w:rsid w:val="4AB11886"/>
    <w:rsid w:val="4B971FDD"/>
    <w:rsid w:val="4C3F477B"/>
    <w:rsid w:val="4CEA555A"/>
    <w:rsid w:val="4D0643AC"/>
    <w:rsid w:val="4D5B0C7C"/>
    <w:rsid w:val="4D7C377A"/>
    <w:rsid w:val="4E097A79"/>
    <w:rsid w:val="4E135C3A"/>
    <w:rsid w:val="4E1A2AD3"/>
    <w:rsid w:val="4E27028B"/>
    <w:rsid w:val="4E6B04F3"/>
    <w:rsid w:val="4EDB0A14"/>
    <w:rsid w:val="4EDF14C4"/>
    <w:rsid w:val="4F156643"/>
    <w:rsid w:val="4F2F1EFE"/>
    <w:rsid w:val="4FA34B64"/>
    <w:rsid w:val="4FDD38E8"/>
    <w:rsid w:val="4FE44782"/>
    <w:rsid w:val="501D737F"/>
    <w:rsid w:val="502064F5"/>
    <w:rsid w:val="504F442D"/>
    <w:rsid w:val="505354FF"/>
    <w:rsid w:val="50681715"/>
    <w:rsid w:val="5096769F"/>
    <w:rsid w:val="524045C7"/>
    <w:rsid w:val="52437344"/>
    <w:rsid w:val="526E76BF"/>
    <w:rsid w:val="52D6273A"/>
    <w:rsid w:val="52F05D61"/>
    <w:rsid w:val="535236E8"/>
    <w:rsid w:val="5358673B"/>
    <w:rsid w:val="537D3709"/>
    <w:rsid w:val="53986E8E"/>
    <w:rsid w:val="53BA04A7"/>
    <w:rsid w:val="53D1568A"/>
    <w:rsid w:val="53D574A7"/>
    <w:rsid w:val="54164E0A"/>
    <w:rsid w:val="541F5E0A"/>
    <w:rsid w:val="548C6D49"/>
    <w:rsid w:val="54EE58CD"/>
    <w:rsid w:val="550B54A5"/>
    <w:rsid w:val="55705F81"/>
    <w:rsid w:val="55766318"/>
    <w:rsid w:val="55C63E77"/>
    <w:rsid w:val="55DA4C43"/>
    <w:rsid w:val="56381874"/>
    <w:rsid w:val="563E1C9F"/>
    <w:rsid w:val="56A81219"/>
    <w:rsid w:val="56C532B8"/>
    <w:rsid w:val="56C83077"/>
    <w:rsid w:val="56FB3816"/>
    <w:rsid w:val="572831E4"/>
    <w:rsid w:val="579A376A"/>
    <w:rsid w:val="57B20110"/>
    <w:rsid w:val="57EB17F1"/>
    <w:rsid w:val="582E67BD"/>
    <w:rsid w:val="58433475"/>
    <w:rsid w:val="5850767A"/>
    <w:rsid w:val="586F1CA0"/>
    <w:rsid w:val="587826AD"/>
    <w:rsid w:val="58932897"/>
    <w:rsid w:val="58D32DEA"/>
    <w:rsid w:val="58E867D7"/>
    <w:rsid w:val="58F4436C"/>
    <w:rsid w:val="59C61811"/>
    <w:rsid w:val="59FE012F"/>
    <w:rsid w:val="5A622C72"/>
    <w:rsid w:val="5A7379E7"/>
    <w:rsid w:val="5A8B40A5"/>
    <w:rsid w:val="5A900738"/>
    <w:rsid w:val="5AAB1333"/>
    <w:rsid w:val="5AC41BD0"/>
    <w:rsid w:val="5B266CDC"/>
    <w:rsid w:val="5B2808FE"/>
    <w:rsid w:val="5BD41AE5"/>
    <w:rsid w:val="5C385395"/>
    <w:rsid w:val="5C407FE3"/>
    <w:rsid w:val="5C9759CD"/>
    <w:rsid w:val="5D277A67"/>
    <w:rsid w:val="5D381714"/>
    <w:rsid w:val="5D401017"/>
    <w:rsid w:val="5D4F351F"/>
    <w:rsid w:val="5D4F750E"/>
    <w:rsid w:val="5D74199A"/>
    <w:rsid w:val="5E514B8E"/>
    <w:rsid w:val="5E590FD5"/>
    <w:rsid w:val="5E7E72FB"/>
    <w:rsid w:val="5EA106E7"/>
    <w:rsid w:val="5EA918AD"/>
    <w:rsid w:val="5F702B50"/>
    <w:rsid w:val="5F9115E0"/>
    <w:rsid w:val="5FAA16F2"/>
    <w:rsid w:val="5FAA4F57"/>
    <w:rsid w:val="605B0AA5"/>
    <w:rsid w:val="60C56F6B"/>
    <w:rsid w:val="60C65695"/>
    <w:rsid w:val="60C74E4E"/>
    <w:rsid w:val="60DE3DCA"/>
    <w:rsid w:val="611F5200"/>
    <w:rsid w:val="61635CE5"/>
    <w:rsid w:val="61935353"/>
    <w:rsid w:val="61BE2D5E"/>
    <w:rsid w:val="61DC6367"/>
    <w:rsid w:val="61DD2C5C"/>
    <w:rsid w:val="61E33D90"/>
    <w:rsid w:val="6226056B"/>
    <w:rsid w:val="622B1910"/>
    <w:rsid w:val="62944C92"/>
    <w:rsid w:val="62A251EB"/>
    <w:rsid w:val="62DD6CE9"/>
    <w:rsid w:val="63322E50"/>
    <w:rsid w:val="63651B96"/>
    <w:rsid w:val="63A16EE8"/>
    <w:rsid w:val="63BD0E8F"/>
    <w:rsid w:val="642F1F97"/>
    <w:rsid w:val="64325EA4"/>
    <w:rsid w:val="64843AB1"/>
    <w:rsid w:val="64851F9F"/>
    <w:rsid w:val="648A74F0"/>
    <w:rsid w:val="64EE528F"/>
    <w:rsid w:val="64EE7E16"/>
    <w:rsid w:val="65C52812"/>
    <w:rsid w:val="65EA3D93"/>
    <w:rsid w:val="662961EB"/>
    <w:rsid w:val="663668E9"/>
    <w:rsid w:val="6658168C"/>
    <w:rsid w:val="66873AE4"/>
    <w:rsid w:val="66DA51CE"/>
    <w:rsid w:val="66FA0E86"/>
    <w:rsid w:val="67334067"/>
    <w:rsid w:val="675C6803"/>
    <w:rsid w:val="67787497"/>
    <w:rsid w:val="679D1BF6"/>
    <w:rsid w:val="67D90220"/>
    <w:rsid w:val="6890424A"/>
    <w:rsid w:val="69430E93"/>
    <w:rsid w:val="6974262E"/>
    <w:rsid w:val="69F8350F"/>
    <w:rsid w:val="69F86A7F"/>
    <w:rsid w:val="6A632203"/>
    <w:rsid w:val="6A825BAE"/>
    <w:rsid w:val="6A9D2A69"/>
    <w:rsid w:val="6B4F5F8A"/>
    <w:rsid w:val="6B5C708F"/>
    <w:rsid w:val="6B9523F5"/>
    <w:rsid w:val="6BBE5307"/>
    <w:rsid w:val="6C3B4A87"/>
    <w:rsid w:val="6C634F45"/>
    <w:rsid w:val="6C6C29BB"/>
    <w:rsid w:val="6C841C48"/>
    <w:rsid w:val="6C93393E"/>
    <w:rsid w:val="6CC069CF"/>
    <w:rsid w:val="6CCD6BF8"/>
    <w:rsid w:val="6D260904"/>
    <w:rsid w:val="6D901B1B"/>
    <w:rsid w:val="6DC738F6"/>
    <w:rsid w:val="6DD92E3F"/>
    <w:rsid w:val="6DF80FF9"/>
    <w:rsid w:val="6E36257B"/>
    <w:rsid w:val="6E4759C1"/>
    <w:rsid w:val="6E672537"/>
    <w:rsid w:val="6E7B416D"/>
    <w:rsid w:val="6EA2440E"/>
    <w:rsid w:val="6EB31D7C"/>
    <w:rsid w:val="6EBB3586"/>
    <w:rsid w:val="6EDD7AC8"/>
    <w:rsid w:val="6EE86AC0"/>
    <w:rsid w:val="6EF07AF4"/>
    <w:rsid w:val="6F3146A7"/>
    <w:rsid w:val="6FA227D8"/>
    <w:rsid w:val="6FB67C27"/>
    <w:rsid w:val="6FC54562"/>
    <w:rsid w:val="700D761C"/>
    <w:rsid w:val="702D59CD"/>
    <w:rsid w:val="70411408"/>
    <w:rsid w:val="70526E83"/>
    <w:rsid w:val="70547488"/>
    <w:rsid w:val="705A7874"/>
    <w:rsid w:val="705B4078"/>
    <w:rsid w:val="708B5BB6"/>
    <w:rsid w:val="70A22278"/>
    <w:rsid w:val="71572510"/>
    <w:rsid w:val="717A5153"/>
    <w:rsid w:val="71975068"/>
    <w:rsid w:val="719D67AE"/>
    <w:rsid w:val="71AA33CC"/>
    <w:rsid w:val="72654DB2"/>
    <w:rsid w:val="727A4DAA"/>
    <w:rsid w:val="72876D0B"/>
    <w:rsid w:val="72E95402"/>
    <w:rsid w:val="734045EC"/>
    <w:rsid w:val="735645BC"/>
    <w:rsid w:val="73AD3EE6"/>
    <w:rsid w:val="73D66154"/>
    <w:rsid w:val="73F33F1C"/>
    <w:rsid w:val="73F36B7C"/>
    <w:rsid w:val="741B70A4"/>
    <w:rsid w:val="7481735E"/>
    <w:rsid w:val="74BA0534"/>
    <w:rsid w:val="74CA76F0"/>
    <w:rsid w:val="74F344BF"/>
    <w:rsid w:val="750E4694"/>
    <w:rsid w:val="752B2690"/>
    <w:rsid w:val="75300335"/>
    <w:rsid w:val="75584FA2"/>
    <w:rsid w:val="75A00D93"/>
    <w:rsid w:val="75A1265C"/>
    <w:rsid w:val="75D0453B"/>
    <w:rsid w:val="76154468"/>
    <w:rsid w:val="768F0C65"/>
    <w:rsid w:val="76A7671B"/>
    <w:rsid w:val="771C46CC"/>
    <w:rsid w:val="77C45074"/>
    <w:rsid w:val="781573E8"/>
    <w:rsid w:val="785F60FB"/>
    <w:rsid w:val="7889616D"/>
    <w:rsid w:val="78A45764"/>
    <w:rsid w:val="796F71C3"/>
    <w:rsid w:val="79967BFB"/>
    <w:rsid w:val="79A76EB3"/>
    <w:rsid w:val="79B337CF"/>
    <w:rsid w:val="79E36730"/>
    <w:rsid w:val="7A064CF7"/>
    <w:rsid w:val="7A092EFD"/>
    <w:rsid w:val="7A1825EE"/>
    <w:rsid w:val="7A8C1FA6"/>
    <w:rsid w:val="7A9528CE"/>
    <w:rsid w:val="7ACE3896"/>
    <w:rsid w:val="7AD4335E"/>
    <w:rsid w:val="7AF6177D"/>
    <w:rsid w:val="7B433B2A"/>
    <w:rsid w:val="7C141748"/>
    <w:rsid w:val="7C8807ED"/>
    <w:rsid w:val="7CB717A4"/>
    <w:rsid w:val="7CCA598B"/>
    <w:rsid w:val="7CD24470"/>
    <w:rsid w:val="7CD46573"/>
    <w:rsid w:val="7CFD324E"/>
    <w:rsid w:val="7E7925B9"/>
    <w:rsid w:val="7EEC77F6"/>
    <w:rsid w:val="7F9570F5"/>
    <w:rsid w:val="7FB94C66"/>
    <w:rsid w:val="7FBE3AFC"/>
  </w:rsids>
  <w:docVars>
    <w:docVar w:name="commondata" w:val="eyJoZGlkIjoiNWFhMWI5MDQwNDBiYWI1ZmY5ZTQxYWNiYzY0MTdmZD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semiHidden/>
    <w:unhideWhenUsed/>
    <w:qFormat/>
    <w:rPr>
      <w:rFonts w:ascii="Arial" w:eastAsia="黑体" w:hAnsi="Arial"/>
      <w:sz w:val="20"/>
    </w:rPr>
  </w:style>
  <w:style w:type="paragraph" w:styleId="BodyTextIndent">
    <w:name w:val="Body Text Indent"/>
    <w:basedOn w:val="Normal"/>
    <w:uiPriority w:val="99"/>
    <w:qFormat/>
    <w:pPr>
      <w:ind w:left="2430" w:hanging="1995" w:leftChars="207" w:hangingChars="950"/>
    </w:p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BalloonText">
    <w:name w:val="Balloon Text"/>
    <w:basedOn w:val="Normal"/>
    <w:link w:val="Char"/>
    <w:autoRedefine/>
    <w:qFormat/>
    <w:rPr>
      <w:sz w:val="18"/>
      <w:szCs w:val="18"/>
    </w:rPr>
  </w:style>
  <w:style w:type="paragraph" w:styleId="Footer">
    <w:name w:val="footer"/>
    <w:basedOn w:val="Normal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1">
    <w:name w:val="WPSOffice手动目录 1"/>
    <w:autoRedefine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emsimilar">
    <w:name w:val="em_similar"/>
    <w:basedOn w:val="em"/>
    <w:autoRedefine/>
    <w:qFormat/>
    <w:rPr>
      <w:color w:val="FF0000"/>
    </w:rPr>
  </w:style>
  <w:style w:type="character" w:customStyle="1" w:styleId="em">
    <w:name w:val="em"/>
    <w:basedOn w:val="DefaultParagraphFont"/>
    <w:autoRedefine/>
    <w:qFormat/>
  </w:style>
  <w:style w:type="character" w:customStyle="1" w:styleId="Char">
    <w:name w:val="批注框文本 Char"/>
    <w:basedOn w:val="DefaultParagraphFont"/>
    <w:link w:val="BalloonText"/>
    <w:autoRedefine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yperlink" Target="https://d.book118.com/126215020133010050" TargetMode="Externa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9</Pages>
  <Words>3309</Words>
  <Characters>18862</Characters>
  <Application>Microsoft Office Word</Application>
  <DocSecurity>0</DocSecurity>
  <Lines>157</Lines>
  <Paragraphs>44</Paragraphs>
  <ScaleCrop>false</ScaleCrop>
  <Company/>
  <LinksUpToDate>false</LinksUpToDate>
  <CharactersWithSpaces>22127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ABEEL</cp:lastModifiedBy>
  <cp:revision>15</cp:revision>
  <dcterms:created xsi:type="dcterms:W3CDTF">2021-02-23T08:28:00Z</dcterms:created>
  <dcterms:modified xsi:type="dcterms:W3CDTF">2024-02-17T04:41:20Z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5F01BADBCC214F0896B7F6B80A331FDE_13</vt:lpwstr>
  </property>
  <property fmtid="{D5CDD505-2E9C-101B-9397-08002B2CF9AE}" pid="3" name="KSOProductBuildVer">
    <vt:lpwstr>2052-12.1.0.16388</vt:lpwstr>
  </property>
</Properties>
</file>