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38" w:line="1277" w:lineRule="exact"/>
        <w:ind w:firstLine="16390"/>
      </w:pPr>
      <w:r>
        <w:rPr>
          <w:position w:val="-25"/>
        </w:rPr>
        <w:drawing>
          <wp:inline distT="0" distB="0" distL="0" distR="0">
            <wp:extent cx="1631356" cy="81126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631356" cy="811269"/>
                    </a:xfrm>
                    <a:prstGeom prst="rect">
                      <a:avLst/>
                    </a:prstGeom>
                  </pic:spPr>
                </pic:pic>
              </a:graphicData>
            </a:graphic>
          </wp:inline>
        </w:drawing>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line="241" w:lineRule="auto"/>
      </w:pPr>
    </w:p>
    <w:p>
      <w:pPr>
        <w:pStyle w:val="BodyText"/>
        <w:spacing w:line="241" w:lineRule="auto"/>
      </w:pPr>
    </w:p>
    <w:p>
      <w:pPr>
        <w:pStyle w:val="BodyText"/>
        <w:spacing w:line="241" w:lineRule="auto"/>
      </w:pPr>
    </w:p>
    <w:p>
      <w:pPr>
        <w:pStyle w:val="BodyText"/>
        <w:spacing w:before="463" w:line="166" w:lineRule="auto"/>
        <w:ind w:left="4193" w:right="5295" w:firstLine="2"/>
        <w:outlineLvl w:val="0"/>
        <w:rPr>
          <w:sz w:val="185"/>
          <w:szCs w:val="185"/>
        </w:rPr>
      </w:pPr>
      <w:r>
        <w:drawing>
          <wp:anchor distT="0" distB="0" distL="0" distR="0" simplePos="0" relativeHeight="251658240" behindDoc="1" locked="0" layoutInCell="1" allowOverlap="1">
            <wp:simplePos x="0" y="0"/>
            <wp:positionH relativeFrom="column">
              <wp:posOffset>0</wp:posOffset>
            </wp:positionH>
            <wp:positionV relativeFrom="paragraph">
              <wp:posOffset>-2494420</wp:posOffset>
            </wp:positionV>
            <wp:extent cx="5405628" cy="6857998"/>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5405628" cy="6857998"/>
                    </a:xfrm>
                    <a:prstGeom prst="rect">
                      <a:avLst/>
                    </a:prstGeom>
                  </pic:spPr>
                </pic:pic>
              </a:graphicData>
            </a:graphic>
          </wp:anchor>
        </w:drawing>
      </w:r>
      <w:r>
        <w:rPr>
          <w:rFonts w:ascii="Microsoft YaHei" w:eastAsia="Microsoft YaHei" w:hAnsi="Microsoft YaHei" w:cs="Microsoft YaHei"/>
          <w:b/>
          <w:bCs/>
          <w:spacing w:val="-2"/>
          <w:sz w:val="108"/>
          <w:szCs w:val="108"/>
        </w:rPr>
        <w:t>全球及中国固态储氢</w:t>
      </w:r>
      <w:r>
        <w:rPr>
          <w:rFonts w:ascii="Microsoft YaHei" w:eastAsia="Microsoft YaHei" w:hAnsi="Microsoft YaHei" w:cs="Microsoft YaHei"/>
          <w:b/>
          <w:bCs/>
          <w:spacing w:val="6"/>
          <w:sz w:val="108"/>
          <w:szCs w:val="108"/>
        </w:rPr>
        <w:t xml:space="preserve"> </w:t>
      </w:r>
      <w:r>
        <w:rPr>
          <w:rFonts w:ascii="Microsoft YaHei" w:eastAsia="Microsoft YaHei" w:hAnsi="Microsoft YaHei" w:cs="Microsoft YaHei"/>
          <w:b/>
          <w:bCs/>
          <w:spacing w:val="-2"/>
          <w:sz w:val="108"/>
          <w:szCs w:val="108"/>
        </w:rPr>
        <w:t>材料行业概况</w:t>
      </w:r>
      <w:r>
        <w:rPr>
          <w:rFonts w:ascii="Microsoft YaHei" w:eastAsia="Microsoft YaHei" w:hAnsi="Microsoft YaHei" w:cs="Microsoft YaHei"/>
          <w:b/>
          <w:bCs/>
          <w:spacing w:val="267"/>
          <w:sz w:val="108"/>
          <w:szCs w:val="108"/>
        </w:rPr>
        <w:t xml:space="preserve"> </w:t>
      </w:r>
      <w:r>
        <w:rPr>
          <w:color w:val="FFB952"/>
          <w:spacing w:val="508"/>
          <w:w w:val="172"/>
          <w:position w:val="-2"/>
          <w:sz w:val="185"/>
          <w:szCs w:val="185"/>
        </w:rPr>
        <w:t>7</w:t>
      </w:r>
    </w:p>
    <w:p>
      <w:pPr>
        <w:pStyle w:val="BodyText"/>
        <w:spacing w:line="308" w:lineRule="auto"/>
        <w:sectPr>
          <w:headerReference w:type="default" r:id="rId6"/>
          <w:footerReference w:type="default" r:id="rId7"/>
          <w:pgSz w:w="19200" w:h="10800"/>
          <w:pgMar w:top="1" w:right="0" w:bottom="1" w:left="0" w:header="0" w:footer="0" w:gutter="0"/>
          <w:cols w:space="708"/>
        </w:sectPr>
      </w:pPr>
    </w:p>
    <w:p>
      <w:pPr>
        <w:pStyle w:val="BodyText"/>
        <w:spacing w:before="463" w:line="224" w:lineRule="auto"/>
        <w:ind w:left="9898"/>
        <w:rPr>
          <w:sz w:val="108"/>
          <w:szCs w:val="108"/>
        </w:rPr>
      </w:pPr>
      <w:r>
        <w:pict>
          <v:shapetype id="_x0000_t202" coordsize="21600,21600" o:spt="202" path="m,l,21600r21600,l21600,xe">
            <v:stroke joinstyle="miter"/>
            <v:path gradientshapeok="t" o:connecttype="rect"/>
          </v:shapetype>
          <v:shape id="_x0000_s1025" type="#_x0000_t202" style="width:57.5pt;height:74.3pt;margin-top:21.64pt;margin-left:647.95pt;position:absolute;z-index:251660288" filled="f" stroked="f">
            <o:lock v:ext="edit" aspectratio="f"/>
            <v:textbox inset="0,0,0,0">
              <w:txbxContent>
                <w:p>
                  <w:pPr>
                    <w:spacing w:before="18" w:line="184" w:lineRule="auto"/>
                    <w:ind w:left="20" w:right="20" w:firstLine="4"/>
                    <w:rPr>
                      <w:rFonts w:ascii="Microsoft YaHei" w:eastAsia="Microsoft YaHei" w:hAnsi="Microsoft YaHei" w:cs="Microsoft YaHei"/>
                      <w:sz w:val="55"/>
                      <w:szCs w:val="55"/>
                    </w:rPr>
                  </w:pPr>
                  <w:r>
                    <w:rPr>
                      <w:rFonts w:ascii="Microsoft YaHei" w:eastAsia="Microsoft YaHei" w:hAnsi="Microsoft YaHei" w:cs="Microsoft YaHei"/>
                      <w:spacing w:val="2"/>
                      <w:sz w:val="55"/>
                      <w:szCs w:val="55"/>
                    </w:rPr>
                    <w:t>专业</w:t>
                  </w:r>
                  <w:r>
                    <w:rPr>
                      <w:rFonts w:ascii="Microsoft YaHei" w:eastAsia="Microsoft YaHei" w:hAnsi="Microsoft YaHei" w:cs="Microsoft YaHei"/>
                      <w:sz w:val="55"/>
                      <w:szCs w:val="55"/>
                    </w:rPr>
                    <w:t xml:space="preserve"> </w:t>
                  </w:r>
                  <w:r>
                    <w:rPr>
                      <w:rFonts w:ascii="Microsoft YaHei" w:eastAsia="Microsoft YaHei" w:hAnsi="Microsoft YaHei" w:cs="Microsoft YaHei"/>
                      <w:spacing w:val="4"/>
                      <w:sz w:val="55"/>
                      <w:szCs w:val="55"/>
                    </w:rPr>
                    <w:t>深度</w:t>
                  </w:r>
                </w:p>
              </w:txbxContent>
            </v:textbox>
          </v:shape>
        </w:pict>
      </w:r>
      <w:r>
        <w:rPr>
          <w:rFonts w:ascii="Microsoft YaHei" w:eastAsia="Microsoft YaHei" w:hAnsi="Microsoft YaHei" w:cs="Microsoft YaHei"/>
          <w:spacing w:val="-2"/>
          <w:position w:val="-5"/>
          <w:sz w:val="108"/>
          <w:szCs w:val="108"/>
        </w:rPr>
        <w:t>2023</w:t>
      </w:r>
      <w:r>
        <w:rPr>
          <w:color w:val="FFB952"/>
          <w:spacing w:val="-2"/>
          <w:position w:val="9"/>
          <w:sz w:val="108"/>
          <w:szCs w:val="108"/>
        </w:rPr>
        <w:t>I</w:t>
      </w:r>
    </w:p>
    <w:p>
      <w:pPr>
        <w:pStyle w:val="BodyText"/>
        <w:spacing w:line="269" w:lineRule="auto"/>
      </w:pPr>
    </w:p>
    <w:p>
      <w:pPr>
        <w:pStyle w:val="BodyText"/>
        <w:spacing w:line="269" w:lineRule="auto"/>
      </w:pPr>
    </w:p>
    <w:p>
      <w:pPr>
        <w:spacing w:before="103" w:line="194" w:lineRule="auto"/>
        <w:ind w:right="38"/>
        <w:jc w:val="right"/>
        <w:rPr>
          <w:rFonts w:ascii="Microsoft YaHei" w:eastAsia="Microsoft YaHei" w:hAnsi="Microsoft YaHei" w:cs="Microsoft YaHei"/>
          <w:sz w:val="24"/>
          <w:szCs w:val="24"/>
        </w:rPr>
      </w:pPr>
      <w:r>
        <w:drawing>
          <wp:anchor distT="0" distB="0" distL="0" distR="0" simplePos="0" relativeHeight="251659264" behindDoc="1" locked="0" layoutInCell="1" allowOverlap="1">
            <wp:simplePos x="0" y="0"/>
            <wp:positionH relativeFrom="column">
              <wp:posOffset>10727435</wp:posOffset>
            </wp:positionH>
            <wp:positionV relativeFrom="paragraph">
              <wp:posOffset>-543370</wp:posOffset>
            </wp:positionV>
            <wp:extent cx="1440180" cy="873248"/>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8"/>
                    <a:stretch>
                      <a:fillRect/>
                    </a:stretch>
                  </pic:blipFill>
                  <pic:spPr>
                    <a:xfrm>
                      <a:off x="0" y="0"/>
                      <a:ext cx="1440180" cy="873248"/>
                    </a:xfrm>
                    <a:prstGeom prst="rect">
                      <a:avLst/>
                    </a:prstGeom>
                  </pic:spPr>
                </pic:pic>
              </a:graphicData>
            </a:graphic>
          </wp:anchor>
        </w:drawing>
      </w:r>
      <w:r>
        <w:rPr>
          <w:rFonts w:ascii="Microsoft YaHei" w:eastAsia="Microsoft YaHei" w:hAnsi="Microsoft YaHei" w:cs="Microsoft YaHei"/>
          <w:b/>
          <w:bCs/>
          <w:spacing w:val="-1"/>
          <w:sz w:val="24"/>
          <w:szCs w:val="24"/>
        </w:rPr>
        <w:t>北京研精毕智信息咨询有限公司</w:t>
      </w:r>
    </w:p>
    <w:p>
      <w:pPr>
        <w:spacing w:line="194" w:lineRule="auto"/>
        <w:rPr>
          <w:rFonts w:ascii="Microsoft YaHei" w:eastAsia="Microsoft YaHei" w:hAnsi="Microsoft YaHei" w:cs="Microsoft YaHei"/>
          <w:sz w:val="24"/>
          <w:szCs w:val="24"/>
        </w:rPr>
        <w:sectPr>
          <w:headerReference w:type="default" r:id="rId9"/>
          <w:footerReference w:type="default" r:id="rId10"/>
          <w:type w:val="nextPage"/>
          <w:pgSz w:w="19200" w:h="10800"/>
          <w:pgMar w:top="1" w:right="0" w:bottom="1" w:left="0" w:header="0" w:footer="0" w:gutter="0"/>
          <w:pgNumType w:start="2"/>
          <w:cols w:space="708"/>
          <w:titlePg w:val="0"/>
        </w:sectPr>
      </w:pPr>
    </w:p>
    <w:p>
      <w:pPr>
        <w:spacing w:before="353" w:line="194" w:lineRule="auto"/>
        <w:ind w:left="179"/>
        <w:rPr>
          <w:rFonts w:ascii="Microsoft YaHei" w:eastAsia="Microsoft YaHei" w:hAnsi="Microsoft YaHei" w:cs="Microsoft YaHei"/>
          <w:sz w:val="48"/>
          <w:szCs w:val="48"/>
        </w:rPr>
      </w:pPr>
      <w:r>
        <w:pict>
          <v:rect id="_x0000_s1026" style="width:816.25pt;height:2.5pt;margin-top:72.85pt;margin-left:18.3pt;mso-position-horizontal-relative:page;mso-position-vertical-relative:page;position:absolute;z-index:251661312" o:allowincell="f" filled="t" fillcolor="#2f5597" stroked="f"/>
        </w:pict>
      </w:r>
      <w:r>
        <w:drawing>
          <wp:anchor distT="0" distB="0" distL="0" distR="0" simplePos="0" relativeHeight="251662336" behindDoc="0" locked="0" layoutInCell="0" allowOverlap="1">
            <wp:simplePos x="0" y="0"/>
            <wp:positionH relativeFrom="page">
              <wp:posOffset>10469029</wp:posOffset>
            </wp:positionH>
            <wp:positionV relativeFrom="page">
              <wp:posOffset>152032</wp:posOffset>
            </wp:positionV>
            <wp:extent cx="1583612" cy="798171"/>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1"/>
                    <a:stretch>
                      <a:fillRect/>
                    </a:stretch>
                  </pic:blipFill>
                  <pic:spPr>
                    <a:xfrm>
                      <a:off x="0" y="0"/>
                      <a:ext cx="1583612" cy="798171"/>
                    </a:xfrm>
                    <a:prstGeom prst="rect">
                      <a:avLst/>
                    </a:prstGeom>
                  </pic:spPr>
                </pic:pic>
              </a:graphicData>
            </a:graphic>
          </wp:anchor>
        </w:drawing>
      </w:r>
      <w:r>
        <w:rPr>
          <w:rFonts w:ascii="Microsoft YaHei" w:eastAsia="Microsoft YaHei" w:hAnsi="Microsoft YaHei" w:cs="Microsoft YaHei"/>
          <w:b/>
          <w:bCs/>
          <w:spacing w:val="-4"/>
          <w:sz w:val="48"/>
          <w:szCs w:val="48"/>
        </w:rPr>
        <w:t>固态储氢材料概况</w:t>
      </w:r>
    </w:p>
    <w:p>
      <w:pPr>
        <w:spacing w:before="305" w:line="179" w:lineRule="auto"/>
        <w:ind w:left="163" w:right="2632" w:firstLine="24"/>
        <w:rPr>
          <w:rFonts w:ascii="Microsoft YaHei" w:eastAsia="Microsoft YaHei" w:hAnsi="Microsoft YaHei" w:cs="Microsoft YaHei"/>
          <w:sz w:val="48"/>
          <w:szCs w:val="48"/>
        </w:rPr>
      </w:pPr>
      <w:r>
        <w:rPr>
          <w:rFonts w:ascii="Microsoft YaHei" w:eastAsia="Microsoft YaHei" w:hAnsi="Microsoft YaHei" w:cs="Microsoft YaHei"/>
          <w:color w:val="191B1F"/>
          <w:spacing w:val="-1"/>
          <w:sz w:val="48"/>
          <w:szCs w:val="48"/>
        </w:rPr>
        <w:t>固态储氢材料分为物理吸附储氢材料和化学吸附储氢材料，常温常</w:t>
      </w:r>
      <w:r>
        <w:rPr>
          <w:rFonts w:ascii="Microsoft YaHei" w:eastAsia="Microsoft YaHei" w:hAnsi="Microsoft YaHei" w:cs="Microsoft YaHei"/>
          <w:color w:val="191B1F"/>
          <w:spacing w:val="-2"/>
          <w:sz w:val="48"/>
          <w:szCs w:val="48"/>
        </w:rPr>
        <w:t>压下物理</w:t>
      </w:r>
      <w:r>
        <w:rPr>
          <w:rFonts w:ascii="Microsoft YaHei" w:eastAsia="Microsoft YaHei" w:hAnsi="Microsoft YaHei" w:cs="Microsoft YaHei"/>
          <w:color w:val="191B1F"/>
          <w:sz w:val="48"/>
          <w:szCs w:val="48"/>
        </w:rPr>
        <w:t xml:space="preserve"> </w:t>
      </w:r>
      <w:r>
        <w:rPr>
          <w:rFonts w:ascii="Microsoft YaHei" w:eastAsia="Microsoft YaHei" w:hAnsi="Microsoft YaHei" w:cs="Microsoft YaHei"/>
          <w:color w:val="191B1F"/>
          <w:sz w:val="48"/>
          <w:szCs w:val="48"/>
        </w:rPr>
        <w:t>类吸附材料吸氢量很低，未规模化应用，当前</w:t>
      </w:r>
      <w:r>
        <w:rPr>
          <w:rFonts w:ascii="Microsoft YaHei" w:eastAsia="Microsoft YaHei" w:hAnsi="Microsoft YaHei" w:cs="Microsoft YaHei"/>
          <w:color w:val="191B1F"/>
          <w:spacing w:val="-1"/>
          <w:sz w:val="48"/>
          <w:szCs w:val="48"/>
        </w:rPr>
        <w:t>以化学吸附储氢材料为主</w:t>
      </w:r>
    </w:p>
    <w:p>
      <w:pPr>
        <w:spacing w:line="108" w:lineRule="auto"/>
        <w:rPr>
          <w:rFonts w:ascii="Arial"/>
          <w:sz w:val="2"/>
        </w:rPr>
      </w:pPr>
    </w:p>
    <w:tbl>
      <w:tblPr>
        <w:tblStyle w:val="TableNormal0"/>
        <w:tblW w:w="16394" w:type="dxa"/>
        <w:tblInd w:w="10" w:type="dxa"/>
        <w:tblBorders>
          <w:top w:val="single" w:sz="8" w:space="0" w:color="5B9BD5"/>
          <w:left w:val="single" w:sz="8" w:space="0" w:color="5B9BD5"/>
          <w:bottom w:val="single" w:sz="8" w:space="0" w:color="5B9BD5"/>
          <w:right w:val="single" w:sz="8" w:space="0" w:color="5B9BD5"/>
        </w:tblBorders>
        <w:tblLayout w:type="fixed"/>
      </w:tblPr>
      <w:tblGrid>
        <w:gridCol w:w="16394"/>
      </w:tblGrid>
      <w:tr>
        <w:tblPrEx>
          <w:tblW w:w="16394" w:type="dxa"/>
          <w:tblInd w:w="10" w:type="dxa"/>
          <w:tblBorders>
            <w:top w:val="single" w:sz="8" w:space="0" w:color="5B9BD5"/>
            <w:left w:val="single" w:sz="8" w:space="0" w:color="5B9BD5"/>
            <w:bottom w:val="single" w:sz="8" w:space="0" w:color="5B9BD5"/>
            <w:right w:val="single" w:sz="8" w:space="0" w:color="5B9BD5"/>
          </w:tblBorders>
          <w:tblLayout w:type="fixed"/>
        </w:tblPrEx>
        <w:trPr>
          <w:trHeight w:val="1336"/>
        </w:trPr>
        <w:tc>
          <w:tcPr>
            <w:tcW w:w="16394" w:type="dxa"/>
            <w:vAlign w:val="top"/>
          </w:tcPr>
          <w:p>
            <w:pPr>
              <w:spacing w:before="203" w:line="177" w:lineRule="auto"/>
              <w:ind w:left="137" w:right="275" w:firstLine="11"/>
              <w:jc w:val="both"/>
              <w:rPr>
                <w:rFonts w:ascii="Microsoft YaHei" w:eastAsia="Microsoft YaHei" w:hAnsi="Microsoft YaHei" w:cs="Microsoft YaHei"/>
                <w:sz w:val="28"/>
                <w:szCs w:val="28"/>
              </w:rPr>
            </w:pPr>
            <w:r>
              <w:rPr>
                <w:rFonts w:ascii="Microsoft YaHei" w:eastAsia="Microsoft YaHei" w:hAnsi="Microsoft YaHei" w:cs="Microsoft YaHei"/>
                <w:b/>
                <w:bCs/>
                <w:sz w:val="28"/>
                <w:szCs w:val="28"/>
              </w:rPr>
              <w:t>固态储氢是指利用材料对氢气的物理吸附和化学吸附作用将氢气存储在固体材料中。物理吸附机制是指</w:t>
            </w:r>
            <w:r>
              <w:rPr>
                <w:rFonts w:ascii="Microsoft YaHei" w:eastAsia="Microsoft YaHei" w:hAnsi="Microsoft YaHei" w:cs="Microsoft YaHei"/>
                <w:b/>
                <w:bCs/>
                <w:spacing w:val="-1"/>
                <w:sz w:val="28"/>
                <w:szCs w:val="28"/>
              </w:rPr>
              <w:t>通过范德华力将氢分子可逆</w:t>
            </w:r>
            <w:r>
              <w:rPr>
                <w:rFonts w:ascii="Microsoft YaHei" w:eastAsia="Microsoft YaHei" w:hAnsi="Microsoft YaHei" w:cs="Microsoft YaHei"/>
                <w:b/>
                <w:bCs/>
                <w:sz w:val="28"/>
                <w:szCs w:val="28"/>
              </w:rPr>
              <w:t xml:space="preserve"> </w:t>
            </w:r>
            <w:r>
              <w:rPr>
                <w:rFonts w:ascii="Microsoft YaHei" w:eastAsia="Microsoft YaHei" w:hAnsi="Microsoft YaHei" w:cs="Microsoft YaHei"/>
                <w:b/>
                <w:bCs/>
                <w:spacing w:val="-2"/>
                <w:sz w:val="28"/>
                <w:szCs w:val="28"/>
              </w:rPr>
              <w:t>地吸附在比表面积高的多孔材料。化学吸附机制中，</w:t>
            </w:r>
            <w:r>
              <w:rPr>
                <w:rFonts w:ascii="Microsoft YaHei" w:eastAsia="Microsoft YaHei" w:hAnsi="Microsoft YaHei" w:cs="Microsoft YaHei"/>
                <w:b/>
                <w:bCs/>
                <w:spacing w:val="44"/>
                <w:sz w:val="28"/>
                <w:szCs w:val="28"/>
              </w:rPr>
              <w:t xml:space="preserve"> </w:t>
            </w:r>
            <w:r>
              <w:rPr>
                <w:rFonts w:ascii="Microsoft YaHei" w:eastAsia="Microsoft YaHei" w:hAnsi="Microsoft YaHei" w:cs="Microsoft YaHei"/>
                <w:b/>
                <w:bCs/>
                <w:spacing w:val="-2"/>
                <w:sz w:val="28"/>
                <w:szCs w:val="28"/>
              </w:rPr>
              <w:t>氢一般是以离子键或共价键与其他元素结合，</w:t>
            </w:r>
            <w:r>
              <w:rPr>
                <w:rFonts w:ascii="Microsoft YaHei" w:eastAsia="Microsoft YaHei" w:hAnsi="Microsoft YaHei" w:cs="Microsoft YaHei"/>
                <w:b/>
                <w:bCs/>
                <w:spacing w:val="-3"/>
                <w:sz w:val="28"/>
                <w:szCs w:val="28"/>
              </w:rPr>
              <w:t>生成金属氢化物等材料，在一定</w:t>
            </w:r>
            <w:r>
              <w:rPr>
                <w:rFonts w:ascii="Microsoft YaHei" w:eastAsia="Microsoft YaHei" w:hAnsi="Microsoft YaHei" w:cs="Microsoft YaHei"/>
                <w:b/>
                <w:bCs/>
                <w:sz w:val="28"/>
                <w:szCs w:val="28"/>
              </w:rPr>
              <w:t xml:space="preserve"> </w:t>
            </w:r>
            <w:r>
              <w:rPr>
                <w:rFonts w:ascii="Microsoft YaHei" w:eastAsia="Microsoft YaHei" w:hAnsi="Microsoft YaHei" w:cs="Microsoft YaHei"/>
                <w:b/>
                <w:bCs/>
                <w:spacing w:val="-3"/>
                <w:sz w:val="28"/>
                <w:szCs w:val="28"/>
              </w:rPr>
              <w:t>条件下可逆地吸收和释放氢气。</w:t>
            </w:r>
          </w:p>
        </w:tc>
      </w:tr>
    </w:tbl>
    <w:p>
      <w:pPr>
        <w:pStyle w:val="BodyText"/>
        <w:spacing w:line="66" w:lineRule="exact"/>
        <w:rPr>
          <w:sz w:val="5"/>
        </w:rPr>
      </w:pPr>
    </w:p>
    <w:p>
      <w:pPr>
        <w:spacing w:line="66" w:lineRule="exact"/>
        <w:rPr>
          <w:sz w:val="5"/>
          <w:szCs w:val="5"/>
        </w:rPr>
        <w:sectPr>
          <w:headerReference w:type="default" r:id="rId12"/>
          <w:footerReference w:type="default" r:id="rId13"/>
          <w:pgSz w:w="19200" w:h="10800"/>
          <w:pgMar w:top="400" w:right="219" w:bottom="400" w:left="354" w:header="0" w:footer="0" w:gutter="0"/>
          <w:pgNumType w:start="3"/>
          <w:cols w:num="1" w:space="708" w:equalWidth="0">
            <w:col w:w="18626" w:space="0"/>
          </w:cols>
        </w:sectPr>
      </w:pPr>
    </w:p>
    <w:tbl>
      <w:tblPr>
        <w:tblStyle w:val="TableNormal0"/>
        <w:tblW w:w="4404" w:type="dxa"/>
        <w:tblInd w:w="2184" w:type="dxa"/>
        <w:tblBorders>
          <w:top w:val="single" w:sz="8" w:space="0" w:color="5B9BD5"/>
          <w:left w:val="single" w:sz="8" w:space="0" w:color="5B9BD5"/>
          <w:bottom w:val="single" w:sz="8" w:space="0" w:color="5B9BD5"/>
          <w:right w:val="single" w:sz="8" w:space="0" w:color="5B9BD5"/>
        </w:tblBorders>
        <w:shd w:val="clear" w:color="auto" w:fill="5B9BD5"/>
        <w:tblLayout w:type="fixed"/>
      </w:tblPr>
      <w:tblGrid>
        <w:gridCol w:w="4404"/>
      </w:tblGrid>
      <w:tr>
        <w:tblPrEx>
          <w:tblW w:w="4404" w:type="dxa"/>
          <w:tblInd w:w="2184" w:type="dxa"/>
          <w:tblBorders>
            <w:top w:val="single" w:sz="8" w:space="0" w:color="5B9BD5"/>
            <w:left w:val="single" w:sz="8" w:space="0" w:color="5B9BD5"/>
            <w:bottom w:val="single" w:sz="8" w:space="0" w:color="5B9BD5"/>
            <w:right w:val="single" w:sz="8" w:space="0" w:color="5B9BD5"/>
          </w:tblBorders>
          <w:shd w:val="clear" w:color="auto" w:fill="5B9BD5"/>
          <w:tblLayout w:type="fixed"/>
        </w:tblPrEx>
        <w:trPr>
          <w:trHeight w:val="555"/>
        </w:trPr>
        <w:tc>
          <w:tcPr>
            <w:tcW w:w="4404" w:type="dxa"/>
            <w:shd w:val="clear" w:color="auto" w:fill="5B9BD5"/>
            <w:vAlign w:val="top"/>
          </w:tcPr>
          <w:p>
            <w:pPr>
              <w:spacing w:before="117" w:line="166" w:lineRule="auto"/>
              <w:ind w:left="753"/>
              <w:rPr>
                <w:rFonts w:ascii="Microsoft YaHei" w:eastAsia="Microsoft YaHei" w:hAnsi="Microsoft YaHei" w:cs="Microsoft YaHei"/>
                <w:sz w:val="36"/>
                <w:szCs w:val="36"/>
              </w:rPr>
            </w:pPr>
            <w:r>
              <w:rPr>
                <w:rFonts w:ascii="Microsoft YaHei" w:eastAsia="Microsoft YaHei" w:hAnsi="Microsoft YaHei" w:cs="Microsoft YaHei"/>
                <w:color w:val="FFFFFF"/>
                <w:spacing w:val="-1"/>
                <w:sz w:val="36"/>
                <w:szCs w:val="36"/>
              </w:rPr>
              <w:t>物理吸附储氢材料</w:t>
            </w:r>
          </w:p>
        </w:tc>
      </w:tr>
    </w:tbl>
    <w:p>
      <w:pPr>
        <w:pStyle w:val="BodyText"/>
        <w:spacing w:before="234" w:line="3283" w:lineRule="exact"/>
        <w:ind w:firstLine="1216"/>
      </w:pPr>
      <w:r>
        <w:rPr>
          <w:position w:val="-65"/>
        </w:rPr>
        <w:pict>
          <v:group id="_x0000_i1027" style="width:320.6pt;height:164.2pt;mso-position-horizontal-relative:char;mso-position-vertical-relative:line" coordorigin="0,0" coordsize="6412,3283"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width:6320;height:3207;left:10;position:absolute;top:77" filled="f" stroked="f">
              <v:imagedata r:id="rId14" o:title=""/>
            </v:shape>
            <v:shape id="_x0000_s1029" type="#_x0000_t75" style="width:6412;height:2867;position:absolute" filled="f" stroked="f">
              <v:imagedata r:id="rId15" o:title=""/>
            </v:shape>
            <v:shape id="_x0000_s1030" type="#_x0000_t202" style="width:6452;height:2922;left:-20;position:absolute;top:-20" filled="f" stroked="f">
              <o:lock v:ext="edit" aspectratio="f"/>
              <v:textbox inset="0,0,0,0">
                <w:txbxContent>
                  <w:p>
                    <w:pPr>
                      <w:spacing w:line="20" w:lineRule="exact"/>
                    </w:pPr>
                  </w:p>
                  <w:tbl>
                    <w:tblPr>
                      <w:tblStyle w:val="TableNormal0"/>
                      <w:tblW w:w="6391" w:type="dxa"/>
                      <w:tblInd w:w="30" w:type="dxa"/>
                      <w:tblBorders>
                        <w:top w:val="single" w:sz="8" w:space="0" w:color="5B9BD5"/>
                        <w:left w:val="single" w:sz="8" w:space="0" w:color="5B9BD5"/>
                        <w:bottom w:val="single" w:sz="8" w:space="0" w:color="5B9BD5"/>
                        <w:right w:val="single" w:sz="8" w:space="0" w:color="5B9BD5"/>
                      </w:tblBorders>
                      <w:tblLayout w:type="fixed"/>
                    </w:tblPr>
                    <w:tblGrid>
                      <w:gridCol w:w="6391"/>
                    </w:tblGrid>
                    <w:tr>
                      <w:tblPrEx>
                        <w:tblW w:w="6391" w:type="dxa"/>
                        <w:tblInd w:w="30" w:type="dxa"/>
                        <w:tblBorders>
                          <w:top w:val="single" w:sz="8" w:space="0" w:color="5B9BD5"/>
                          <w:left w:val="single" w:sz="8" w:space="0" w:color="5B9BD5"/>
                          <w:bottom w:val="single" w:sz="8" w:space="0" w:color="5B9BD5"/>
                          <w:right w:val="single" w:sz="8" w:space="0" w:color="5B9BD5"/>
                        </w:tblBorders>
                        <w:tblLayout w:type="fixed"/>
                      </w:tblPrEx>
                      <w:trPr>
                        <w:trHeight w:val="2841"/>
                      </w:trPr>
                      <w:tc>
                        <w:tcPr>
                          <w:tcW w:w="6391" w:type="dxa"/>
                          <w:vAlign w:val="top"/>
                        </w:tcPr>
                        <w:p>
                          <w:pPr>
                            <w:spacing w:line="275" w:lineRule="auto"/>
                            <w:rPr>
                              <w:rFonts w:ascii="Arial"/>
                              <w:sz w:val="21"/>
                            </w:rPr>
                          </w:pPr>
                        </w:p>
                        <w:p>
                          <w:pPr>
                            <w:spacing w:before="154" w:line="168" w:lineRule="auto"/>
                            <w:ind w:left="727" w:right="608" w:hanging="425"/>
                            <w:rPr>
                              <w:rFonts w:ascii="Microsoft YaHei" w:eastAsia="Microsoft YaHei" w:hAnsi="Microsoft YaHei" w:cs="Microsoft YaHei"/>
                              <w:sz w:val="36"/>
                              <w:szCs w:val="36"/>
                            </w:rPr>
                          </w:pPr>
                          <w:r>
                            <w:rPr>
                              <w:rFonts w:ascii="Wingdings" w:eastAsia="Wingdings" w:hAnsi="Wingdings" w:cs="Wingdings"/>
                              <w:color w:val="FFFFFF"/>
                              <w:spacing w:val="-5"/>
                              <w:sz w:val="36"/>
                              <w:szCs w:val="36"/>
                            </w:rPr>
                            <w:sym w:font="Wingdings" w:char="F070"/>
                          </w:r>
                          <w:r>
                            <w:rPr>
                              <w:rFonts w:ascii="Wingdings" w:eastAsia="Wingdings" w:hAnsi="Wingdings" w:cs="Wingdings"/>
                              <w:color w:val="FFFFFF"/>
                              <w:spacing w:val="-186"/>
                              <w:sz w:val="36"/>
                              <w:szCs w:val="36"/>
                            </w:rPr>
                            <w:t xml:space="preserve"> </w:t>
                          </w:r>
                          <w:r>
                            <w:rPr>
                              <w:rFonts w:ascii="Microsoft YaHei" w:eastAsia="Microsoft YaHei" w:hAnsi="Microsoft YaHei" w:cs="Microsoft YaHei"/>
                              <w:color w:val="FFFFFF"/>
                              <w:spacing w:val="-5"/>
                              <w:sz w:val="36"/>
                              <w:szCs w:val="36"/>
                            </w:rPr>
                            <w:t>碳基材料（如石墨、活性炭、碳</w:t>
                          </w:r>
                          <w:r>
                            <w:rPr>
                              <w:rFonts w:ascii="Microsoft YaHei" w:eastAsia="Microsoft YaHei" w:hAnsi="Microsoft YaHei" w:cs="Microsoft YaHei"/>
                              <w:color w:val="FFFFFF"/>
                              <w:sz w:val="36"/>
                              <w:szCs w:val="36"/>
                            </w:rPr>
                            <w:t xml:space="preserve"> </w:t>
                          </w:r>
                          <w:r>
                            <w:rPr>
                              <w:rFonts w:ascii="Microsoft YaHei" w:eastAsia="Microsoft YaHei" w:hAnsi="Microsoft YaHei" w:cs="Microsoft YaHei"/>
                              <w:color w:val="FFFFFF"/>
                              <w:spacing w:val="-12"/>
                              <w:sz w:val="36"/>
                              <w:szCs w:val="36"/>
                            </w:rPr>
                            <w:t>纳米管）</w:t>
                          </w:r>
                        </w:p>
                        <w:p>
                          <w:pPr>
                            <w:spacing w:before="2" w:line="167" w:lineRule="auto"/>
                            <w:ind w:left="302"/>
                            <w:rPr>
                              <w:rFonts w:ascii="Microsoft YaHei" w:eastAsia="Microsoft YaHei" w:hAnsi="Microsoft YaHei" w:cs="Microsoft YaHei"/>
                              <w:sz w:val="36"/>
                              <w:szCs w:val="36"/>
                            </w:rPr>
                          </w:pPr>
                          <w:r>
                            <w:rPr>
                              <w:rFonts w:ascii="Wingdings" w:eastAsia="Wingdings" w:hAnsi="Wingdings" w:cs="Wingdings"/>
                              <w:color w:val="FFFFFF"/>
                              <w:spacing w:val="-10"/>
                              <w:sz w:val="36"/>
                              <w:szCs w:val="36"/>
                            </w:rPr>
                            <w:sym w:font="Wingdings" w:char="F070"/>
                          </w:r>
                          <w:r>
                            <w:rPr>
                              <w:rFonts w:ascii="Wingdings" w:eastAsia="Wingdings" w:hAnsi="Wingdings" w:cs="Wingdings"/>
                              <w:color w:val="FFFFFF"/>
                              <w:spacing w:val="-191"/>
                              <w:sz w:val="36"/>
                              <w:szCs w:val="36"/>
                            </w:rPr>
                            <w:t xml:space="preserve"> </w:t>
                          </w:r>
                          <w:r>
                            <w:rPr>
                              <w:rFonts w:ascii="Microsoft YaHei" w:eastAsia="Microsoft YaHei" w:hAnsi="Microsoft YaHei" w:cs="Microsoft YaHei"/>
                              <w:color w:val="FFFFFF"/>
                              <w:spacing w:val="-10"/>
                              <w:sz w:val="36"/>
                              <w:szCs w:val="36"/>
                            </w:rPr>
                            <w:t>无机多孔材料（如沸石）</w:t>
                          </w:r>
                        </w:p>
                        <w:p>
                          <w:pPr>
                            <w:spacing w:line="189" w:lineRule="auto"/>
                            <w:ind w:left="302"/>
                            <w:rPr>
                              <w:rFonts w:ascii="Microsoft YaHei" w:eastAsia="Microsoft YaHei" w:hAnsi="Microsoft YaHei" w:cs="Microsoft YaHei"/>
                              <w:sz w:val="36"/>
                              <w:szCs w:val="36"/>
                            </w:rPr>
                          </w:pPr>
                          <w:r>
                            <w:rPr>
                              <w:rFonts w:ascii="Wingdings" w:eastAsia="Wingdings" w:hAnsi="Wingdings" w:cs="Wingdings"/>
                              <w:color w:val="FFFFFF"/>
                              <w:spacing w:val="-4"/>
                              <w:sz w:val="36"/>
                              <w:szCs w:val="36"/>
                            </w:rPr>
                            <w:sym w:font="Wingdings" w:char="F070"/>
                          </w:r>
                          <w:r>
                            <w:rPr>
                              <w:rFonts w:ascii="Wingdings" w:eastAsia="Wingdings" w:hAnsi="Wingdings" w:cs="Wingdings"/>
                              <w:color w:val="FFFFFF"/>
                              <w:spacing w:val="-194"/>
                              <w:sz w:val="36"/>
                              <w:szCs w:val="36"/>
                            </w:rPr>
                            <w:t xml:space="preserve"> </w:t>
                          </w:r>
                          <w:r>
                            <w:rPr>
                              <w:rFonts w:ascii="Microsoft YaHei" w:eastAsia="Microsoft YaHei" w:hAnsi="Microsoft YaHei" w:cs="Microsoft YaHei"/>
                              <w:color w:val="FFFFFF"/>
                              <w:spacing w:val="-4"/>
                              <w:sz w:val="36"/>
                              <w:szCs w:val="36"/>
                            </w:rPr>
                            <w:t>金属有机骨架化合物（</w:t>
                          </w:r>
                          <w:r>
                            <w:rPr>
                              <w:rFonts w:ascii="Arial" w:eastAsia="Arial" w:hAnsi="Arial" w:cs="Arial"/>
                              <w:color w:val="FFFFFF"/>
                              <w:spacing w:val="-4"/>
                              <w:sz w:val="36"/>
                              <w:szCs w:val="36"/>
                            </w:rPr>
                            <w:t>MOFs</w:t>
                          </w:r>
                          <w:r>
                            <w:rPr>
                              <w:rFonts w:ascii="Microsoft YaHei" w:eastAsia="Microsoft YaHei" w:hAnsi="Microsoft YaHei" w:cs="Microsoft YaHei"/>
                              <w:color w:val="FFFFFF"/>
                              <w:spacing w:val="-4"/>
                              <w:sz w:val="36"/>
                              <w:szCs w:val="36"/>
                            </w:rPr>
                            <w:t>）等</w:t>
                          </w:r>
                        </w:p>
                      </w:tc>
                    </w:tr>
                  </w:tbl>
                  <w:p>
                    <w:pPr>
                      <w:rPr>
                        <w:rFonts w:ascii="Arial"/>
                        <w:sz w:val="21"/>
                      </w:rPr>
                    </w:pPr>
                  </w:p>
                </w:txbxContent>
              </v:textbox>
            </v:shape>
            <w10:wrap type="none"/>
          </v:group>
        </w:pict>
      </w:r>
    </w:p>
    <w:p>
      <w:pPr>
        <w:spacing w:before="325" w:line="162" w:lineRule="auto"/>
        <w:ind w:left="1376" w:right="1393"/>
        <w:jc w:val="both"/>
        <w:rPr>
          <w:rFonts w:ascii="Microsoft YaHei" w:eastAsia="Microsoft YaHei" w:hAnsi="Microsoft YaHei" w:cs="Microsoft YaHei"/>
          <w:sz w:val="36"/>
          <w:szCs w:val="36"/>
        </w:rPr>
      </w:pPr>
      <w:r>
        <w:rPr>
          <w:rFonts w:ascii="Microsoft YaHei" w:eastAsia="Microsoft YaHei" w:hAnsi="Microsoft YaHei" w:cs="Microsoft YaHei"/>
          <w:color w:val="191B1F"/>
          <w:spacing w:val="-1"/>
          <w:sz w:val="36"/>
          <w:szCs w:val="36"/>
        </w:rPr>
        <w:t>大多数物理吸附类材料在较低的温度</w:t>
      </w:r>
      <w:r>
        <w:rPr>
          <w:rFonts w:ascii="Microsoft YaHei" w:eastAsia="Microsoft YaHei" w:hAnsi="Microsoft YaHei" w:cs="Microsoft YaHei"/>
          <w:color w:val="191B1F"/>
          <w:spacing w:val="10"/>
          <w:sz w:val="36"/>
          <w:szCs w:val="36"/>
        </w:rPr>
        <w:t xml:space="preserve"> </w:t>
      </w:r>
      <w:r>
        <w:rPr>
          <w:rFonts w:ascii="Microsoft YaHei" w:eastAsia="Microsoft YaHei" w:hAnsi="Microsoft YaHei" w:cs="Microsoft YaHei"/>
          <w:color w:val="191B1F"/>
          <w:spacing w:val="-18"/>
          <w:sz w:val="36"/>
          <w:szCs w:val="36"/>
        </w:rPr>
        <w:t>下才能达到一定的储氢密度，</w:t>
      </w:r>
      <w:r>
        <w:rPr>
          <w:rFonts w:ascii="Microsoft YaHei" w:eastAsia="Microsoft YaHei" w:hAnsi="Microsoft YaHei" w:cs="Microsoft YaHei"/>
          <w:color w:val="191B1F"/>
          <w:spacing w:val="34"/>
          <w:sz w:val="36"/>
          <w:szCs w:val="36"/>
        </w:rPr>
        <w:t xml:space="preserve">  </w:t>
      </w:r>
      <w:r>
        <w:rPr>
          <w:rFonts w:ascii="Microsoft YaHei" w:eastAsia="Microsoft YaHei" w:hAnsi="Microsoft YaHei" w:cs="Microsoft YaHei"/>
          <w:color w:val="FFB952"/>
          <w:spacing w:val="-18"/>
          <w:sz w:val="36"/>
          <w:szCs w:val="36"/>
        </w:rPr>
        <w:t>常温常</w:t>
      </w:r>
      <w:r>
        <w:rPr>
          <w:rFonts w:ascii="Microsoft YaHei" w:eastAsia="Microsoft YaHei" w:hAnsi="Microsoft YaHei" w:cs="Microsoft YaHei"/>
          <w:color w:val="FFB952"/>
          <w:sz w:val="36"/>
          <w:szCs w:val="36"/>
        </w:rPr>
        <w:t xml:space="preserve"> </w:t>
      </w:r>
      <w:r>
        <w:rPr>
          <w:rFonts w:ascii="Microsoft YaHei" w:eastAsia="Microsoft YaHei" w:hAnsi="Microsoft YaHei" w:cs="Microsoft YaHei"/>
          <w:color w:val="FFB952"/>
          <w:spacing w:val="-1"/>
          <w:sz w:val="36"/>
          <w:szCs w:val="36"/>
        </w:rPr>
        <w:t>压下吸氢量很低，因此限制了其应用</w:t>
      </w:r>
    </w:p>
    <w:p>
      <w:pPr>
        <w:pStyle w:val="BodyText"/>
        <w:spacing w:line="14" w:lineRule="auto"/>
        <w:rPr>
          <w:sz w:val="2"/>
        </w:rPr>
        <w:sectPr>
          <w:headerReference w:type="default" r:id="rId16"/>
          <w:footerReference w:type="default" r:id="rId17"/>
          <w:type w:val="continuous"/>
          <w:pgSz w:w="19200" w:h="10800"/>
          <w:pgMar w:top="400" w:right="219" w:bottom="400" w:left="354" w:header="0" w:footer="0" w:gutter="0"/>
          <w:pgNumType w:start="4"/>
          <w:cols w:num="2" w:sep="1" w:space="708" w:equalWidth="0">
            <w:col w:w="8526" w:space="100"/>
            <w:col w:w="10001" w:space="0"/>
          </w:cols>
        </w:sectPr>
      </w:pPr>
      <w:r>
        <w:rPr>
          <w:sz w:val="2"/>
          <w:szCs w:val="2"/>
        </w:rPr>
        <w:br w:type="column"/>
      </w:r>
    </w:p>
    <w:tbl>
      <w:tblPr>
        <w:tblStyle w:val="TableNormal1"/>
        <w:tblW w:w="4401" w:type="dxa"/>
        <w:tblInd w:w="1546" w:type="dxa"/>
        <w:tblBorders>
          <w:top w:val="single" w:sz="8" w:space="0" w:color="5B9BD5"/>
          <w:left w:val="single" w:sz="8" w:space="0" w:color="5B9BD5"/>
          <w:bottom w:val="single" w:sz="8" w:space="0" w:color="5B9BD5"/>
          <w:right w:val="single" w:sz="8" w:space="0" w:color="5B9BD5"/>
        </w:tblBorders>
        <w:shd w:val="clear" w:color="auto" w:fill="5B9BD5"/>
        <w:tblLayout w:type="fixed"/>
      </w:tblPr>
      <w:tblGrid>
        <w:gridCol w:w="4401"/>
      </w:tblGrid>
      <w:tr>
        <w:tblPrEx>
          <w:tblW w:w="4401" w:type="dxa"/>
          <w:tblInd w:w="1546" w:type="dxa"/>
          <w:tblBorders>
            <w:top w:val="single" w:sz="8" w:space="0" w:color="5B9BD5"/>
            <w:left w:val="single" w:sz="8" w:space="0" w:color="5B9BD5"/>
            <w:bottom w:val="single" w:sz="8" w:space="0" w:color="5B9BD5"/>
            <w:right w:val="single" w:sz="8" w:space="0" w:color="5B9BD5"/>
          </w:tblBorders>
          <w:shd w:val="clear" w:color="auto" w:fill="5B9BD5"/>
          <w:tblLayout w:type="fixed"/>
        </w:tblPrEx>
        <w:trPr>
          <w:trHeight w:val="554"/>
        </w:trPr>
        <w:tc>
          <w:tcPr>
            <w:tcW w:w="4401" w:type="dxa"/>
            <w:shd w:val="clear" w:color="auto" w:fill="5B9BD5"/>
            <w:vAlign w:val="top"/>
          </w:tcPr>
          <w:p>
            <w:pPr>
              <w:spacing w:before="116" w:line="166" w:lineRule="auto"/>
              <w:ind w:left="758"/>
              <w:rPr>
                <w:rFonts w:ascii="Microsoft YaHei" w:eastAsia="Microsoft YaHei" w:hAnsi="Microsoft YaHei" w:cs="Microsoft YaHei"/>
                <w:sz w:val="36"/>
                <w:szCs w:val="36"/>
              </w:rPr>
            </w:pPr>
            <w:r>
              <w:rPr>
                <w:rFonts w:ascii="Microsoft YaHei" w:eastAsia="Microsoft YaHei" w:hAnsi="Microsoft YaHei" w:cs="Microsoft YaHei"/>
                <w:color w:val="FFFFFF"/>
                <w:spacing w:val="-1"/>
                <w:sz w:val="36"/>
                <w:szCs w:val="36"/>
              </w:rPr>
              <w:t>化学吸附储氢材料</w:t>
            </w:r>
          </w:p>
        </w:tc>
      </w:tr>
    </w:tbl>
    <w:p>
      <w:pPr>
        <w:pStyle w:val="BodyText"/>
        <w:spacing w:line="318" w:lineRule="auto"/>
      </w:pPr>
    </w:p>
    <w:p>
      <w:pPr>
        <w:pStyle w:val="BodyText"/>
        <w:spacing w:line="3198" w:lineRule="exact"/>
        <w:ind w:firstLine="1535"/>
      </w:pPr>
      <w:r>
        <w:rPr>
          <w:position w:val="-63"/>
        </w:rPr>
        <w:pict>
          <v:group id="_x0000_i1031" style="width:240.8pt;height:159.9pt;mso-position-horizontal-relative:char;mso-position-vertical-relative:line" coordorigin="0,0" coordsize="4816,3197" filled="f" stroked="f">
            <v:shape id="_x0000_s1032" type="#_x0000_t75" style="width:4816;height:2871;position:absolute" filled="f" stroked="f">
              <v:imagedata r:id="rId18" o:title=""/>
            </v:shape>
            <v:shape id="_x0000_s1033" type="#_x0000_t202" style="width:4783;height:2853;left:-19;position:absolute;top:47" filled="f" stroked="f">
              <o:lock v:ext="edit" aspectratio="f"/>
              <v:textbox inset="0,0,0,0">
                <w:txbxContent>
                  <w:p>
                    <w:pPr>
                      <w:spacing w:line="20" w:lineRule="exact"/>
                    </w:pPr>
                  </w:p>
                  <w:tbl>
                    <w:tblPr>
                      <w:tblStyle w:val="TableNormal1"/>
                      <w:tblW w:w="4723" w:type="dxa"/>
                      <w:tblInd w:w="30" w:type="dxa"/>
                      <w:tblBorders>
                        <w:top w:val="single" w:sz="8" w:space="0" w:color="5B9BD5"/>
                        <w:left w:val="single" w:sz="8" w:space="0" w:color="5B9BD5"/>
                        <w:bottom w:val="single" w:sz="8" w:space="0" w:color="5B9BD5"/>
                        <w:right w:val="single" w:sz="8" w:space="0" w:color="5B9BD5"/>
                      </w:tblBorders>
                      <w:tblLayout w:type="fixed"/>
                    </w:tblPr>
                    <w:tblGrid>
                      <w:gridCol w:w="4723"/>
                    </w:tblGrid>
                    <w:tr>
                      <w:tblPrEx>
                        <w:tblW w:w="4723" w:type="dxa"/>
                        <w:tblInd w:w="30" w:type="dxa"/>
                        <w:tblBorders>
                          <w:top w:val="single" w:sz="8" w:space="0" w:color="5B9BD5"/>
                          <w:left w:val="single" w:sz="8" w:space="0" w:color="5B9BD5"/>
                          <w:bottom w:val="single" w:sz="8" w:space="0" w:color="5B9BD5"/>
                          <w:right w:val="single" w:sz="8" w:space="0" w:color="5B9BD5"/>
                        </w:tblBorders>
                        <w:tblLayout w:type="fixed"/>
                      </w:tblPrEx>
                      <w:trPr>
                        <w:trHeight w:val="2773"/>
                      </w:trPr>
                      <w:tc>
                        <w:tcPr>
                          <w:tcW w:w="4723" w:type="dxa"/>
                          <w:vAlign w:val="top"/>
                        </w:tcPr>
                        <w:p>
                          <w:pPr>
                            <w:spacing w:before="363" w:line="168" w:lineRule="auto"/>
                            <w:ind w:left="302"/>
                            <w:rPr>
                              <w:rFonts w:ascii="Microsoft YaHei" w:eastAsia="Microsoft YaHei" w:hAnsi="Microsoft YaHei" w:cs="Microsoft YaHei"/>
                              <w:sz w:val="36"/>
                              <w:szCs w:val="36"/>
                            </w:rPr>
                          </w:pPr>
                          <w:r>
                            <w:rPr>
                              <w:rFonts w:ascii="Wingdings" w:eastAsia="Wingdings" w:hAnsi="Wingdings" w:cs="Wingdings"/>
                              <w:color w:val="FFFFFF"/>
                              <w:spacing w:val="-21"/>
                              <w:sz w:val="36"/>
                              <w:szCs w:val="36"/>
                            </w:rPr>
                            <w:sym w:font="Wingdings" w:char="F070"/>
                          </w:r>
                          <w:r>
                            <w:rPr>
                              <w:rFonts w:ascii="Wingdings" w:eastAsia="Wingdings" w:hAnsi="Wingdings" w:cs="Wingdings"/>
                              <w:color w:val="FFFFFF"/>
                              <w:spacing w:val="-195"/>
                              <w:sz w:val="36"/>
                              <w:szCs w:val="36"/>
                            </w:rPr>
                            <w:t xml:space="preserve"> </w:t>
                          </w:r>
                          <w:r>
                            <w:rPr>
                              <w:rFonts w:ascii="Microsoft YaHei" w:eastAsia="Microsoft YaHei" w:hAnsi="Microsoft YaHei" w:cs="Microsoft YaHei"/>
                              <w:color w:val="FFFFFF"/>
                              <w:spacing w:val="-21"/>
                              <w:sz w:val="36"/>
                              <w:szCs w:val="36"/>
                            </w:rPr>
                            <w:t>镁系</w:t>
                          </w:r>
                        </w:p>
                        <w:p>
                          <w:pPr>
                            <w:spacing w:before="2" w:line="167" w:lineRule="auto"/>
                            <w:ind w:left="302"/>
                            <w:rPr>
                              <w:rFonts w:ascii="Microsoft YaHei" w:eastAsia="Microsoft YaHei" w:hAnsi="Microsoft YaHei" w:cs="Microsoft YaHei"/>
                              <w:sz w:val="36"/>
                              <w:szCs w:val="36"/>
                            </w:rPr>
                          </w:pPr>
                          <w:r>
                            <w:rPr>
                              <w:rFonts w:ascii="Wingdings" w:eastAsia="Wingdings" w:hAnsi="Wingdings" w:cs="Wingdings"/>
                              <w:color w:val="FFFFFF"/>
                              <w:spacing w:val="-21"/>
                              <w:sz w:val="36"/>
                              <w:szCs w:val="36"/>
                            </w:rPr>
                            <w:sym w:font="Wingdings" w:char="F070"/>
                          </w:r>
                          <w:r>
                            <w:rPr>
                              <w:rFonts w:ascii="Wingdings" w:eastAsia="Wingdings" w:hAnsi="Wingdings" w:cs="Wingdings"/>
                              <w:color w:val="FFFFFF"/>
                              <w:spacing w:val="-197"/>
                              <w:sz w:val="36"/>
                              <w:szCs w:val="36"/>
                            </w:rPr>
                            <w:t xml:space="preserve"> </w:t>
                          </w:r>
                          <w:r>
                            <w:rPr>
                              <w:rFonts w:ascii="Microsoft YaHei" w:eastAsia="Microsoft YaHei" w:hAnsi="Microsoft YaHei" w:cs="Microsoft YaHei"/>
                              <w:color w:val="FFFFFF"/>
                              <w:spacing w:val="-21"/>
                              <w:sz w:val="36"/>
                              <w:szCs w:val="36"/>
                            </w:rPr>
                            <w:t>钛系</w:t>
                          </w:r>
                        </w:p>
                        <w:p>
                          <w:pPr>
                            <w:spacing w:line="168" w:lineRule="auto"/>
                            <w:ind w:left="302"/>
                            <w:rPr>
                              <w:rFonts w:ascii="Microsoft YaHei" w:eastAsia="Microsoft YaHei" w:hAnsi="Microsoft YaHei" w:cs="Microsoft YaHei"/>
                              <w:sz w:val="36"/>
                              <w:szCs w:val="36"/>
                            </w:rPr>
                          </w:pPr>
                          <w:r>
                            <w:rPr>
                              <w:rFonts w:ascii="Wingdings" w:eastAsia="Wingdings" w:hAnsi="Wingdings" w:cs="Wingdings"/>
                              <w:color w:val="FFFFFF"/>
                              <w:spacing w:val="-21"/>
                              <w:sz w:val="36"/>
                              <w:szCs w:val="36"/>
                            </w:rPr>
                            <w:sym w:font="Wingdings" w:char="F070"/>
                          </w:r>
                          <w:r>
                            <w:rPr>
                              <w:rFonts w:ascii="Wingdings" w:eastAsia="Wingdings" w:hAnsi="Wingdings" w:cs="Wingdings"/>
                              <w:color w:val="FFFFFF"/>
                              <w:spacing w:val="-197"/>
                              <w:sz w:val="36"/>
                              <w:szCs w:val="36"/>
                            </w:rPr>
                            <w:t xml:space="preserve"> </w:t>
                          </w:r>
                          <w:r>
                            <w:rPr>
                              <w:rFonts w:ascii="Microsoft YaHei" w:eastAsia="Microsoft YaHei" w:hAnsi="Microsoft YaHei" w:cs="Microsoft YaHei"/>
                              <w:color w:val="FFFFFF"/>
                              <w:spacing w:val="-21"/>
                              <w:sz w:val="36"/>
                              <w:szCs w:val="36"/>
                            </w:rPr>
                            <w:t>钒系</w:t>
                          </w:r>
                        </w:p>
                        <w:p>
                          <w:pPr>
                            <w:spacing w:before="2" w:line="167" w:lineRule="auto"/>
                            <w:ind w:left="302"/>
                            <w:rPr>
                              <w:rFonts w:ascii="Microsoft YaHei" w:eastAsia="Microsoft YaHei" w:hAnsi="Microsoft YaHei" w:cs="Microsoft YaHei"/>
                              <w:sz w:val="36"/>
                              <w:szCs w:val="36"/>
                            </w:rPr>
                          </w:pPr>
                          <w:r>
                            <w:rPr>
                              <w:rFonts w:ascii="Wingdings" w:eastAsia="Wingdings" w:hAnsi="Wingdings" w:cs="Wingdings"/>
                              <w:color w:val="FFFFFF"/>
                              <w:spacing w:val="-16"/>
                              <w:sz w:val="36"/>
                              <w:szCs w:val="36"/>
                            </w:rPr>
                            <w:sym w:font="Wingdings" w:char="F070"/>
                          </w:r>
                          <w:r>
                            <w:rPr>
                              <w:rFonts w:ascii="Wingdings" w:eastAsia="Wingdings" w:hAnsi="Wingdings" w:cs="Wingdings"/>
                              <w:color w:val="FFFFFF"/>
                              <w:spacing w:val="-196"/>
                              <w:sz w:val="36"/>
                              <w:szCs w:val="36"/>
                            </w:rPr>
                            <w:t xml:space="preserve"> </w:t>
                          </w:r>
                          <w:r>
                            <w:rPr>
                              <w:rFonts w:ascii="Microsoft YaHei" w:eastAsia="Microsoft YaHei" w:hAnsi="Microsoft YaHei" w:cs="Microsoft YaHei"/>
                              <w:color w:val="FFFFFF"/>
                              <w:spacing w:val="-16"/>
                              <w:sz w:val="36"/>
                              <w:szCs w:val="36"/>
                            </w:rPr>
                            <w:t>稀土系</w:t>
                          </w:r>
                        </w:p>
                        <w:p>
                          <w:pPr>
                            <w:spacing w:line="195" w:lineRule="auto"/>
                            <w:ind w:left="302"/>
                            <w:rPr>
                              <w:rFonts w:ascii="Microsoft YaHei" w:eastAsia="Microsoft YaHei" w:hAnsi="Microsoft YaHei" w:cs="Microsoft YaHei"/>
                              <w:sz w:val="36"/>
                              <w:szCs w:val="36"/>
                            </w:rPr>
                          </w:pPr>
                          <w:r>
                            <w:rPr>
                              <w:rFonts w:ascii="Wingdings" w:eastAsia="Wingdings" w:hAnsi="Wingdings" w:cs="Wingdings"/>
                              <w:color w:val="FFFFFF"/>
                              <w:spacing w:val="-21"/>
                              <w:sz w:val="36"/>
                              <w:szCs w:val="36"/>
                            </w:rPr>
                            <w:sym w:font="Wingdings" w:char="F070"/>
                          </w:r>
                          <w:r>
                            <w:rPr>
                              <w:rFonts w:ascii="Wingdings" w:eastAsia="Wingdings" w:hAnsi="Wingdings" w:cs="Wingdings"/>
                              <w:color w:val="FFFFFF"/>
                              <w:spacing w:val="-197"/>
                              <w:sz w:val="36"/>
                              <w:szCs w:val="36"/>
                            </w:rPr>
                            <w:t xml:space="preserve"> </w:t>
                          </w:r>
                          <w:r>
                            <w:rPr>
                              <w:rFonts w:ascii="Microsoft YaHei" w:eastAsia="Microsoft YaHei" w:hAnsi="Microsoft YaHei" w:cs="Microsoft YaHei"/>
                              <w:color w:val="FFFFFF"/>
                              <w:spacing w:val="-21"/>
                              <w:sz w:val="36"/>
                              <w:szCs w:val="36"/>
                            </w:rPr>
                            <w:t>锆系</w:t>
                          </w:r>
                        </w:p>
                      </w:tc>
                    </w:tr>
                  </w:tbl>
                  <w:p>
                    <w:pPr>
                      <w:rPr>
                        <w:rFonts w:ascii="Arial"/>
                        <w:sz w:val="21"/>
                      </w:rPr>
                    </w:pPr>
                  </w:p>
                </w:txbxContent>
              </v:textbox>
            </v:shape>
            <v:shape id="_x0000_s1034" type="#_x0000_t75" style="width:1773;height:327;left:1465;position:absolute;top:2870" filled="f" stroked="f">
              <v:imagedata r:id="rId19" o:title=""/>
            </v:shape>
            <w10:wrap type="none"/>
          </v:group>
        </w:pict>
      </w:r>
    </w:p>
    <w:p>
      <w:pPr>
        <w:spacing w:before="326" w:line="165" w:lineRule="auto"/>
        <w:ind w:left="897"/>
        <w:rPr>
          <w:rFonts w:ascii="Microsoft YaHei" w:eastAsia="Microsoft YaHei" w:hAnsi="Microsoft YaHei" w:cs="Microsoft YaHei"/>
          <w:sz w:val="36"/>
          <w:szCs w:val="36"/>
        </w:rPr>
      </w:pPr>
      <w:r>
        <w:rPr>
          <w:rFonts w:ascii="Microsoft YaHei" w:eastAsia="Microsoft YaHei" w:hAnsi="Microsoft YaHei" w:cs="Microsoft YaHei"/>
          <w:color w:val="FFB952"/>
          <w:spacing w:val="-1"/>
          <w:sz w:val="36"/>
          <w:szCs w:val="36"/>
        </w:rPr>
        <w:t>金属氢化物储氢材料极为丰富，镁系合</w:t>
      </w:r>
    </w:p>
    <w:p>
      <w:pPr>
        <w:spacing w:before="1" w:line="171" w:lineRule="auto"/>
        <w:ind w:left="897"/>
        <w:rPr>
          <w:rFonts w:ascii="Microsoft YaHei" w:eastAsia="Microsoft YaHei" w:hAnsi="Microsoft YaHei" w:cs="Microsoft YaHei"/>
          <w:sz w:val="36"/>
          <w:szCs w:val="36"/>
        </w:rPr>
      </w:pPr>
      <w:r>
        <w:rPr>
          <w:rFonts w:ascii="Microsoft YaHei" w:eastAsia="Microsoft YaHei" w:hAnsi="Microsoft YaHei" w:cs="Microsoft YaHei"/>
          <w:color w:val="FFB952"/>
          <w:spacing w:val="-12"/>
          <w:sz w:val="36"/>
          <w:szCs w:val="36"/>
        </w:rPr>
        <w:t xml:space="preserve">金储氢量高 、释放产生氢气纯度高，  </w:t>
      </w:r>
      <w:r>
        <w:rPr>
          <w:rFonts w:ascii="Microsoft YaHei" w:eastAsia="Microsoft YaHei" w:hAnsi="Microsoft YaHei" w:cs="Microsoft YaHei"/>
          <w:color w:val="FFC000"/>
          <w:spacing w:val="-12"/>
          <w:sz w:val="36"/>
          <w:szCs w:val="36"/>
        </w:rPr>
        <w:t>是</w:t>
      </w:r>
    </w:p>
    <w:p>
      <w:pPr>
        <w:spacing w:line="383" w:lineRule="exact"/>
        <w:ind w:left="913"/>
        <w:rPr>
          <w:rFonts w:ascii="Microsoft YaHei" w:eastAsia="Microsoft YaHei" w:hAnsi="Microsoft YaHei" w:cs="Microsoft YaHei"/>
          <w:sz w:val="36"/>
          <w:szCs w:val="36"/>
        </w:rPr>
      </w:pPr>
      <w:r>
        <w:rPr>
          <w:rFonts w:ascii="Microsoft YaHei" w:eastAsia="Microsoft YaHei" w:hAnsi="Microsoft YaHei" w:cs="Microsoft YaHei"/>
          <w:color w:val="FFC000"/>
          <w:spacing w:val="-2"/>
          <w:position w:val="-1"/>
          <w:sz w:val="36"/>
          <w:szCs w:val="36"/>
        </w:rPr>
        <w:t>当下研究最多的储氢材料</w:t>
      </w:r>
    </w:p>
    <w:p>
      <w:pPr>
        <w:spacing w:line="383" w:lineRule="exact"/>
        <w:rPr>
          <w:rFonts w:ascii="Microsoft YaHei" w:eastAsia="Microsoft YaHei" w:hAnsi="Microsoft YaHei" w:cs="Microsoft YaHei"/>
          <w:sz w:val="36"/>
          <w:szCs w:val="36"/>
        </w:rPr>
        <w:sectPr>
          <w:headerReference w:type="default" r:id="rId20"/>
          <w:footerReference w:type="default" r:id="rId21"/>
          <w:type w:val="nextPage"/>
          <w:pgSz w:w="19200" w:h="10800"/>
          <w:pgMar w:top="400" w:right="219" w:bottom="400" w:left="354" w:header="0" w:footer="0" w:gutter="0"/>
          <w:pgNumType w:start="5"/>
          <w:cols w:num="2" w:sep="1" w:space="708" w:equalWidth="0">
            <w:col w:w="8526" w:space="100"/>
            <w:col w:w="10001" w:space="0"/>
          </w:cols>
          <w:titlePg w:val="0"/>
        </w:sectPr>
      </w:pPr>
    </w:p>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2" w:history="1">
        <w:r>
          <w:rPr>
            <w:rFonts w:ascii="SimSun" w:eastAsia="SimSun" w:hAnsi="SimSun" w:cs="SimSun"/>
            <w:b/>
            <w:bCs/>
            <w:noProof w:val="0"/>
            <w:snapToGrid/>
            <w:color w:val="0000EE"/>
            <w:kern w:val="0"/>
            <w:sz w:val="30"/>
            <w:szCs w:val="30"/>
            <w:u w:val="single" w:color="0000EE"/>
          </w:rPr>
          <w:t>https://d.book118.com/126232045021010050</w:t>
        </w:r>
      </w:hyperlink>
    </w:p>
    <w:p/>
    <w:sectPr>
      <w:headerReference w:type="default" r:id="rId23"/>
      <w:footerReference w:type="default" r:id="rId24"/>
      <w:type w:val="continuous"/>
      <w:pgSz w:w="19200" w:h="10800"/>
      <w:pgMar w:top="400" w:right="219" w:bottom="400" w:left="354" w:header="0" w:footer="0" w:gutter="0"/>
      <w:pgNumType w:start="6"/>
      <w:cols w:num="1" w:space="708" w:equalWidth="0">
        <w:col w:w="18626"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pict>
        <v:rect id="_x0000_s2049" style="width:960pt;height:540pt;margin-top:0;margin-left:0;mso-position-horizontal-relative:page;mso-position-vertical-relative:page;position:absolute;z-index:251658240" o:allowincell="f" filled="t" fillcolor="#f2f2f2" stroked="f"/>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r>
      <w:pict>
        <v:rect id="_x0000_s2050" style="width:960pt;height:540pt;margin-top:0;margin-left:0;mso-position-horizontal-relative:page;mso-position-vertical-relative:page;position:absolute;z-index:251659264" o:allowincell="f" filled="t" fillcolor="#f2f2f2" stroked="f"/>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Microsoft YaHei" w:eastAsia="Microsoft YaHei" w:hAnsi="Microsoft YaHei" w:cs="Microsoft YaHei"/>
      <w:sz w:val="28"/>
      <w:szCs w:val="2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image" Target="media/image4.png"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image" Target="media/image5.png" /><Relationship Id="rId15" Type="http://schemas.openxmlformats.org/officeDocument/2006/relationships/image" Target="media/image6.png" /><Relationship Id="rId16" Type="http://schemas.openxmlformats.org/officeDocument/2006/relationships/header" Target="header4.xml" /><Relationship Id="rId17" Type="http://schemas.openxmlformats.org/officeDocument/2006/relationships/footer" Target="footer4.xml" /><Relationship Id="rId18" Type="http://schemas.openxmlformats.org/officeDocument/2006/relationships/image" Target="media/image7.png"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header" Target="header5.xml" /><Relationship Id="rId21" Type="http://schemas.openxmlformats.org/officeDocument/2006/relationships/footer" Target="footer5.xml" /><Relationship Id="rId22" Type="http://schemas.openxmlformats.org/officeDocument/2006/relationships/hyperlink" Target="https://d.book118.com/126232045021010050" TargetMode="External" /><Relationship Id="rId23" Type="http://schemas.openxmlformats.org/officeDocument/2006/relationships/header" Target="header6.xml" /><Relationship Id="rId24" Type="http://schemas.openxmlformats.org/officeDocument/2006/relationships/footer" Target="footer6.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image" Target="media/image3.png"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2024-02-16T17:59:42Z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2024-02-16T18:06:44Z</vt:filetime>
  </property>
  <property fmtid="{D5CDD505-2E9C-101B-9397-08002B2CF9AE}" pid="3" name="CRO">
    <vt:lpwstr>wqlLaW5nc29mdCBQREYgdG8gV1BTIDkw</vt:lpwstr>
  </property>
</Properties>
</file>