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720"/>
        <w:rPr>
          <w:rFonts w:ascii="仿宋_GB2312" w:eastAsia="仿宋_GB2312" w:hAnsi="仿宋_GB2312" w:cs="仿宋_GB2312"/>
          <w:sz w:val="36"/>
          <w:szCs w:val="36"/>
        </w:rPr>
      </w:pPr>
    </w:p>
    <w:p>
      <w:pPr>
        <w:ind w:firstLine="720"/>
        <w:rPr>
          <w:rFonts w:ascii="仿宋_GB2312" w:eastAsia="仿宋_GB2312" w:hAnsi="仿宋_GB2312" w:cs="仿宋_GB2312"/>
          <w:sz w:val="36"/>
          <w:szCs w:val="36"/>
        </w:rPr>
      </w:pPr>
    </w:p>
    <w:p>
      <w:pPr>
        <w:ind w:firstLine="720"/>
        <w:rPr>
          <w:rFonts w:ascii="仿宋_GB2312" w:eastAsia="仿宋_GB2312" w:hAnsi="仿宋_GB2312" w:cs="仿宋_GB2312"/>
          <w:sz w:val="36"/>
          <w:szCs w:val="36"/>
        </w:rPr>
      </w:pPr>
    </w:p>
    <w:p>
      <w:pPr>
        <w:ind w:firstLine="720"/>
        <w:rPr>
          <w:rFonts w:ascii="仿宋_GB2312" w:eastAsia="仿宋_GB2312" w:hAnsi="仿宋_GB2312" w:cs="仿宋_GB2312"/>
          <w:sz w:val="36"/>
          <w:szCs w:val="36"/>
        </w:rPr>
      </w:pPr>
    </w:p>
    <w:p>
      <w:pPr>
        <w:ind w:firstLine="720"/>
        <w:rPr>
          <w:rFonts w:ascii="仿宋_GB2312" w:eastAsia="仿宋_GB2312" w:hAnsi="仿宋_GB2312" w:cs="仿宋_GB2312"/>
          <w:sz w:val="36"/>
          <w:szCs w:val="36"/>
        </w:rPr>
      </w:pPr>
    </w:p>
    <w:p>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pPr>
        <w:adjustRightInd w:val="0"/>
        <w:snapToGrid w:val="0"/>
        <w:spacing w:before="192" w:beforeLines="80"/>
        <w:jc w:val="center"/>
        <w:rPr>
          <w:rFonts w:ascii="楷体_GB2312" w:eastAsia="楷体_GB2312"/>
          <w:bCs/>
          <w:sz w:val="48"/>
          <w:szCs w:val="48"/>
        </w:rPr>
      </w:pPr>
      <w:r>
        <w:rPr>
          <w:rFonts w:ascii="楷体_GB2312" w:eastAsia="楷体_GB2312" w:hint="eastAsia"/>
          <w:bCs/>
          <w:sz w:val="48"/>
          <w:szCs w:val="48"/>
        </w:rPr>
        <w:t>（污染影响类）</w:t>
      </w:r>
    </w:p>
    <w:p>
      <w:pPr>
        <w:adjustRightInd w:val="0"/>
        <w:snapToGrid w:val="0"/>
        <w:spacing w:line="288" w:lineRule="auto"/>
        <w:ind w:firstLine="880"/>
        <w:jc w:val="center"/>
        <w:outlineLvl w:val="0"/>
        <w:rPr>
          <w:rFonts w:ascii="华文仿宋" w:eastAsia="华文仿宋" w:hAnsi="华文仿宋" w:cs="华文仿宋"/>
          <w:kern w:val="44"/>
          <w:sz w:val="44"/>
          <w:szCs w:val="44"/>
        </w:rPr>
      </w:pPr>
    </w:p>
    <w:p>
      <w:pPr>
        <w:ind w:firstLine="1040"/>
        <w:jc w:val="center"/>
        <w:rPr>
          <w:rFonts w:eastAsia="仿宋"/>
          <w:sz w:val="52"/>
          <w:szCs w:val="52"/>
        </w:rPr>
      </w:pPr>
    </w:p>
    <w:p>
      <w:pPr>
        <w:ind w:firstLine="880"/>
        <w:rPr>
          <w:rFonts w:eastAsia="仿宋"/>
          <w:sz w:val="44"/>
          <w:szCs w:val="44"/>
        </w:rPr>
      </w:pPr>
    </w:p>
    <w:p>
      <w:pPr>
        <w:ind w:firstLine="880"/>
        <w:rPr>
          <w:rFonts w:eastAsia="仿宋"/>
          <w:sz w:val="44"/>
          <w:szCs w:val="44"/>
        </w:rPr>
      </w:pPr>
    </w:p>
    <w:p>
      <w:pPr>
        <w:ind w:firstLine="880"/>
        <w:rPr>
          <w:rFonts w:eastAsia="仿宋"/>
          <w:sz w:val="44"/>
          <w:szCs w:val="44"/>
        </w:rPr>
      </w:pPr>
    </w:p>
    <w:p>
      <w:pPr>
        <w:ind w:firstLine="880"/>
        <w:rPr>
          <w:rFonts w:eastAsia="仿宋"/>
          <w:sz w:val="44"/>
          <w:szCs w:val="44"/>
        </w:rPr>
      </w:pPr>
    </w:p>
    <w:p>
      <w:pPr>
        <w:adjustRightInd w:val="0"/>
        <w:snapToGrid w:val="0"/>
        <w:spacing w:line="288" w:lineRule="auto"/>
        <w:rPr>
          <w:rFonts w:ascii="仿宋_GB2312" w:eastAsia="仿宋_GB2312"/>
          <w:sz w:val="36"/>
          <w:szCs w:val="36"/>
          <w:u w:val="single"/>
        </w:rPr>
      </w:pPr>
      <w:r>
        <w:rPr>
          <w:rFonts w:ascii="仿宋_GB2312" w:eastAsia="仿宋_GB2312" w:hint="eastAsia"/>
          <w:sz w:val="36"/>
          <w:szCs w:val="36"/>
        </w:rPr>
        <w:t>项 目 名 称：</w:t>
      </w:r>
      <w:r>
        <w:rPr>
          <w:rFonts w:ascii="仿宋_GB2312" w:eastAsia="仿宋_GB2312" w:hint="eastAsia"/>
          <w:sz w:val="36"/>
          <w:szCs w:val="36"/>
          <w:u w:val="single"/>
        </w:rPr>
        <w:t>大 唐 集 团 陕 西 澄 城 储 煤 基 地</w:t>
      </w:r>
    </w:p>
    <w:p>
      <w:pPr>
        <w:adjustRightInd w:val="0"/>
        <w:snapToGrid w:val="0"/>
        <w:rPr>
          <w:rFonts w:ascii="仿宋_GB2312" w:eastAsia="仿宋_GB2312"/>
          <w:w w:val="90"/>
          <w:kern w:val="20"/>
          <w:sz w:val="36"/>
          <w:szCs w:val="36"/>
          <w:u w:val="single"/>
        </w:rPr>
      </w:pPr>
      <w:r>
        <w:rPr>
          <w:rFonts w:ascii="仿宋_GB2312" w:eastAsia="仿宋_GB2312" w:hint="eastAsia"/>
          <w:w w:val="90"/>
          <w:sz w:val="36"/>
          <w:szCs w:val="36"/>
        </w:rPr>
        <w:t>建设单位（盖章）:</w:t>
      </w:r>
      <w:r>
        <w:rPr>
          <w:rFonts w:ascii="仿宋_GB2312" w:eastAsia="仿宋_GB2312" w:hint="eastAsia"/>
          <w:w w:val="90"/>
          <w:kern w:val="20"/>
          <w:sz w:val="36"/>
          <w:szCs w:val="36"/>
          <w:u w:val="single"/>
        </w:rPr>
        <w:t>大唐陕西发电燃料有限责任公司澄城分公司</w:t>
      </w:r>
    </w:p>
    <w:p>
      <w:pPr>
        <w:adjustRightInd w:val="0"/>
        <w:snapToGrid w:val="0"/>
        <w:spacing w:line="288" w:lineRule="auto"/>
        <w:rPr>
          <w:rFonts w:ascii="仿宋_GB2312" w:eastAsia="仿宋_GB2312"/>
          <w:spacing w:val="30"/>
          <w:sz w:val="36"/>
          <w:szCs w:val="36"/>
          <w:u w:val="single"/>
        </w:rPr>
      </w:pPr>
      <w:r>
        <w:rPr>
          <w:rFonts w:ascii="仿宋_GB2312" w:eastAsia="仿宋_GB2312" w:hint="eastAsia"/>
          <w:spacing w:val="30"/>
          <w:sz w:val="36"/>
          <w:szCs w:val="36"/>
        </w:rPr>
        <w:t>编 制 日 期：</w:t>
      </w:r>
      <w:r>
        <w:rPr>
          <w:rFonts w:ascii="仿宋_GB2312" w:eastAsia="仿宋_GB2312" w:hint="eastAsia"/>
          <w:spacing w:val="30"/>
          <w:sz w:val="36"/>
          <w:szCs w:val="36"/>
          <w:u w:val="single"/>
        </w:rPr>
        <w:t xml:space="preserve"> 二〇二二年二月</w:t>
      </w:r>
    </w:p>
    <w:p>
      <w:pPr>
        <w:adjustRightInd w:val="0"/>
        <w:snapToGrid w:val="0"/>
        <w:spacing w:line="288" w:lineRule="auto"/>
        <w:jc w:val="left"/>
        <w:rPr>
          <w:rFonts w:ascii="仿宋_GB2312" w:eastAsia="仿宋_GB2312"/>
          <w:sz w:val="36"/>
          <w:szCs w:val="36"/>
          <w:u w:val="single"/>
        </w:rPr>
        <w:sectPr>
          <w:headerReference w:type="default" r:id="rId6"/>
          <w:footerReference w:type="default" r:id="rId7"/>
          <w:pgSz w:w="11906" w:h="16838"/>
          <w:pgMar w:top="1701" w:right="1531" w:bottom="1701" w:left="1531" w:header="851" w:footer="1077" w:gutter="0"/>
          <w:pgNumType w:start="1"/>
          <w:cols w:num="1" w:space="720"/>
          <w:docGrid w:linePitch="312" w:charSpace="0"/>
        </w:sectPr>
      </w:pPr>
      <w:bookmarkStart w:id="0" w:name="_Hlk57884087"/>
    </w:p>
    <w:p>
      <w:pPr>
        <w:adjustRightInd w:val="0"/>
        <w:snapToGrid w:val="0"/>
        <w:spacing w:line="288" w:lineRule="auto"/>
        <w:jc w:val="left"/>
        <w:rPr>
          <w:rFonts w:ascii="仿宋_GB2312" w:eastAsia="仿宋_GB2312"/>
          <w:sz w:val="36"/>
          <w:szCs w:val="36"/>
        </w:rPr>
      </w:pPr>
    </w:p>
    <w:p>
      <w:pPr>
        <w:adjustRightInd w:val="0"/>
        <w:snapToGrid w:val="0"/>
        <w:spacing w:line="288" w:lineRule="auto"/>
        <w:jc w:val="left"/>
        <w:rPr>
          <w:rFonts w:ascii="仿宋_GB2312" w:eastAsia="仿宋_GB2312"/>
          <w:sz w:val="36"/>
          <w:szCs w:val="36"/>
        </w:rPr>
      </w:pPr>
    </w:p>
    <w:p>
      <w:pPr>
        <w:adjustRightInd w:val="0"/>
        <w:snapToGrid w:val="0"/>
        <w:spacing w:line="288" w:lineRule="auto"/>
        <w:jc w:val="left"/>
        <w:rPr>
          <w:rFonts w:ascii="仿宋_GB2312" w:eastAsia="仿宋_GB2312"/>
          <w:sz w:val="36"/>
          <w:szCs w:val="36"/>
        </w:rPr>
      </w:pPr>
    </w:p>
    <w:bookmarkEnd w:id="0"/>
    <w:p>
      <w:pPr>
        <w:adjustRightInd w:val="0"/>
        <w:snapToGrid w:val="0"/>
        <w:spacing w:line="288" w:lineRule="auto"/>
        <w:jc w:val="left"/>
        <w:rPr>
          <w:rFonts w:ascii="楷体_GB2312" w:eastAsia="楷体_GB2312"/>
          <w:sz w:val="36"/>
          <w:szCs w:val="36"/>
        </w:rPr>
      </w:pPr>
    </w:p>
    <w:p>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pPr>
        <w:adjustRightInd w:val="0"/>
        <w:snapToGrid w:val="0"/>
        <w:spacing w:line="288" w:lineRule="auto"/>
        <w:jc w:val="center"/>
        <w:rPr>
          <w:rFonts w:ascii="楷体_GB2312" w:eastAsia="楷体_GB2312"/>
          <w:sz w:val="36"/>
          <w:szCs w:val="36"/>
        </w:rPr>
      </w:pPr>
    </w:p>
    <w:p>
      <w:pPr>
        <w:pStyle w:val="NormalWeb"/>
        <w:jc w:val="center"/>
        <w:outlineLvl w:val="0"/>
        <w:rPr>
          <w:rFonts w:ascii="黑体" w:eastAsia="黑体" w:hAnsi="黑体"/>
          <w:snapToGrid w:val="0"/>
          <w:sz w:val="30"/>
          <w:szCs w:val="30"/>
        </w:rPr>
      </w:pPr>
      <w:r>
        <w:rPr>
          <w:rFonts w:ascii="黑体" w:eastAsia="黑体" w:hAnsi="黑体" w:hint="eastAsia"/>
          <w:snapToGrid w:val="0"/>
          <w:sz w:val="30"/>
          <w:szCs w:val="30"/>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856"/>
        <w:gridCol w:w="2163"/>
        <w:gridCol w:w="105"/>
        <w:gridCol w:w="1843"/>
        <w:gridCol w:w="264"/>
        <w:gridCol w:w="263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建设项目名称</w:t>
            </w:r>
          </w:p>
        </w:tc>
        <w:tc>
          <w:tcPr>
            <w:tcW w:w="7014" w:type="dxa"/>
            <w:gridSpan w:val="5"/>
            <w:vAlign w:val="center"/>
          </w:tcPr>
          <w:p>
            <w:pPr>
              <w:adjustRightInd w:val="0"/>
              <w:snapToGrid w:val="0"/>
              <w:jc w:val="center"/>
              <w:rPr>
                <w:rFonts w:ascii="宋体" w:hAnsi="宋体" w:cs="宋体"/>
                <w:sz w:val="24"/>
              </w:rPr>
            </w:pPr>
            <w:r>
              <w:rPr>
                <w:rFonts w:ascii="宋体" w:hAnsi="宋体" w:cs="宋体"/>
                <w:sz w:val="24"/>
              </w:rPr>
              <w:t>大唐集团陕西澄城</w:t>
            </w:r>
            <w:bookmarkStart w:id="1" w:name="_GoBack"/>
            <w:r>
              <w:rPr>
                <w:rFonts w:ascii="宋体" w:hAnsi="宋体" w:cs="宋体"/>
                <w:sz w:val="24"/>
              </w:rPr>
              <w:t>储煤基地</w:t>
            </w:r>
            <w:bookmarkEnd w:id="1"/>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项目代码</w:t>
            </w:r>
          </w:p>
        </w:tc>
        <w:tc>
          <w:tcPr>
            <w:tcW w:w="7014" w:type="dxa"/>
            <w:gridSpan w:val="5"/>
            <w:vAlign w:val="center"/>
          </w:tcPr>
          <w:p>
            <w:pPr>
              <w:adjustRightInd w:val="0"/>
              <w:snapToGrid w:val="0"/>
              <w:jc w:val="center"/>
              <w:rPr>
                <w:rFonts w:ascii="宋体" w:hAnsi="宋体" w:cs="宋体"/>
                <w:sz w:val="24"/>
              </w:rPr>
            </w:pPr>
            <w:r>
              <w:rPr>
                <w:rFonts w:hint="eastAsia"/>
                <w:sz w:val="24"/>
              </w:rPr>
              <w:t>2105</w:t>
            </w:r>
            <w:r>
              <w:rPr>
                <w:sz w:val="24"/>
              </w:rPr>
              <w:t>-6105</w:t>
            </w:r>
            <w:r>
              <w:rPr>
                <w:rFonts w:hint="eastAsia"/>
                <w:sz w:val="24"/>
              </w:rPr>
              <w:t>25</w:t>
            </w:r>
            <w:r>
              <w:rPr>
                <w:sz w:val="24"/>
              </w:rPr>
              <w:t>-04-01-</w:t>
            </w:r>
            <w:r>
              <w:rPr>
                <w:rFonts w:hint="eastAsia"/>
                <w:sz w:val="24"/>
              </w:rPr>
              <w:t>464383</w:t>
            </w:r>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建设单位联系人</w:t>
            </w:r>
          </w:p>
        </w:tc>
        <w:tc>
          <w:tcPr>
            <w:tcW w:w="2163" w:type="dxa"/>
            <w:vAlign w:val="center"/>
          </w:tcPr>
          <w:p>
            <w:pPr>
              <w:adjustRightInd w:val="0"/>
              <w:snapToGrid w:val="0"/>
              <w:jc w:val="center"/>
              <w:rPr>
                <w:rFonts w:ascii="宋体" w:hAnsi="宋体" w:cs="宋体"/>
                <w:sz w:val="24"/>
              </w:rPr>
            </w:pPr>
          </w:p>
        </w:tc>
        <w:tc>
          <w:tcPr>
            <w:tcW w:w="2212" w:type="dxa"/>
            <w:gridSpan w:val="3"/>
            <w:vAlign w:val="center"/>
          </w:tcPr>
          <w:p>
            <w:pPr>
              <w:adjustRightInd w:val="0"/>
              <w:snapToGrid w:val="0"/>
              <w:jc w:val="center"/>
              <w:rPr>
                <w:rFonts w:ascii="宋体" w:hAnsi="宋体" w:cs="宋体"/>
                <w:sz w:val="24"/>
              </w:rPr>
            </w:pPr>
            <w:r>
              <w:rPr>
                <w:rFonts w:ascii="宋体" w:hAnsi="宋体" w:cs="宋体" w:hint="eastAsia"/>
                <w:sz w:val="24"/>
              </w:rPr>
              <w:t>联系方式</w:t>
            </w:r>
          </w:p>
        </w:tc>
        <w:tc>
          <w:tcPr>
            <w:tcW w:w="2639" w:type="dxa"/>
            <w:vAlign w:val="center"/>
          </w:tcPr>
          <w:p>
            <w:pPr>
              <w:adjustRightInd w:val="0"/>
              <w:snapToGrid w:val="0"/>
              <w:jc w:val="center"/>
              <w:rPr>
                <w:sz w:val="24"/>
              </w:rPr>
            </w:pPr>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建设地点</w:t>
            </w:r>
          </w:p>
        </w:tc>
        <w:tc>
          <w:tcPr>
            <w:tcW w:w="7014" w:type="dxa"/>
            <w:gridSpan w:val="5"/>
            <w:vAlign w:val="center"/>
          </w:tcPr>
          <w:p>
            <w:pPr>
              <w:adjustRightInd w:val="0"/>
              <w:snapToGrid w:val="0"/>
              <w:jc w:val="center"/>
              <w:rPr>
                <w:rFonts w:ascii="宋体" w:hAnsi="宋体" w:cs="宋体"/>
                <w:sz w:val="24"/>
              </w:rPr>
            </w:pPr>
            <w:r>
              <w:rPr>
                <w:rFonts w:ascii="宋体" w:hAnsi="宋体" w:cs="宋体" w:hint="eastAsia"/>
                <w:sz w:val="24"/>
                <w:u w:val="single"/>
              </w:rPr>
              <w:t>陕西</w:t>
            </w:r>
            <w:r>
              <w:rPr>
                <w:rFonts w:ascii="宋体" w:hAnsi="宋体" w:cs="宋体" w:hint="eastAsia"/>
                <w:sz w:val="24"/>
              </w:rPr>
              <w:t>省（自治区）</w:t>
            </w:r>
            <w:r>
              <w:rPr>
                <w:rFonts w:ascii="宋体" w:hAnsi="宋体" w:cs="宋体" w:hint="eastAsia"/>
                <w:sz w:val="24"/>
                <w:u w:val="single"/>
              </w:rPr>
              <w:t>渭南</w:t>
            </w:r>
            <w:r>
              <w:rPr>
                <w:rFonts w:ascii="宋体" w:hAnsi="宋体" w:cs="宋体" w:hint="eastAsia"/>
                <w:sz w:val="24"/>
              </w:rPr>
              <w:t>市</w:t>
            </w:r>
            <w:r>
              <w:rPr>
                <w:rFonts w:ascii="宋体" w:hAnsi="宋体" w:cs="宋体"/>
                <w:sz w:val="24"/>
                <w:u w:val="single"/>
              </w:rPr>
              <w:t xml:space="preserve"> 澄城 </w:t>
            </w:r>
            <w:r>
              <w:rPr>
                <w:rFonts w:ascii="宋体" w:hAnsi="宋体" w:cs="宋体" w:hint="eastAsia"/>
                <w:sz w:val="24"/>
              </w:rPr>
              <w:t>县（区）</w:t>
            </w:r>
            <w:r>
              <w:rPr>
                <w:rFonts w:ascii="宋体" w:hAnsi="宋体" w:cs="宋体" w:hint="eastAsia"/>
                <w:sz w:val="24"/>
                <w:u w:val="single"/>
              </w:rPr>
              <w:t>尧头镇权家河村七组</w:t>
            </w:r>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地理坐标</w:t>
            </w:r>
          </w:p>
        </w:tc>
        <w:tc>
          <w:tcPr>
            <w:tcW w:w="7014" w:type="dxa"/>
            <w:gridSpan w:val="5"/>
            <w:vAlign w:val="center"/>
          </w:tcPr>
          <w:p>
            <w:pPr>
              <w:jc w:val="center"/>
              <w:rPr>
                <w:sz w:val="24"/>
              </w:rPr>
            </w:pPr>
            <w:r>
              <w:rPr>
                <w:sz w:val="24"/>
              </w:rPr>
              <w:t>（</w:t>
            </w:r>
            <w:r>
              <w:rPr>
                <w:sz w:val="24"/>
                <w:u w:val="single"/>
              </w:rPr>
              <w:t xml:space="preserve"> 109 </w:t>
            </w:r>
            <w:r>
              <w:rPr>
                <w:sz w:val="24"/>
              </w:rPr>
              <w:t>度</w:t>
            </w:r>
            <w:r>
              <w:rPr>
                <w:rFonts w:hint="eastAsia"/>
                <w:sz w:val="24"/>
                <w:u w:val="single"/>
              </w:rPr>
              <w:t>52</w:t>
            </w:r>
            <w:r>
              <w:rPr>
                <w:sz w:val="24"/>
              </w:rPr>
              <w:t>分</w:t>
            </w:r>
            <w:r>
              <w:rPr>
                <w:rFonts w:hint="eastAsia"/>
                <w:sz w:val="24"/>
                <w:u w:val="single"/>
              </w:rPr>
              <w:t>1.371</w:t>
            </w:r>
            <w:r>
              <w:rPr>
                <w:sz w:val="24"/>
              </w:rPr>
              <w:t>秒，</w:t>
            </w:r>
            <w:r>
              <w:rPr>
                <w:rFonts w:hint="eastAsia"/>
                <w:sz w:val="24"/>
                <w:u w:val="single"/>
              </w:rPr>
              <w:t>35</w:t>
            </w:r>
            <w:r>
              <w:rPr>
                <w:sz w:val="24"/>
              </w:rPr>
              <w:t>度</w:t>
            </w:r>
            <w:r>
              <w:rPr>
                <w:rFonts w:hint="eastAsia"/>
                <w:sz w:val="24"/>
                <w:u w:val="single"/>
              </w:rPr>
              <w:t>9</w:t>
            </w:r>
            <w:r>
              <w:rPr>
                <w:sz w:val="24"/>
              </w:rPr>
              <w:t>分</w:t>
            </w:r>
            <w:r>
              <w:rPr>
                <w:rFonts w:hint="eastAsia"/>
                <w:sz w:val="24"/>
                <w:u w:val="single"/>
              </w:rPr>
              <w:t>42.781</w:t>
            </w:r>
            <w:r>
              <w:rPr>
                <w:sz w:val="24"/>
              </w:rPr>
              <w:t>秒）</w:t>
            </w:r>
          </w:p>
        </w:tc>
      </w:tr>
      <w:tr>
        <w:tblPrEx>
          <w:tblW w:w="0" w:type="auto"/>
          <w:jc w:val="center"/>
          <w:tblCellMar>
            <w:top w:w="0" w:type="dxa"/>
            <w:left w:w="0" w:type="dxa"/>
            <w:bottom w:w="0" w:type="dxa"/>
            <w:right w:w="0" w:type="dxa"/>
          </w:tblCellMar>
        </w:tblPrEx>
        <w:trPr>
          <w:trHeight w:val="561"/>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国民经济</w:t>
            </w:r>
          </w:p>
          <w:p>
            <w:pPr>
              <w:adjustRightInd w:val="0"/>
              <w:snapToGrid w:val="0"/>
              <w:jc w:val="center"/>
              <w:rPr>
                <w:rFonts w:ascii="宋体" w:hAnsi="宋体" w:cs="宋体"/>
                <w:sz w:val="24"/>
              </w:rPr>
            </w:pPr>
            <w:r>
              <w:rPr>
                <w:rFonts w:ascii="宋体" w:hAnsi="宋体" w:cs="宋体" w:hint="eastAsia"/>
                <w:sz w:val="24"/>
              </w:rPr>
              <w:t>行业类别</w:t>
            </w:r>
          </w:p>
        </w:tc>
        <w:tc>
          <w:tcPr>
            <w:tcW w:w="2268" w:type="dxa"/>
            <w:gridSpan w:val="2"/>
            <w:vAlign w:val="center"/>
          </w:tcPr>
          <w:p>
            <w:pPr>
              <w:adjustRightInd w:val="0"/>
              <w:snapToGrid w:val="0"/>
              <w:jc w:val="center"/>
              <w:rPr>
                <w:rFonts w:ascii="宋体" w:hAnsi="宋体" w:cs="宋体"/>
                <w:sz w:val="24"/>
              </w:rPr>
            </w:pPr>
            <w:r>
              <w:rPr>
                <w:rFonts w:ascii="宋体" w:hAnsi="宋体" w:cs="宋体" w:hint="eastAsia"/>
                <w:sz w:val="24"/>
              </w:rPr>
              <w:t>G5990其他仓储业</w:t>
            </w:r>
          </w:p>
        </w:tc>
        <w:tc>
          <w:tcPr>
            <w:tcW w:w="1843" w:type="dxa"/>
            <w:vAlign w:val="center"/>
          </w:tcPr>
          <w:p>
            <w:pPr>
              <w:adjustRightInd w:val="0"/>
              <w:snapToGrid w:val="0"/>
              <w:jc w:val="center"/>
              <w:rPr>
                <w:rFonts w:ascii="宋体" w:hAnsi="宋体" w:cs="宋体"/>
                <w:sz w:val="24"/>
              </w:rPr>
            </w:pPr>
            <w:bookmarkStart w:id="2" w:name="_Hlk49843745"/>
            <w:r>
              <w:rPr>
                <w:rFonts w:ascii="宋体" w:hAnsi="宋体" w:cs="宋体" w:hint="eastAsia"/>
                <w:sz w:val="24"/>
              </w:rPr>
              <w:t>建设项目</w:t>
            </w:r>
          </w:p>
          <w:p>
            <w:pPr>
              <w:adjustRightInd w:val="0"/>
              <w:snapToGrid w:val="0"/>
              <w:jc w:val="center"/>
              <w:rPr>
                <w:rFonts w:ascii="宋体" w:hAnsi="宋体" w:cs="宋体"/>
                <w:sz w:val="24"/>
              </w:rPr>
            </w:pPr>
            <w:r>
              <w:rPr>
                <w:rFonts w:ascii="宋体" w:hAnsi="宋体" w:cs="宋体" w:hint="eastAsia"/>
                <w:sz w:val="24"/>
              </w:rPr>
              <w:t>行业类别</w:t>
            </w:r>
            <w:bookmarkEnd w:id="2"/>
          </w:p>
        </w:tc>
        <w:tc>
          <w:tcPr>
            <w:tcW w:w="2903" w:type="dxa"/>
            <w:gridSpan w:val="2"/>
            <w:vAlign w:val="center"/>
          </w:tcPr>
          <w:p>
            <w:pPr>
              <w:adjustRightInd w:val="0"/>
              <w:snapToGrid w:val="0"/>
              <w:rPr>
                <w:sz w:val="24"/>
              </w:rPr>
            </w:pPr>
            <w:r>
              <w:rPr>
                <w:sz w:val="24"/>
              </w:rPr>
              <w:t>四、煤炭开采和洗选业</w:t>
            </w:r>
            <w:r>
              <w:rPr>
                <w:rFonts w:hint="eastAsia"/>
                <w:sz w:val="24"/>
              </w:rPr>
              <w:t>06煤炭储存、集运</w:t>
            </w:r>
          </w:p>
        </w:tc>
      </w:tr>
      <w:tr>
        <w:tblPrEx>
          <w:tblW w:w="0" w:type="auto"/>
          <w:jc w:val="center"/>
          <w:tblCellMar>
            <w:top w:w="0" w:type="dxa"/>
            <w:left w:w="0" w:type="dxa"/>
            <w:bottom w:w="0" w:type="dxa"/>
            <w:right w:w="0" w:type="dxa"/>
          </w:tblCellMar>
        </w:tblPrEx>
        <w:trPr>
          <w:trHeight w:val="1219"/>
          <w:jc w:val="center"/>
        </w:trPr>
        <w:tc>
          <w:tcPr>
            <w:tcW w:w="1856"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建设性质</w:t>
            </w:r>
          </w:p>
        </w:tc>
        <w:tc>
          <w:tcPr>
            <w:tcW w:w="2268" w:type="dxa"/>
            <w:gridSpan w:val="2"/>
            <w:tcMar>
              <w:top w:w="16" w:type="dxa"/>
              <w:left w:w="17" w:type="dxa"/>
              <w:right w:w="17" w:type="dxa"/>
            </w:tcMar>
            <w:vAlign w:val="center"/>
          </w:tcPr>
          <w:p>
            <w:pPr>
              <w:jc w:val="left"/>
              <w:rPr>
                <w:rFonts w:ascii="宋体" w:hAnsi="宋体" w:cs="宋体"/>
                <w:sz w:val="24"/>
              </w:rPr>
            </w:pPr>
            <w:r>
              <w:rPr>
                <w:spacing w:val="12"/>
                <w:sz w:val="36"/>
                <w:szCs w:val="36"/>
              </w:rPr>
              <w:fldChar w:fldCharType="begin"/>
            </w:r>
            <w:r>
              <w:rPr>
                <w:spacing w:val="12"/>
                <w:sz w:val="36"/>
                <w:szCs w:val="36"/>
              </w:rPr>
              <w:instrText xml:space="preserve"> eq \o\ac(□,</w:instrText>
            </w:r>
            <w:r>
              <w:rPr>
                <w:spacing w:val="12"/>
                <w:position w:val="2"/>
                <w:sz w:val="36"/>
                <w:szCs w:val="36"/>
              </w:rPr>
              <w:instrText>√</w:instrText>
            </w:r>
            <w:r>
              <w:rPr>
                <w:spacing w:val="12"/>
                <w:sz w:val="36"/>
                <w:szCs w:val="36"/>
              </w:rPr>
              <w:instrText>)</w:instrText>
            </w:r>
            <w:r>
              <w:rPr>
                <w:spacing w:val="12"/>
                <w:sz w:val="36"/>
                <w:szCs w:val="36"/>
              </w:rPr>
              <w:fldChar w:fldCharType="separate"/>
            </w:r>
            <w:r>
              <w:rPr>
                <w:spacing w:val="12"/>
                <w:sz w:val="36"/>
                <w:szCs w:val="36"/>
              </w:rPr>
              <w:fldChar w:fldCharType="end"/>
            </w:r>
            <w:r>
              <w:rPr>
                <w:rFonts w:ascii="宋体" w:hAnsi="宋体" w:cs="宋体" w:hint="eastAsia"/>
                <w:sz w:val="24"/>
              </w:rPr>
              <w:t>新建（迁建）</w:t>
            </w:r>
          </w:p>
          <w:p>
            <w:pPr>
              <w:jc w:val="left"/>
              <w:rPr>
                <w:rFonts w:ascii="宋体" w:hAnsi="宋体" w:cs="宋体"/>
                <w:sz w:val="24"/>
              </w:rPr>
            </w:pPr>
            <w:r>
              <w:rPr>
                <w:rFonts w:ascii="宋体" w:hAnsi="宋体" w:cs="宋体" w:hint="eastAsia"/>
                <w:sz w:val="24"/>
              </w:rPr>
              <w:t>□改建</w:t>
            </w:r>
          </w:p>
          <w:p>
            <w:pPr>
              <w:jc w:val="left"/>
              <w:rPr>
                <w:rFonts w:ascii="宋体" w:hAnsi="宋体" w:cs="宋体"/>
                <w:sz w:val="24"/>
              </w:rPr>
            </w:pPr>
            <w:r>
              <w:rPr>
                <w:rFonts w:ascii="宋体" w:hAnsi="宋体" w:cs="宋体" w:hint="eastAsia"/>
                <w:sz w:val="24"/>
              </w:rPr>
              <w:t>□扩建</w:t>
            </w:r>
          </w:p>
          <w:p>
            <w:pPr>
              <w:jc w:val="left"/>
              <w:rPr>
                <w:rFonts w:ascii="宋体" w:hAnsi="宋体" w:cs="宋体"/>
                <w:sz w:val="24"/>
              </w:rPr>
            </w:pPr>
            <w:r>
              <w:rPr>
                <w:rFonts w:ascii="宋体" w:hAnsi="宋体" w:cs="宋体" w:hint="eastAsia"/>
                <w:sz w:val="24"/>
              </w:rPr>
              <w:t>□技术改造</w:t>
            </w:r>
          </w:p>
        </w:tc>
        <w:tc>
          <w:tcPr>
            <w:tcW w:w="1843" w:type="dxa"/>
            <w:tcMar>
              <w:top w:w="16" w:type="dxa"/>
              <w:left w:w="16" w:type="dxa"/>
              <w:right w:w="16" w:type="dxa"/>
            </w:tcMar>
            <w:vAlign w:val="center"/>
          </w:tcPr>
          <w:p>
            <w:pPr>
              <w:adjustRightInd w:val="0"/>
              <w:snapToGrid w:val="0"/>
              <w:jc w:val="center"/>
              <w:rPr>
                <w:rFonts w:ascii="宋体" w:hAnsi="宋体" w:cs="宋体"/>
                <w:sz w:val="24"/>
              </w:rPr>
            </w:pPr>
            <w:r>
              <w:rPr>
                <w:rFonts w:ascii="宋体" w:hAnsi="宋体" w:cs="宋体" w:hint="eastAsia"/>
                <w:sz w:val="24"/>
              </w:rPr>
              <w:t>建设项目</w:t>
            </w:r>
          </w:p>
          <w:p>
            <w:pPr>
              <w:adjustRightInd w:val="0"/>
              <w:snapToGrid w:val="0"/>
              <w:jc w:val="center"/>
              <w:rPr>
                <w:rFonts w:ascii="宋体" w:hAnsi="宋体" w:cs="宋体"/>
                <w:sz w:val="24"/>
              </w:rPr>
            </w:pPr>
            <w:r>
              <w:rPr>
                <w:rFonts w:ascii="宋体" w:hAnsi="宋体" w:cs="宋体" w:hint="eastAsia"/>
                <w:sz w:val="24"/>
              </w:rPr>
              <w:t>申报情形</w:t>
            </w:r>
          </w:p>
        </w:tc>
        <w:tc>
          <w:tcPr>
            <w:tcW w:w="2903" w:type="dxa"/>
            <w:gridSpan w:val="2"/>
            <w:tcMar>
              <w:top w:w="16" w:type="dxa"/>
              <w:left w:w="16" w:type="dxa"/>
              <w:right w:w="16" w:type="dxa"/>
            </w:tcMar>
            <w:vAlign w:val="center"/>
          </w:tcPr>
          <w:p>
            <w:pPr>
              <w:jc w:val="left"/>
              <w:rPr>
                <w:rFonts w:ascii="宋体" w:hAnsi="宋体" w:cs="宋体"/>
                <w:sz w:val="24"/>
              </w:rPr>
            </w:pPr>
            <w:r>
              <w:rPr>
                <w:spacing w:val="12"/>
                <w:sz w:val="36"/>
                <w:szCs w:val="36"/>
              </w:rPr>
              <w:fldChar w:fldCharType="begin"/>
            </w:r>
            <w:r>
              <w:rPr>
                <w:spacing w:val="12"/>
                <w:sz w:val="36"/>
                <w:szCs w:val="36"/>
              </w:rPr>
              <w:instrText xml:space="preserve"> eq \o\ac(□,</w:instrText>
            </w:r>
            <w:r>
              <w:rPr>
                <w:spacing w:val="12"/>
                <w:position w:val="2"/>
                <w:sz w:val="36"/>
                <w:szCs w:val="36"/>
              </w:rPr>
              <w:instrText>√</w:instrText>
            </w:r>
            <w:r>
              <w:rPr>
                <w:spacing w:val="12"/>
                <w:sz w:val="36"/>
                <w:szCs w:val="36"/>
              </w:rPr>
              <w:instrText>)</w:instrText>
            </w:r>
            <w:r>
              <w:rPr>
                <w:spacing w:val="12"/>
                <w:sz w:val="36"/>
                <w:szCs w:val="36"/>
              </w:rPr>
              <w:fldChar w:fldCharType="separate"/>
            </w:r>
            <w:r>
              <w:rPr>
                <w:spacing w:val="12"/>
                <w:sz w:val="36"/>
                <w:szCs w:val="36"/>
              </w:rPr>
              <w:fldChar w:fldCharType="end"/>
            </w:r>
            <w:r>
              <w:rPr>
                <w:rFonts w:ascii="宋体" w:hAnsi="宋体" w:cs="宋体" w:hint="eastAsia"/>
                <w:sz w:val="24"/>
              </w:rPr>
              <w:t>首次申报项目</w:t>
            </w:r>
          </w:p>
          <w:p>
            <w:pPr>
              <w:jc w:val="left"/>
              <w:rPr>
                <w:rFonts w:ascii="宋体" w:hAnsi="宋体" w:cs="宋体"/>
                <w:sz w:val="24"/>
              </w:rPr>
            </w:pPr>
            <w:r>
              <w:rPr>
                <w:rFonts w:ascii="宋体" w:hAnsi="宋体" w:cs="宋体" w:hint="eastAsia"/>
                <w:sz w:val="24"/>
              </w:rPr>
              <w:t>□不予批准后再次申报项目</w:t>
            </w:r>
          </w:p>
          <w:p>
            <w:pPr>
              <w:jc w:val="left"/>
              <w:rPr>
                <w:rFonts w:ascii="宋体" w:hAnsi="宋体" w:cs="宋体"/>
                <w:sz w:val="24"/>
              </w:rPr>
            </w:pPr>
            <w:r>
              <w:rPr>
                <w:rFonts w:ascii="Wingdings 2" w:hAnsi="Wingdings 2" w:cs="宋体"/>
                <w:sz w:val="24"/>
              </w:rPr>
              <w:sym w:font="Wingdings 2" w:char="F0A3"/>
            </w:r>
            <w:r>
              <w:rPr>
                <w:rFonts w:ascii="宋体" w:hAnsi="宋体" w:cs="宋体" w:hint="eastAsia"/>
                <w:sz w:val="24"/>
              </w:rPr>
              <w:t>超五年重新审核项目</w:t>
            </w:r>
          </w:p>
          <w:p>
            <w:pPr>
              <w:jc w:val="left"/>
              <w:rPr>
                <w:rFonts w:ascii="宋体" w:hAnsi="宋体" w:cs="宋体"/>
                <w:sz w:val="24"/>
              </w:rPr>
            </w:pPr>
            <w:r>
              <w:rPr>
                <w:rFonts w:ascii="宋体" w:hAnsi="宋体" w:cs="宋体" w:hint="eastAsia"/>
                <w:sz w:val="24"/>
              </w:rPr>
              <w:t>□重大变动重新报批项目</w:t>
            </w:r>
          </w:p>
        </w:tc>
      </w:tr>
      <w:tr>
        <w:tblPrEx>
          <w:tblW w:w="0" w:type="auto"/>
          <w:jc w:val="center"/>
          <w:tblCellMar>
            <w:top w:w="0" w:type="dxa"/>
            <w:left w:w="0" w:type="dxa"/>
            <w:bottom w:w="0" w:type="dxa"/>
            <w:right w:w="0" w:type="dxa"/>
          </w:tblCellMar>
        </w:tblPrEx>
        <w:trPr>
          <w:trHeight w:val="851"/>
          <w:jc w:val="center"/>
        </w:trPr>
        <w:tc>
          <w:tcPr>
            <w:tcW w:w="1856" w:type="dxa"/>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备案）部门（选填）</w:t>
            </w:r>
          </w:p>
        </w:tc>
        <w:tc>
          <w:tcPr>
            <w:tcW w:w="2268" w:type="dxa"/>
            <w:gridSpan w:val="2"/>
            <w:vAlign w:val="center"/>
          </w:tcPr>
          <w:p>
            <w:pPr>
              <w:adjustRightInd w:val="0"/>
              <w:snapToGrid w:val="0"/>
              <w:jc w:val="center"/>
              <w:rPr>
                <w:sz w:val="24"/>
              </w:rPr>
            </w:pPr>
            <w:r>
              <w:rPr>
                <w:sz w:val="24"/>
              </w:rPr>
              <w:t>澄城县发展和改革局</w:t>
            </w:r>
          </w:p>
        </w:tc>
        <w:tc>
          <w:tcPr>
            <w:tcW w:w="1843"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备案）文号（选填）</w:t>
            </w:r>
          </w:p>
        </w:tc>
        <w:tc>
          <w:tcPr>
            <w:tcW w:w="2903" w:type="dxa"/>
            <w:gridSpan w:val="2"/>
            <w:vAlign w:val="center"/>
          </w:tcPr>
          <w:p>
            <w:pPr>
              <w:adjustRightInd w:val="0"/>
              <w:snapToGrid w:val="0"/>
              <w:jc w:val="center"/>
              <w:rPr>
                <w:sz w:val="24"/>
              </w:rPr>
            </w:pPr>
            <w:r>
              <w:rPr>
                <w:rFonts w:hint="eastAsia"/>
                <w:sz w:val="24"/>
              </w:rPr>
              <w:t>2105</w:t>
            </w:r>
            <w:r>
              <w:rPr>
                <w:sz w:val="24"/>
              </w:rPr>
              <w:t>-6105</w:t>
            </w:r>
            <w:r>
              <w:rPr>
                <w:rFonts w:hint="eastAsia"/>
                <w:sz w:val="24"/>
              </w:rPr>
              <w:t>25</w:t>
            </w:r>
            <w:r>
              <w:rPr>
                <w:sz w:val="24"/>
              </w:rPr>
              <w:t>-04-01-</w:t>
            </w:r>
            <w:r>
              <w:rPr>
                <w:rFonts w:hint="eastAsia"/>
                <w:sz w:val="24"/>
              </w:rPr>
              <w:t>464383</w:t>
            </w:r>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sz w:val="24"/>
              </w:rPr>
            </w:pPr>
            <w:r>
              <w:rPr>
                <w:sz w:val="24"/>
              </w:rPr>
              <w:t>总投资（万元）</w:t>
            </w:r>
          </w:p>
        </w:tc>
        <w:tc>
          <w:tcPr>
            <w:tcW w:w="2268" w:type="dxa"/>
            <w:gridSpan w:val="2"/>
            <w:vAlign w:val="center"/>
          </w:tcPr>
          <w:p>
            <w:pPr>
              <w:adjustRightInd w:val="0"/>
              <w:snapToGrid w:val="0"/>
              <w:jc w:val="center"/>
              <w:rPr>
                <w:sz w:val="24"/>
              </w:rPr>
            </w:pPr>
            <w:r>
              <w:rPr>
                <w:rFonts w:hint="eastAsia"/>
                <w:sz w:val="24"/>
              </w:rPr>
              <w:t>30530</w:t>
            </w:r>
          </w:p>
        </w:tc>
        <w:tc>
          <w:tcPr>
            <w:tcW w:w="1843" w:type="dxa"/>
            <w:tcMar>
              <w:top w:w="16" w:type="dxa"/>
              <w:left w:w="16" w:type="dxa"/>
              <w:right w:w="16" w:type="dxa"/>
            </w:tcMar>
            <w:vAlign w:val="center"/>
          </w:tcPr>
          <w:p>
            <w:pPr>
              <w:adjustRightInd w:val="0"/>
              <w:snapToGrid w:val="0"/>
              <w:jc w:val="center"/>
              <w:rPr>
                <w:sz w:val="24"/>
              </w:rPr>
            </w:pPr>
            <w:r>
              <w:rPr>
                <w:sz w:val="24"/>
              </w:rPr>
              <w:t>环保投资（万元）</w:t>
            </w:r>
          </w:p>
        </w:tc>
        <w:tc>
          <w:tcPr>
            <w:tcW w:w="2903" w:type="dxa"/>
            <w:gridSpan w:val="2"/>
            <w:vAlign w:val="center"/>
          </w:tcPr>
          <w:p>
            <w:pPr>
              <w:adjustRightInd w:val="0"/>
              <w:snapToGrid w:val="0"/>
              <w:jc w:val="center"/>
              <w:rPr>
                <w:sz w:val="24"/>
              </w:rPr>
            </w:pPr>
            <w:r>
              <w:rPr>
                <w:rFonts w:hint="eastAsia"/>
                <w:kern w:val="0"/>
                <w:sz w:val="24"/>
                <w:szCs w:val="20"/>
              </w:rPr>
              <w:t>450</w:t>
            </w:r>
          </w:p>
        </w:tc>
      </w:tr>
    </w:tbl>
    <w:p>
      <w:pPr>
        <w:sectPr>
          <w:headerReference w:type="default" r:id="rId8"/>
          <w:footerReference w:type="default" r:id="rId9"/>
          <w:type w:val="nextPage"/>
          <w:pgSz w:w="11906" w:h="16838"/>
          <w:pgMar w:top="1701" w:right="1531" w:bottom="1701" w:left="1531" w:header="851" w:footer="1077" w:gutter="0"/>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856"/>
        <w:gridCol w:w="2268"/>
        <w:gridCol w:w="1843"/>
        <w:gridCol w:w="2903"/>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sz w:val="24"/>
              </w:rPr>
            </w:pPr>
            <w:r>
              <w:rPr>
                <w:sz w:val="24"/>
              </w:rPr>
              <w:t>环保投资占比（%）</w:t>
            </w:r>
          </w:p>
        </w:tc>
        <w:tc>
          <w:tcPr>
            <w:tcW w:w="2268" w:type="dxa"/>
            <w:vAlign w:val="center"/>
          </w:tcPr>
          <w:p>
            <w:pPr>
              <w:adjustRightInd w:val="0"/>
              <w:snapToGrid w:val="0"/>
              <w:jc w:val="center"/>
              <w:rPr>
                <w:sz w:val="24"/>
              </w:rPr>
            </w:pPr>
            <w:r>
              <w:rPr>
                <w:rFonts w:hint="eastAsia"/>
                <w:sz w:val="24"/>
              </w:rPr>
              <w:t>1.47</w:t>
            </w:r>
          </w:p>
        </w:tc>
        <w:tc>
          <w:tcPr>
            <w:tcW w:w="1843" w:type="dxa"/>
            <w:tcMar>
              <w:top w:w="16" w:type="dxa"/>
              <w:left w:w="16" w:type="dxa"/>
              <w:right w:w="16" w:type="dxa"/>
            </w:tcMar>
            <w:vAlign w:val="center"/>
          </w:tcPr>
          <w:p>
            <w:pPr>
              <w:adjustRightInd w:val="0"/>
              <w:snapToGrid w:val="0"/>
              <w:jc w:val="center"/>
              <w:rPr>
                <w:sz w:val="24"/>
              </w:rPr>
            </w:pPr>
            <w:r>
              <w:rPr>
                <w:sz w:val="24"/>
              </w:rPr>
              <w:t>施工工期</w:t>
            </w:r>
          </w:p>
        </w:tc>
        <w:tc>
          <w:tcPr>
            <w:tcW w:w="2903" w:type="dxa"/>
            <w:vAlign w:val="center"/>
          </w:tcPr>
          <w:p>
            <w:pPr>
              <w:adjustRightInd w:val="0"/>
              <w:snapToGrid w:val="0"/>
              <w:jc w:val="center"/>
              <w:rPr>
                <w:sz w:val="24"/>
              </w:rPr>
            </w:pPr>
            <w:r>
              <w:rPr>
                <w:rFonts w:hint="eastAsia"/>
                <w:sz w:val="24"/>
              </w:rPr>
              <w:t>24个月</w:t>
            </w:r>
          </w:p>
        </w:tc>
      </w:tr>
      <w:tr>
        <w:tblPrEx>
          <w:tblW w:w="0" w:type="auto"/>
          <w:jc w:val="center"/>
          <w:tblCellMar>
            <w:top w:w="0" w:type="dxa"/>
            <w:left w:w="0" w:type="dxa"/>
            <w:bottom w:w="0" w:type="dxa"/>
            <w:right w:w="0" w:type="dxa"/>
          </w:tblCellMar>
        </w:tblPrEx>
        <w:trPr>
          <w:trHeight w:val="497"/>
          <w:jc w:val="center"/>
        </w:trPr>
        <w:tc>
          <w:tcPr>
            <w:tcW w:w="1856" w:type="dxa"/>
            <w:tcMar>
              <w:top w:w="16" w:type="dxa"/>
              <w:left w:w="16" w:type="dxa"/>
              <w:right w:w="16" w:type="dxa"/>
            </w:tcMar>
            <w:vAlign w:val="center"/>
          </w:tcPr>
          <w:p>
            <w:pPr>
              <w:adjustRightInd w:val="0"/>
              <w:snapToGrid w:val="0"/>
              <w:jc w:val="center"/>
              <w:rPr>
                <w:sz w:val="24"/>
              </w:rPr>
            </w:pPr>
            <w:r>
              <w:rPr>
                <w:sz w:val="24"/>
              </w:rPr>
              <w:t>是否开工建设</w:t>
            </w:r>
          </w:p>
        </w:tc>
        <w:tc>
          <w:tcPr>
            <w:tcW w:w="2268" w:type="dxa"/>
            <w:vAlign w:val="center"/>
          </w:tcPr>
          <w:p>
            <w:pPr>
              <w:adjustRightInd w:val="0"/>
              <w:snapToGrid w:val="0"/>
              <w:rPr>
                <w:sz w:val="24"/>
              </w:rPr>
            </w:pPr>
            <w:r>
              <w:rPr>
                <w:spacing w:val="12"/>
                <w:sz w:val="36"/>
                <w:szCs w:val="36"/>
              </w:rPr>
              <w:fldChar w:fldCharType="begin"/>
            </w:r>
            <w:r>
              <w:rPr>
                <w:spacing w:val="12"/>
                <w:sz w:val="36"/>
                <w:szCs w:val="36"/>
              </w:rPr>
              <w:instrText xml:space="preserve"> eq \o\ac(□,</w:instrText>
            </w:r>
            <w:r>
              <w:rPr>
                <w:spacing w:val="12"/>
                <w:position w:val="2"/>
                <w:sz w:val="36"/>
                <w:szCs w:val="36"/>
              </w:rPr>
              <w:instrText>√</w:instrText>
            </w:r>
            <w:r>
              <w:rPr>
                <w:spacing w:val="12"/>
                <w:sz w:val="36"/>
                <w:szCs w:val="36"/>
              </w:rPr>
              <w:instrText>)</w:instrText>
            </w:r>
            <w:r>
              <w:rPr>
                <w:spacing w:val="12"/>
                <w:sz w:val="36"/>
                <w:szCs w:val="36"/>
              </w:rPr>
              <w:fldChar w:fldCharType="separate"/>
            </w:r>
            <w:r>
              <w:rPr>
                <w:spacing w:val="12"/>
                <w:sz w:val="36"/>
                <w:szCs w:val="36"/>
              </w:rPr>
              <w:fldChar w:fldCharType="end"/>
            </w:r>
            <w:r>
              <w:rPr>
                <w:sz w:val="24"/>
              </w:rPr>
              <w:t>否</w:t>
            </w:r>
          </w:p>
          <w:p>
            <w:pPr>
              <w:adjustRightInd w:val="0"/>
              <w:snapToGrid w:val="0"/>
              <w:rPr>
                <w:sz w:val="24"/>
              </w:rPr>
            </w:pPr>
            <w:r>
              <w:rPr>
                <w:rFonts w:ascii="Wingdings 2" w:hAnsi="Wingdings 2"/>
                <w:sz w:val="24"/>
              </w:rPr>
              <w:sym w:font="Wingdings 2" w:char="F0A3"/>
            </w:r>
            <w:r>
              <w:rPr>
                <w:sz w:val="24"/>
              </w:rPr>
              <w:t>是：</w:t>
            </w:r>
          </w:p>
        </w:tc>
        <w:tc>
          <w:tcPr>
            <w:tcW w:w="1843" w:type="dxa"/>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2903" w:type="dxa"/>
            <w:vAlign w:val="center"/>
          </w:tcPr>
          <w:p>
            <w:pPr>
              <w:adjustRightInd w:val="0"/>
              <w:snapToGrid w:val="0"/>
              <w:jc w:val="center"/>
              <w:rPr>
                <w:sz w:val="24"/>
              </w:rPr>
            </w:pPr>
            <w:r>
              <w:rPr>
                <w:sz w:val="24"/>
              </w:rPr>
              <w:t>98000</w:t>
            </w:r>
          </w:p>
        </w:tc>
      </w:tr>
      <w:tr>
        <w:tblPrEx>
          <w:tblW w:w="0" w:type="auto"/>
          <w:jc w:val="center"/>
          <w:tblCellMar>
            <w:top w:w="0" w:type="dxa"/>
            <w:left w:w="108" w:type="dxa"/>
            <w:bottom w:w="0" w:type="dxa"/>
            <w:right w:w="108" w:type="dxa"/>
          </w:tblCellMar>
        </w:tblPrEx>
        <w:trPr>
          <w:trHeight w:val="1021"/>
          <w:jc w:val="center"/>
        </w:trPr>
        <w:tc>
          <w:tcPr>
            <w:tcW w:w="1856" w:type="dxa"/>
            <w:vAlign w:val="center"/>
          </w:tcPr>
          <w:p>
            <w:pPr>
              <w:autoSpaceDE w:val="0"/>
              <w:autoSpaceDN w:val="0"/>
              <w:adjustRightInd w:val="0"/>
              <w:snapToGrid w:val="0"/>
              <w:jc w:val="center"/>
              <w:rPr>
                <w:rFonts w:ascii="宋体" w:hAnsi="宋体" w:cs="宋体"/>
                <w:kern w:val="0"/>
                <w:sz w:val="24"/>
              </w:rPr>
            </w:pPr>
            <w:r>
              <w:rPr>
                <w:rFonts w:ascii="宋体" w:hAnsi="宋体" w:cs="宋体" w:hint="eastAsia"/>
                <w:kern w:val="0"/>
                <w:sz w:val="24"/>
              </w:rPr>
              <w:t>专项评价设置情况</w:t>
            </w:r>
          </w:p>
        </w:tc>
        <w:tc>
          <w:tcPr>
            <w:tcW w:w="7014" w:type="dxa"/>
            <w:gridSpan w:val="3"/>
            <w:vAlign w:val="center"/>
          </w:tcPr>
          <w:p>
            <w:pPr>
              <w:autoSpaceDE w:val="0"/>
              <w:autoSpaceDN w:val="0"/>
              <w:adjustRightInd w:val="0"/>
              <w:snapToGrid w:val="0"/>
              <w:spacing w:line="360" w:lineRule="auto"/>
              <w:ind w:firstLine="480" w:firstLineChars="200"/>
              <w:jc w:val="center"/>
              <w:rPr>
                <w:rFonts w:ascii="宋体" w:hAnsi="宋体" w:cs="宋体"/>
                <w:kern w:val="0"/>
                <w:sz w:val="24"/>
              </w:rPr>
            </w:pPr>
            <w:r>
              <w:rPr>
                <w:rFonts w:ascii="宋体" w:hAnsi="宋体" w:cs="宋体" w:hint="eastAsia"/>
                <w:kern w:val="0"/>
                <w:sz w:val="24"/>
              </w:rPr>
              <w:t>无</w:t>
            </w:r>
          </w:p>
        </w:tc>
      </w:tr>
      <w:tr>
        <w:tblPrEx>
          <w:tblW w:w="0" w:type="auto"/>
          <w:jc w:val="center"/>
          <w:tblCellMar>
            <w:top w:w="0" w:type="dxa"/>
            <w:left w:w="108" w:type="dxa"/>
            <w:bottom w:w="0" w:type="dxa"/>
            <w:right w:w="108" w:type="dxa"/>
          </w:tblCellMar>
        </w:tblPrEx>
        <w:trPr>
          <w:trHeight w:val="420"/>
          <w:jc w:val="center"/>
        </w:trPr>
        <w:tc>
          <w:tcPr>
            <w:tcW w:w="1856" w:type="dxa"/>
            <w:vAlign w:val="center"/>
          </w:tcPr>
          <w:p>
            <w:pPr>
              <w:autoSpaceDE w:val="0"/>
              <w:autoSpaceDN w:val="0"/>
              <w:adjustRightInd w:val="0"/>
              <w:snapToGrid w:val="0"/>
              <w:jc w:val="center"/>
              <w:rPr>
                <w:rFonts w:ascii="宋体" w:hAnsi="宋体" w:cs="宋体"/>
                <w:kern w:val="0"/>
                <w:sz w:val="24"/>
              </w:rPr>
            </w:pPr>
            <w:r>
              <w:rPr>
                <w:rFonts w:ascii="宋体" w:hAnsi="宋体" w:cs="宋体" w:hint="eastAsia"/>
                <w:sz w:val="24"/>
              </w:rPr>
              <w:t>规划情况</w:t>
            </w:r>
          </w:p>
        </w:tc>
        <w:tc>
          <w:tcPr>
            <w:tcW w:w="7014" w:type="dxa"/>
            <w:gridSpan w:val="3"/>
            <w:vAlign w:val="center"/>
          </w:tcPr>
          <w:p>
            <w:pPr>
              <w:snapToGrid w:val="0"/>
              <w:ind w:firstLine="480" w:firstLineChars="200"/>
              <w:jc w:val="center"/>
              <w:rPr>
                <w:kern w:val="0"/>
                <w:sz w:val="24"/>
              </w:rPr>
            </w:pPr>
            <w:r>
              <w:rPr>
                <w:kern w:val="0"/>
                <w:sz w:val="24"/>
              </w:rPr>
              <w:t>无</w:t>
            </w:r>
          </w:p>
        </w:tc>
      </w:tr>
      <w:tr>
        <w:tblPrEx>
          <w:tblW w:w="0" w:type="auto"/>
          <w:jc w:val="center"/>
          <w:tblCellMar>
            <w:top w:w="0" w:type="dxa"/>
            <w:left w:w="108" w:type="dxa"/>
            <w:bottom w:w="0" w:type="dxa"/>
            <w:right w:w="108" w:type="dxa"/>
          </w:tblCellMar>
        </w:tblPrEx>
        <w:trPr>
          <w:trHeight w:val="1021"/>
          <w:jc w:val="center"/>
        </w:trPr>
        <w:tc>
          <w:tcPr>
            <w:tcW w:w="1856" w:type="dxa"/>
            <w:vAlign w:val="center"/>
          </w:tcPr>
          <w:p>
            <w:pPr>
              <w:adjustRightInd w:val="0"/>
              <w:snapToGrid w:val="0"/>
              <w:jc w:val="center"/>
              <w:rPr>
                <w:rFonts w:ascii="宋体" w:hAnsi="宋体" w:cs="宋体"/>
                <w:sz w:val="24"/>
              </w:rPr>
            </w:pPr>
            <w:r>
              <w:rPr>
                <w:rFonts w:ascii="宋体" w:hAnsi="宋体" w:cs="宋体" w:hint="eastAsia"/>
                <w:sz w:val="24"/>
              </w:rPr>
              <w:t>规划环境影响</w:t>
            </w:r>
          </w:p>
          <w:p>
            <w:pPr>
              <w:adjustRightInd w:val="0"/>
              <w:snapToGrid w:val="0"/>
              <w:jc w:val="center"/>
              <w:rPr>
                <w:rFonts w:ascii="宋体" w:hAnsi="宋体" w:cs="宋体"/>
                <w:kern w:val="0"/>
                <w:sz w:val="24"/>
              </w:rPr>
            </w:pPr>
            <w:r>
              <w:rPr>
                <w:rFonts w:ascii="宋体" w:hAnsi="宋体" w:cs="宋体" w:hint="eastAsia"/>
                <w:sz w:val="24"/>
              </w:rPr>
              <w:t>评价情况</w:t>
            </w:r>
          </w:p>
        </w:tc>
        <w:tc>
          <w:tcPr>
            <w:tcW w:w="7014" w:type="dxa"/>
            <w:gridSpan w:val="3"/>
            <w:vAlign w:val="center"/>
          </w:tcPr>
          <w:p>
            <w:pPr>
              <w:adjustRightInd w:val="0"/>
              <w:snapToGrid w:val="0"/>
              <w:ind w:firstLine="480" w:firstLineChars="200"/>
              <w:jc w:val="center"/>
              <w:rPr>
                <w:sz w:val="24"/>
              </w:rPr>
            </w:pPr>
            <w:r>
              <w:rPr>
                <w:sz w:val="24"/>
              </w:rPr>
              <w:t>无</w:t>
            </w:r>
          </w:p>
        </w:tc>
      </w:tr>
      <w:tr>
        <w:tblPrEx>
          <w:tblW w:w="0" w:type="auto"/>
          <w:jc w:val="center"/>
          <w:tblCellMar>
            <w:top w:w="0" w:type="dxa"/>
            <w:left w:w="108" w:type="dxa"/>
            <w:bottom w:w="0" w:type="dxa"/>
            <w:right w:w="108" w:type="dxa"/>
          </w:tblCellMar>
        </w:tblPrEx>
        <w:trPr>
          <w:trHeight w:val="1266"/>
          <w:jc w:val="center"/>
        </w:trPr>
        <w:tc>
          <w:tcPr>
            <w:tcW w:w="1856" w:type="dxa"/>
            <w:vAlign w:val="center"/>
          </w:tcPr>
          <w:p>
            <w:pPr>
              <w:autoSpaceDE w:val="0"/>
              <w:autoSpaceDN w:val="0"/>
              <w:adjustRightInd w:val="0"/>
              <w:snapToGrid w:val="0"/>
              <w:jc w:val="center"/>
              <w:rPr>
                <w:rFonts w:ascii="宋体" w:hAnsi="宋体" w:cs="宋体"/>
                <w:kern w:val="0"/>
                <w:sz w:val="24"/>
              </w:rPr>
            </w:pPr>
            <w:r>
              <w:rPr>
                <w:rFonts w:ascii="宋体" w:hAnsi="宋体" w:cs="宋体" w:hint="eastAsia"/>
                <w:kern w:val="0"/>
                <w:sz w:val="24"/>
              </w:rPr>
              <w:t>规划及规划环境</w:t>
            </w:r>
          </w:p>
          <w:p>
            <w:pPr>
              <w:autoSpaceDE w:val="0"/>
              <w:autoSpaceDN w:val="0"/>
              <w:adjustRightInd w:val="0"/>
              <w:snapToGrid w:val="0"/>
              <w:jc w:val="center"/>
              <w:rPr>
                <w:rFonts w:ascii="宋体" w:hAnsi="宋体" w:cs="宋体"/>
                <w:kern w:val="0"/>
                <w:sz w:val="24"/>
              </w:rPr>
            </w:pPr>
            <w:r>
              <w:rPr>
                <w:rFonts w:ascii="宋体" w:hAnsi="宋体" w:cs="宋体" w:hint="eastAsia"/>
                <w:kern w:val="0"/>
                <w:sz w:val="24"/>
              </w:rPr>
              <w:t>影响评价符合性分析</w:t>
            </w:r>
          </w:p>
        </w:tc>
        <w:tc>
          <w:tcPr>
            <w:tcW w:w="7014" w:type="dxa"/>
            <w:gridSpan w:val="3"/>
            <w:vAlign w:val="center"/>
          </w:tcPr>
          <w:p>
            <w:pPr>
              <w:autoSpaceDE w:val="0"/>
              <w:autoSpaceDN w:val="0"/>
              <w:adjustRightInd w:val="0"/>
              <w:snapToGrid w:val="0"/>
              <w:spacing w:before="120" w:beforeLines="50" w:line="360" w:lineRule="auto"/>
              <w:ind w:firstLine="480" w:firstLineChars="200"/>
              <w:jc w:val="center"/>
              <w:rPr>
                <w:kern w:val="0"/>
                <w:sz w:val="24"/>
              </w:rPr>
            </w:pPr>
            <w:r>
              <w:rPr>
                <w:kern w:val="0"/>
                <w:sz w:val="24"/>
              </w:rPr>
              <w:t>无</w:t>
            </w:r>
          </w:p>
        </w:tc>
      </w:tr>
      <w:tr>
        <w:tblPrEx>
          <w:tblW w:w="0" w:type="auto"/>
          <w:jc w:val="center"/>
          <w:tblCellMar>
            <w:top w:w="0" w:type="dxa"/>
            <w:left w:w="108" w:type="dxa"/>
            <w:bottom w:w="0" w:type="dxa"/>
            <w:right w:w="108" w:type="dxa"/>
          </w:tblCellMar>
        </w:tblPrEx>
        <w:trPr>
          <w:trHeight w:val="1021"/>
          <w:jc w:val="center"/>
        </w:trPr>
        <w:tc>
          <w:tcPr>
            <w:tcW w:w="1856" w:type="dxa"/>
            <w:vAlign w:val="center"/>
          </w:tcPr>
          <w:p>
            <w:pPr>
              <w:autoSpaceDE w:val="0"/>
              <w:autoSpaceDN w:val="0"/>
              <w:adjustRightInd w:val="0"/>
              <w:snapToGrid w:val="0"/>
              <w:jc w:val="center"/>
              <w:rPr>
                <w:rFonts w:ascii="宋体" w:hAnsi="宋体" w:cs="宋体"/>
                <w:kern w:val="0"/>
                <w:sz w:val="24"/>
              </w:rPr>
            </w:pPr>
            <w:r>
              <w:rPr>
                <w:rFonts w:ascii="宋体" w:hAnsi="宋体" w:cs="宋体" w:hint="eastAsia"/>
                <w:kern w:val="0"/>
                <w:sz w:val="24"/>
              </w:rPr>
              <w:t>其他符合性分析</w:t>
            </w:r>
          </w:p>
        </w:tc>
        <w:tc>
          <w:tcPr>
            <w:tcW w:w="7014" w:type="dxa"/>
            <w:gridSpan w:val="3"/>
            <w:vAlign w:val="center"/>
          </w:tcPr>
          <w:p>
            <w:pPr>
              <w:spacing w:line="360" w:lineRule="auto"/>
              <w:ind w:firstLine="480" w:firstLineChars="200"/>
              <w:jc w:val="left"/>
              <w:rPr>
                <w:b/>
                <w:bCs/>
                <w:sz w:val="24"/>
              </w:rPr>
            </w:pPr>
            <w:r>
              <w:rPr>
                <w:rFonts w:hint="eastAsia"/>
                <w:b/>
                <w:bCs/>
                <w:sz w:val="24"/>
              </w:rPr>
              <w:t>1、</w:t>
            </w:r>
            <w:r>
              <w:rPr>
                <w:b/>
                <w:bCs/>
                <w:sz w:val="24"/>
              </w:rPr>
              <w:t>产业政策符合性</w:t>
            </w:r>
          </w:p>
          <w:p>
            <w:pPr>
              <w:adjustRightInd w:val="0"/>
              <w:snapToGrid w:val="0"/>
              <w:spacing w:line="372" w:lineRule="auto"/>
              <w:ind w:firstLine="480" w:firstLineChars="200"/>
              <w:rPr>
                <w:sz w:val="24"/>
              </w:rPr>
            </w:pPr>
            <w:r>
              <w:rPr>
                <w:sz w:val="24"/>
              </w:rPr>
              <w:t>根据《产业结构调整指导目录》（201</w:t>
            </w:r>
            <w:r>
              <w:rPr>
                <w:rFonts w:hint="eastAsia"/>
                <w:sz w:val="24"/>
              </w:rPr>
              <w:t>9</w:t>
            </w:r>
            <w:r>
              <w:rPr>
                <w:sz w:val="24"/>
              </w:rPr>
              <w:t>年本），本项目不</w:t>
            </w:r>
            <w:r>
              <w:rPr>
                <w:rFonts w:hint="eastAsia"/>
                <w:sz w:val="24"/>
              </w:rPr>
              <w:t>属于其中的鼓励类、限制类和淘汰类，可视为允许类，项目符合国家产业政策。</w:t>
            </w:r>
            <w:r>
              <w:rPr>
                <w:sz w:val="24"/>
                <w:szCs w:val="20"/>
              </w:rPr>
              <w:t>项目已经由澄城县发展和改革局备案确认</w:t>
            </w:r>
            <w:r>
              <w:rPr>
                <w:rFonts w:hint="eastAsia"/>
                <w:kern w:val="0"/>
                <w:sz w:val="24"/>
                <w:szCs w:val="20"/>
              </w:rPr>
              <w:t>（项目备案确认书详见附件2）。</w:t>
            </w:r>
          </w:p>
          <w:p>
            <w:pPr>
              <w:autoSpaceDE w:val="0"/>
              <w:autoSpaceDN w:val="0"/>
              <w:spacing w:line="360" w:lineRule="auto"/>
              <w:ind w:firstLine="480" w:firstLineChars="200"/>
              <w:jc w:val="left"/>
              <w:rPr>
                <w:b/>
                <w:kern w:val="0"/>
                <w:sz w:val="24"/>
              </w:rPr>
            </w:pPr>
            <w:r>
              <w:rPr>
                <w:rFonts w:hint="eastAsia"/>
                <w:b/>
                <w:kern w:val="0"/>
                <w:sz w:val="24"/>
              </w:rPr>
              <w:t>2</w:t>
            </w:r>
            <w:r>
              <w:rPr>
                <w:b/>
                <w:kern w:val="0"/>
                <w:sz w:val="24"/>
              </w:rPr>
              <w:t>、与</w:t>
            </w:r>
            <w:r>
              <w:rPr>
                <w:rFonts w:hint="eastAsia"/>
                <w:b/>
                <w:kern w:val="0"/>
                <w:sz w:val="24"/>
              </w:rPr>
              <w:t>环保政策</w:t>
            </w:r>
            <w:r>
              <w:rPr>
                <w:b/>
                <w:kern w:val="0"/>
                <w:sz w:val="24"/>
              </w:rPr>
              <w:t>符合性分析</w:t>
            </w:r>
          </w:p>
          <w:p>
            <w:pPr>
              <w:spacing w:line="360" w:lineRule="auto"/>
              <w:ind w:firstLine="480" w:firstLineChars="200"/>
              <w:jc w:val="left"/>
              <w:rPr>
                <w:sz w:val="24"/>
              </w:rPr>
            </w:pPr>
            <w:r>
              <w:rPr>
                <w:sz w:val="24"/>
              </w:rPr>
              <w:t>本项目与环保政策相符性分析见表</w:t>
            </w:r>
            <w:r>
              <w:rPr>
                <w:rFonts w:hint="eastAsia"/>
                <w:sz w:val="24"/>
              </w:rPr>
              <w:t>1-1</w:t>
            </w:r>
            <w:r>
              <w:rPr>
                <w:sz w:val="24"/>
              </w:rPr>
              <w:t>。</w:t>
            </w:r>
          </w:p>
          <w:p>
            <w:pPr>
              <w:snapToGrid w:val="0"/>
              <w:jc w:val="center"/>
              <w:rPr>
                <w:b/>
                <w:sz w:val="24"/>
                <w:szCs w:val="20"/>
              </w:rPr>
            </w:pPr>
            <w:r>
              <w:rPr>
                <w:b/>
                <w:sz w:val="24"/>
                <w:szCs w:val="20"/>
              </w:rPr>
              <w:t>表</w:t>
            </w:r>
            <w:r>
              <w:rPr>
                <w:rFonts w:hint="eastAsia"/>
                <w:b/>
                <w:sz w:val="24"/>
                <w:szCs w:val="20"/>
              </w:rPr>
              <w:t>1-1</w:t>
            </w:r>
            <w:r>
              <w:rPr>
                <w:b/>
                <w:sz w:val="24"/>
                <w:szCs w:val="20"/>
              </w:rPr>
              <w:t>相关</w:t>
            </w:r>
            <w:r>
              <w:rPr>
                <w:rFonts w:hint="eastAsia"/>
                <w:b/>
                <w:sz w:val="24"/>
                <w:szCs w:val="20"/>
              </w:rPr>
              <w:t>环保政策</w:t>
            </w:r>
            <w:r>
              <w:rPr>
                <w:b/>
                <w:sz w:val="24"/>
                <w:szCs w:val="20"/>
              </w:rPr>
              <w:t>相符性分析一览表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
            <w:tblGrid>
              <w:gridCol w:w="1294"/>
              <w:gridCol w:w="3054"/>
              <w:gridCol w:w="1559"/>
              <w:gridCol w:w="861"/>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Ex>
              <w:trPr>
                <w:trHeight w:val="369"/>
                <w:jc w:val="center"/>
              </w:trPr>
              <w:tc>
                <w:tcPr>
                  <w:tcW w:w="956" w:type="pct"/>
                  <w:tcBorders>
                    <w:tl2br w:val="nil"/>
                    <w:tr2bl w:val="nil"/>
                  </w:tcBorders>
                  <w:tcMar>
                    <w:left w:w="28" w:type="dxa"/>
                    <w:right w:w="28" w:type="dxa"/>
                  </w:tcMar>
                  <w:vAlign w:val="center"/>
                </w:tcPr>
                <w:p>
                  <w:pPr>
                    <w:spacing w:line="240" w:lineRule="exact"/>
                    <w:jc w:val="center"/>
                    <w:rPr>
                      <w:szCs w:val="21"/>
                    </w:rPr>
                  </w:pPr>
                  <w:r>
                    <w:rPr>
                      <w:rFonts w:hAnsi="宋体"/>
                      <w:szCs w:val="21"/>
                    </w:rPr>
                    <w:t>政策名称</w:t>
                  </w:r>
                </w:p>
              </w:tc>
              <w:tc>
                <w:tcPr>
                  <w:tcW w:w="2256" w:type="pct"/>
                  <w:tcBorders>
                    <w:tl2br w:val="nil"/>
                    <w:tr2bl w:val="nil"/>
                  </w:tcBorders>
                  <w:tcMar>
                    <w:left w:w="28" w:type="dxa"/>
                    <w:right w:w="28" w:type="dxa"/>
                  </w:tcMar>
                  <w:vAlign w:val="center"/>
                </w:tcPr>
                <w:p>
                  <w:pPr>
                    <w:spacing w:line="240" w:lineRule="exact"/>
                    <w:jc w:val="center"/>
                    <w:rPr>
                      <w:szCs w:val="21"/>
                    </w:rPr>
                  </w:pPr>
                  <w:r>
                    <w:rPr>
                      <w:rFonts w:hAnsi="宋体"/>
                      <w:szCs w:val="21"/>
                    </w:rPr>
                    <w:t>政策相关内容</w:t>
                  </w:r>
                </w:p>
              </w:tc>
              <w:tc>
                <w:tcPr>
                  <w:tcW w:w="1152" w:type="pct"/>
                  <w:tcBorders>
                    <w:tl2br w:val="nil"/>
                    <w:tr2bl w:val="nil"/>
                  </w:tcBorders>
                  <w:tcMar>
                    <w:left w:w="28" w:type="dxa"/>
                    <w:right w:w="28" w:type="dxa"/>
                  </w:tcMar>
                  <w:vAlign w:val="center"/>
                </w:tcPr>
                <w:p>
                  <w:pPr>
                    <w:spacing w:line="240" w:lineRule="exact"/>
                    <w:jc w:val="center"/>
                    <w:rPr>
                      <w:szCs w:val="21"/>
                    </w:rPr>
                  </w:pPr>
                  <w:r>
                    <w:rPr>
                      <w:rFonts w:hAnsi="宋体"/>
                      <w:szCs w:val="21"/>
                    </w:rPr>
                    <w:t>本项目情况</w:t>
                  </w:r>
                </w:p>
              </w:tc>
              <w:tc>
                <w:tcPr>
                  <w:tcW w:w="636" w:type="pct"/>
                  <w:tcBorders>
                    <w:tl2br w:val="nil"/>
                    <w:tr2bl w:val="nil"/>
                  </w:tcBorders>
                  <w:tcMar>
                    <w:left w:w="28" w:type="dxa"/>
                    <w:right w:w="28" w:type="dxa"/>
                  </w:tcMar>
                  <w:vAlign w:val="center"/>
                </w:tcPr>
                <w:p>
                  <w:pPr>
                    <w:spacing w:line="240" w:lineRule="exact"/>
                    <w:jc w:val="center"/>
                    <w:rPr>
                      <w:szCs w:val="21"/>
                    </w:rPr>
                  </w:pPr>
                  <w:r>
                    <w:rPr>
                      <w:rFonts w:hAnsi="宋体"/>
                      <w:szCs w:val="21"/>
                    </w:rPr>
                    <w:t>符合性</w:t>
                  </w:r>
                </w:p>
              </w:tc>
            </w:tr>
            <w:tr>
              <w:tblPrEx>
                <w:tblW w:w="5000" w:type="pct"/>
                <w:jc w:val="center"/>
                <w:tblCellMar>
                  <w:top w:w="0" w:type="dxa"/>
                  <w:left w:w="28" w:type="dxa"/>
                  <w:bottom w:w="0" w:type="dxa"/>
                  <w:right w:w="28" w:type="dxa"/>
                </w:tblCellMar>
              </w:tblPrEx>
              <w:trPr>
                <w:trHeight w:val="369"/>
                <w:jc w:val="center"/>
              </w:trPr>
              <w:tc>
                <w:tcPr>
                  <w:tcW w:w="956" w:type="pct"/>
                  <w:tcBorders>
                    <w:tl2br w:val="nil"/>
                    <w:tr2bl w:val="nil"/>
                  </w:tcBorders>
                  <w:tcMar>
                    <w:left w:w="28" w:type="dxa"/>
                    <w:right w:w="28" w:type="dxa"/>
                  </w:tcMar>
                  <w:vAlign w:val="center"/>
                </w:tcPr>
                <w:p>
                  <w:pPr>
                    <w:spacing w:line="240" w:lineRule="exact"/>
                    <w:jc w:val="center"/>
                    <w:rPr>
                      <w:rFonts w:hAnsi="宋体"/>
                      <w:szCs w:val="21"/>
                    </w:rPr>
                  </w:pPr>
                  <w:r>
                    <w:rPr>
                      <w:rFonts w:hAnsi="宋体"/>
                      <w:szCs w:val="21"/>
                    </w:rPr>
                    <w:t>《关于做好</w:t>
                  </w:r>
                  <w:r>
                    <w:rPr>
                      <w:rFonts w:hAnsi="宋体" w:hint="eastAsia"/>
                      <w:szCs w:val="21"/>
                    </w:rPr>
                    <w:t>2021年煤炭储备能力建设工作的通知</w:t>
                  </w:r>
                  <w:r>
                    <w:rPr>
                      <w:rFonts w:hAnsi="宋体"/>
                      <w:szCs w:val="21"/>
                    </w:rPr>
                    <w:t>》（发改电</w:t>
                  </w:r>
                  <w:r>
                    <w:rPr>
                      <w:rFonts w:hAnsi="宋体" w:hint="eastAsia"/>
                      <w:szCs w:val="21"/>
                    </w:rPr>
                    <w:t>[2021]108号</w:t>
                  </w:r>
                  <w:r>
                    <w:rPr>
                      <w:rFonts w:hAnsi="宋体"/>
                      <w:szCs w:val="21"/>
                    </w:rPr>
                    <w:t>）</w:t>
                  </w:r>
                </w:p>
              </w:tc>
              <w:tc>
                <w:tcPr>
                  <w:tcW w:w="2256" w:type="pct"/>
                  <w:tcBorders>
                    <w:tl2br w:val="nil"/>
                    <w:tr2bl w:val="nil"/>
                  </w:tcBorders>
                  <w:tcMar>
                    <w:left w:w="28" w:type="dxa"/>
                    <w:right w:w="28" w:type="dxa"/>
                  </w:tcMar>
                  <w:vAlign w:val="center"/>
                </w:tcPr>
                <w:p>
                  <w:pPr>
                    <w:spacing w:line="240" w:lineRule="exact"/>
                    <w:jc w:val="center"/>
                    <w:rPr>
                      <w:rFonts w:hAnsi="宋体"/>
                      <w:szCs w:val="21"/>
                    </w:rPr>
                  </w:pPr>
                  <w:r>
                    <w:rPr>
                      <w:rFonts w:hAnsi="宋体" w:hint="eastAsia"/>
                      <w:szCs w:val="21"/>
                    </w:rPr>
                    <w:t>2021年，全国安排形成1.2亿吨以上的政府可调度煤炭储备能力。其中各省（区、市）承担6000万吨，陕西省储备能力新增</w:t>
                  </w:r>
                  <w:r>
                    <w:rPr>
                      <w:rFonts w:hAnsi="宋体"/>
                      <w:szCs w:val="21"/>
                    </w:rPr>
                    <w:t>300</w:t>
                  </w:r>
                  <w:r>
                    <w:rPr>
                      <w:rFonts w:hAnsi="宋体" w:hint="eastAsia"/>
                      <w:szCs w:val="21"/>
                    </w:rPr>
                    <w:t>万吨。</w:t>
                  </w:r>
                </w:p>
              </w:tc>
              <w:tc>
                <w:tcPr>
                  <w:tcW w:w="1152" w:type="pct"/>
                  <w:tcBorders>
                    <w:tl2br w:val="nil"/>
                    <w:tr2bl w:val="nil"/>
                  </w:tcBorders>
                  <w:tcMar>
                    <w:left w:w="28" w:type="dxa"/>
                    <w:right w:w="28" w:type="dxa"/>
                  </w:tcMar>
                  <w:vAlign w:val="center"/>
                </w:tcPr>
                <w:p>
                  <w:pPr>
                    <w:spacing w:line="240" w:lineRule="exact"/>
                    <w:jc w:val="center"/>
                    <w:rPr>
                      <w:rFonts w:hAnsi="宋体"/>
                      <w:szCs w:val="21"/>
                    </w:rPr>
                  </w:pPr>
                  <w:r>
                    <w:rPr>
                      <w:rFonts w:hAnsi="宋体"/>
                      <w:szCs w:val="21"/>
                    </w:rPr>
                    <w:t>本项目建设地点位于陕西省，属于煤炭储运项目。</w:t>
                  </w:r>
                </w:p>
              </w:tc>
              <w:tc>
                <w:tcPr>
                  <w:tcW w:w="636" w:type="pct"/>
                  <w:tcBorders>
                    <w:tl2br w:val="nil"/>
                    <w:tr2bl w:val="nil"/>
                  </w:tcBorders>
                  <w:tcMar>
                    <w:left w:w="28" w:type="dxa"/>
                    <w:right w:w="28" w:type="dxa"/>
                  </w:tcMar>
                  <w:vAlign w:val="center"/>
                </w:tcPr>
                <w:p>
                  <w:pPr>
                    <w:spacing w:line="240" w:lineRule="exact"/>
                    <w:jc w:val="center"/>
                    <w:rPr>
                      <w:rFonts w:hAnsi="宋体"/>
                      <w:szCs w:val="21"/>
                    </w:rPr>
                  </w:pPr>
                  <w:r>
                    <w:rPr>
                      <w:rFonts w:hAnsi="宋体"/>
                      <w:szCs w:val="21"/>
                    </w:rPr>
                    <w:t>符合</w:t>
                  </w:r>
                </w:p>
              </w:tc>
            </w:tr>
            <w:tr>
              <w:tblPrEx>
                <w:tblW w:w="5000" w:type="pct"/>
                <w:jc w:val="center"/>
                <w:tblCellMar>
                  <w:top w:w="0" w:type="dxa"/>
                  <w:left w:w="28" w:type="dxa"/>
                  <w:bottom w:w="0" w:type="dxa"/>
                  <w:right w:w="28" w:type="dxa"/>
                </w:tblCellMar>
              </w:tblPrEx>
              <w:trPr>
                <w:trHeight w:val="369"/>
                <w:jc w:val="center"/>
              </w:trPr>
              <w:tc>
                <w:tcPr>
                  <w:tcW w:w="956" w:type="pct"/>
                  <w:tcBorders>
                    <w:tl2br w:val="nil"/>
                    <w:tr2bl w:val="nil"/>
                  </w:tcBorders>
                  <w:tcMar>
                    <w:left w:w="28" w:type="dxa"/>
                    <w:right w:w="28" w:type="dxa"/>
                  </w:tcMar>
                  <w:vAlign w:val="center"/>
                </w:tcPr>
                <w:p>
                  <w:pPr>
                    <w:spacing w:after="0" w:line="240" w:lineRule="exact"/>
                    <w:jc w:val="center"/>
                    <w:rPr>
                      <w:rFonts w:hAnsi="宋体"/>
                      <w:szCs w:val="21"/>
                    </w:rPr>
                  </w:pPr>
                </w:p>
              </w:tc>
              <w:tc>
                <w:tcPr>
                  <w:tcW w:w="2256" w:type="pct"/>
                  <w:tcBorders>
                    <w:tl2br w:val="nil"/>
                    <w:tr2bl w:val="nil"/>
                  </w:tcBorders>
                  <w:tcMar>
                    <w:left w:w="28" w:type="dxa"/>
                    <w:right w:w="28" w:type="dxa"/>
                  </w:tcMar>
                  <w:vAlign w:val="center"/>
                </w:tcPr>
                <w:p>
                  <w:pPr>
                    <w:spacing w:after="0" w:line="240" w:lineRule="exact"/>
                    <w:jc w:val="center"/>
                    <w:rPr>
                      <w:rFonts w:hAnsi="宋体"/>
                      <w:szCs w:val="21"/>
                    </w:rPr>
                  </w:pPr>
                </w:p>
              </w:tc>
              <w:tc>
                <w:tcPr>
                  <w:tcW w:w="1152" w:type="pct"/>
                  <w:tcBorders>
                    <w:tl2br w:val="nil"/>
                    <w:tr2bl w:val="nil"/>
                  </w:tcBorders>
                  <w:tcMar>
                    <w:left w:w="28" w:type="dxa"/>
                    <w:right w:w="28" w:type="dxa"/>
                  </w:tcMar>
                  <w:vAlign w:val="center"/>
                </w:tcPr>
                <w:p>
                  <w:pPr>
                    <w:spacing w:after="0" w:line="240" w:lineRule="exact"/>
                    <w:jc w:val="center"/>
                    <w:rPr>
                      <w:rFonts w:hAnsi="宋体"/>
                      <w:szCs w:val="21"/>
                    </w:rPr>
                  </w:pPr>
                  <w:r>
                    <w:rPr>
                      <w:rFonts w:hAnsi="宋体"/>
                      <w:szCs w:val="21"/>
                    </w:rPr>
                    <w:t>本项目位于</w:t>
                  </w:r>
                  <w:r>
                    <w:rPr>
                      <w:rFonts w:hAnsi="宋体" w:hint="eastAsia"/>
                      <w:szCs w:val="21"/>
                    </w:rPr>
                    <w:t>尧头镇权家河村七组，</w:t>
                  </w:r>
                </w:p>
              </w:tc>
              <w:tc>
                <w:tcPr>
                  <w:tcW w:w="636" w:type="pct"/>
                  <w:tcBorders>
                    <w:tl2br w:val="nil"/>
                    <w:tr2bl w:val="nil"/>
                  </w:tcBorders>
                  <w:tcMar>
                    <w:left w:w="28" w:type="dxa"/>
                    <w:right w:w="28" w:type="dxa"/>
                  </w:tcMar>
                  <w:vAlign w:val="center"/>
                </w:tcPr>
                <w:p>
                  <w:pPr>
                    <w:spacing w:line="240" w:lineRule="exact"/>
                    <w:jc w:val="center"/>
                    <w:rPr>
                      <w:rFonts w:hAnsi="宋体"/>
                      <w:szCs w:val="21"/>
                    </w:rPr>
                  </w:pPr>
                  <w:r>
                    <w:rPr>
                      <w:rFonts w:hAnsi="宋体"/>
                      <w:szCs w:val="21"/>
                    </w:rPr>
                    <w:t>不符合</w:t>
                  </w:r>
                </w:p>
              </w:tc>
            </w:tr>
          </w:tbl>
          <w:p/>
        </w:tc>
      </w:tr>
    </w:tbl>
    <w:p>
      <w:pPr>
        <w:sectPr>
          <w:headerReference w:type="default" r:id="rId10"/>
          <w:footerReference w:type="default" r:id="rId11"/>
          <w:type w:val="nextPage"/>
          <w:pgSz w:w="11906" w:h="16838"/>
          <w:pgMar w:top="1701" w:right="1531" w:bottom="1701" w:left="1531" w:header="851" w:footer="1077" w:gutter="0"/>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856"/>
        <w:gridCol w:w="701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856" w:type="dxa"/>
            <w:vAlign w:val="center"/>
          </w:tcPr>
          <w:p/>
        </w:tc>
        <w:tc>
          <w:tcPr>
            <w:tcW w:w="7014" w:type="dxa"/>
            <w:vAlign w:val="center"/>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
            <w:tblGrid>
              <w:gridCol w:w="1294"/>
              <w:gridCol w:w="3054"/>
              <w:gridCol w:w="1559"/>
              <w:gridCol w:w="861"/>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Ex>
              <w:trPr>
                <w:trHeight w:val="369"/>
                <w:jc w:val="center"/>
              </w:trPr>
              <w:tc>
                <w:tcPr>
                  <w:tcW w:w="956" w:type="pct"/>
                  <w:tcBorders>
                    <w:tl2br w:val="nil"/>
                    <w:tr2bl w:val="nil"/>
                  </w:tcBorders>
                  <w:tcMar>
                    <w:left w:w="28" w:type="dxa"/>
                    <w:right w:w="28" w:type="dxa"/>
                  </w:tcMar>
                  <w:vAlign w:val="center"/>
                </w:tcPr>
                <w:p>
                  <w:pPr>
                    <w:spacing w:before="0" w:line="240" w:lineRule="exact"/>
                    <w:jc w:val="center"/>
                    <w:rPr>
                      <w:rFonts w:hAnsi="宋体"/>
                      <w:szCs w:val="21"/>
                    </w:rPr>
                  </w:pPr>
                  <w:r>
                    <w:rPr>
                      <w:rFonts w:hAnsi="宋体" w:hint="eastAsia"/>
                      <w:szCs w:val="21"/>
                    </w:rPr>
                    <w:t>《澄城县国土资源局关于在全县区域范围内设立新型堆煤场的实施方案》（澄政土发[2017]</w:t>
                  </w:r>
                  <w:r>
                    <w:rPr>
                      <w:rFonts w:hAnsi="宋体" w:hint="eastAsia"/>
                      <w:szCs w:val="21"/>
                    </w:rPr>
                    <w:t xml:space="preserve"> 68号）</w:t>
                  </w:r>
                </w:p>
              </w:tc>
              <w:tc>
                <w:tcPr>
                  <w:tcW w:w="2256" w:type="pct"/>
                  <w:tcBorders>
                    <w:tl2br w:val="nil"/>
                    <w:tr2bl w:val="nil"/>
                  </w:tcBorders>
                  <w:tcMar>
                    <w:left w:w="28" w:type="dxa"/>
                    <w:right w:w="28" w:type="dxa"/>
                  </w:tcMar>
                  <w:vAlign w:val="center"/>
                </w:tcPr>
                <w:p>
                  <w:pPr>
                    <w:spacing w:before="0" w:line="240" w:lineRule="exact"/>
                    <w:jc w:val="center"/>
                    <w:rPr>
                      <w:rFonts w:hAnsi="宋体"/>
                      <w:szCs w:val="21"/>
                    </w:rPr>
                  </w:pPr>
                  <w:r>
                    <w:rPr>
                      <w:rFonts w:hAnsi="宋体" w:hint="eastAsia"/>
                      <w:szCs w:val="21"/>
                    </w:rPr>
                    <w:t>尧头镇区域范围内设立3家大型煤炭堆煤场。分别设立在尧头镇段庄坡村以西1家（原鑫合煤业旧址）；蔺庄河韩家湾自然村1家；尧头村十组北红旗矿矿部南1家。</w:t>
                  </w:r>
                </w:p>
              </w:tc>
              <w:tc>
                <w:tcPr>
                  <w:tcW w:w="1152" w:type="pct"/>
                  <w:tcBorders>
                    <w:tl2br w:val="nil"/>
                    <w:tr2bl w:val="nil"/>
                  </w:tcBorders>
                  <w:tcMar>
                    <w:left w:w="28" w:type="dxa"/>
                    <w:right w:w="28" w:type="dxa"/>
                  </w:tcMar>
                  <w:vAlign w:val="center"/>
                </w:tcPr>
                <w:p>
                  <w:pPr>
                    <w:spacing w:before="0" w:line="240" w:lineRule="exact"/>
                    <w:jc w:val="center"/>
                    <w:rPr>
                      <w:rFonts w:hAnsi="宋体"/>
                      <w:szCs w:val="21"/>
                    </w:rPr>
                  </w:pPr>
                  <w:r>
                    <w:rPr>
                      <w:rFonts w:hAnsi="宋体"/>
                      <w:szCs w:val="21"/>
                    </w:rPr>
                    <w:t>不在定点建设区域内，但由于国家最新出台增加政府可调度煤炭储备能力的文件，本项目在完善各项手续之后建设可行。</w:t>
                  </w:r>
                </w:p>
              </w:tc>
              <w:tc>
                <w:tcPr>
                  <w:tcW w:w="636" w:type="pct"/>
                  <w:tcBorders>
                    <w:tl2br w:val="nil"/>
                    <w:tr2bl w:val="nil"/>
                  </w:tcBorders>
                  <w:tcMar>
                    <w:left w:w="28" w:type="dxa"/>
                    <w:right w:w="28" w:type="dxa"/>
                  </w:tcMar>
                  <w:vAlign w:val="center"/>
                </w:tcPr>
                <w:p/>
              </w:tc>
            </w:tr>
            <w:tr>
              <w:tblPrEx>
                <w:tblW w:w="5000" w:type="pct"/>
                <w:jc w:val="center"/>
                <w:tblCellMar>
                  <w:top w:w="0" w:type="dxa"/>
                  <w:left w:w="28" w:type="dxa"/>
                  <w:bottom w:w="0" w:type="dxa"/>
                  <w:right w:w="28" w:type="dxa"/>
                </w:tblCellMar>
              </w:tblPrEx>
              <w:trPr>
                <w:trHeight w:val="827"/>
                <w:jc w:val="center"/>
              </w:trPr>
              <w:tc>
                <w:tcPr>
                  <w:tcW w:w="956" w:type="pct"/>
                  <w:tcBorders>
                    <w:tl2br w:val="nil"/>
                    <w:tr2bl w:val="nil"/>
                  </w:tcBorders>
                  <w:tcMar>
                    <w:left w:w="28" w:type="dxa"/>
                    <w:right w:w="28" w:type="dxa"/>
                  </w:tcMar>
                  <w:vAlign w:val="center"/>
                </w:tcPr>
                <w:p>
                  <w:pPr>
                    <w:jc w:val="center"/>
                    <w:rPr>
                      <w:szCs w:val="21"/>
                    </w:rPr>
                  </w:pPr>
                  <w:r>
                    <w:rPr>
                      <w:szCs w:val="21"/>
                    </w:rPr>
                    <w:t>《</w:t>
                  </w:r>
                  <w:r>
                    <w:rPr>
                      <w:rFonts w:hint="eastAsia"/>
                      <w:szCs w:val="21"/>
                    </w:rPr>
                    <w:t>陕西省人民政府办公厅关于印发蓝天碧水净土保卫战2021年工作方案的通知》</w:t>
                  </w:r>
                  <w:r>
                    <w:rPr>
                      <w:szCs w:val="21"/>
                    </w:rPr>
                    <w:t>（</w:t>
                  </w:r>
                  <w:r>
                    <w:rPr>
                      <w:rFonts w:hint="eastAsia"/>
                      <w:szCs w:val="21"/>
                    </w:rPr>
                    <w:t>陕政办函〔2021〕100号</w:t>
                  </w:r>
                  <w:r>
                    <w:rPr>
                      <w:szCs w:val="21"/>
                    </w:rPr>
                    <w:t>）</w:t>
                  </w:r>
                </w:p>
              </w:tc>
              <w:tc>
                <w:tcPr>
                  <w:tcW w:w="2256" w:type="pct"/>
                  <w:tcBorders>
                    <w:tl2br w:val="nil"/>
                    <w:tr2bl w:val="nil"/>
                  </w:tcBorders>
                  <w:tcMar>
                    <w:left w:w="28" w:type="dxa"/>
                    <w:right w:w="28" w:type="dxa"/>
                  </w:tcMar>
                  <w:vAlign w:val="center"/>
                </w:tcPr>
                <w:p>
                  <w:pPr>
                    <w:rPr>
                      <w:szCs w:val="21"/>
                    </w:rPr>
                  </w:pPr>
                  <w:r>
                    <w:rPr>
                      <w:rFonts w:hint="eastAsia"/>
                      <w:szCs w:val="21"/>
                    </w:rPr>
                    <w:t>28.加强物料堆场扬尘管控。加强煤炭、商品混凝土、粉煤</w:t>
                  </w:r>
                </w:p>
                <w:p>
                  <w:pPr>
                    <w:rPr>
                      <w:szCs w:val="21"/>
                    </w:rPr>
                  </w:pPr>
                  <w:r>
                    <w:rPr>
                      <w:rFonts w:hint="eastAsia"/>
                      <w:szCs w:val="21"/>
                    </w:rPr>
                    <w:t>灰、矿石等工业企业物料堆场的围墙、喷淋、覆盖和围挡等防风抑尘措施，配套建设收尘和密封物料仓库建设。采用密闭输送设备作业的，必须在装卸时采用吸尘、喷淋防尘措施。严禁露天装卸作业和物料干法作业。</w:t>
                  </w:r>
                </w:p>
              </w:tc>
              <w:tc>
                <w:tcPr>
                  <w:tcW w:w="1152" w:type="pct"/>
                  <w:tcBorders>
                    <w:tl2br w:val="nil"/>
                    <w:tr2bl w:val="nil"/>
                  </w:tcBorders>
                  <w:tcMar>
                    <w:left w:w="28" w:type="dxa"/>
                    <w:right w:w="28" w:type="dxa"/>
                  </w:tcMar>
                  <w:vAlign w:val="center"/>
                </w:tcPr>
                <w:p>
                  <w:pPr>
                    <w:rPr>
                      <w:szCs w:val="21"/>
                    </w:rPr>
                  </w:pPr>
                  <w:r>
                    <w:rPr>
                      <w:szCs w:val="21"/>
                    </w:rPr>
                    <w:t>项目粉料装卸均在室内进行，并在各产尘工序采取除尘措施。</w:t>
                  </w:r>
                </w:p>
              </w:tc>
              <w:tc>
                <w:tcPr>
                  <w:tcW w:w="636" w:type="pct"/>
                  <w:tcBorders>
                    <w:tl2br w:val="nil"/>
                    <w:tr2bl w:val="nil"/>
                  </w:tcBorders>
                  <w:tcMar>
                    <w:left w:w="28" w:type="dxa"/>
                    <w:right w:w="28" w:type="dxa"/>
                  </w:tcMar>
                  <w:vAlign w:val="center"/>
                </w:tcPr>
                <w:p>
                  <w:pPr>
                    <w:spacing w:line="240" w:lineRule="exact"/>
                    <w:jc w:val="center"/>
                    <w:rPr>
                      <w:szCs w:val="21"/>
                    </w:rPr>
                  </w:pPr>
                  <w:r>
                    <w:rPr>
                      <w:szCs w:val="21"/>
                    </w:rPr>
                    <w:t>符合</w:t>
                  </w:r>
                </w:p>
              </w:tc>
            </w:tr>
            <w:tr>
              <w:tblPrEx>
                <w:tblW w:w="5000" w:type="pct"/>
                <w:jc w:val="center"/>
                <w:tblCellMar>
                  <w:top w:w="0" w:type="dxa"/>
                  <w:left w:w="28" w:type="dxa"/>
                  <w:bottom w:w="0" w:type="dxa"/>
                  <w:right w:w="28" w:type="dxa"/>
                </w:tblCellMar>
              </w:tblPrEx>
              <w:trPr>
                <w:trHeight w:val="827"/>
                <w:jc w:val="center"/>
              </w:trPr>
              <w:tc>
                <w:tcPr>
                  <w:tcW w:w="956" w:type="pct"/>
                  <w:tcBorders>
                    <w:tl2br w:val="nil"/>
                    <w:tr2bl w:val="nil"/>
                  </w:tcBorders>
                  <w:tcMar>
                    <w:left w:w="28" w:type="dxa"/>
                    <w:right w:w="28" w:type="dxa"/>
                  </w:tcMar>
                  <w:vAlign w:val="center"/>
                </w:tcPr>
                <w:p>
                  <w:pPr>
                    <w:adjustRightInd w:val="0"/>
                    <w:snapToGrid w:val="0"/>
                    <w:jc w:val="center"/>
                    <w:rPr>
                      <w:szCs w:val="21"/>
                    </w:rPr>
                  </w:pPr>
                  <w:r>
                    <w:rPr>
                      <w:bCs/>
                      <w:szCs w:val="21"/>
                    </w:rPr>
                    <w:t>《陕西省大气污染防治条例》（2019年修正）</w:t>
                  </w:r>
                </w:p>
              </w:tc>
              <w:tc>
                <w:tcPr>
                  <w:tcW w:w="2256" w:type="pct"/>
                  <w:tcBorders>
                    <w:tl2br w:val="nil"/>
                    <w:tr2bl w:val="nil"/>
                  </w:tcBorders>
                  <w:tcMar>
                    <w:left w:w="28" w:type="dxa"/>
                    <w:right w:w="28" w:type="dxa"/>
                  </w:tcMar>
                  <w:vAlign w:val="center"/>
                </w:tcPr>
                <w:p>
                  <w:pPr>
                    <w:adjustRightInd w:val="0"/>
                    <w:snapToGrid w:val="0"/>
                    <w:rPr>
                      <w:szCs w:val="21"/>
                    </w:rPr>
                  </w:pPr>
                  <w:r>
                    <w:rPr>
                      <w:bCs/>
                      <w:szCs w:val="21"/>
                    </w:rPr>
                    <w:t>第三章 防治措施 第五节 扬尘污染防治 第五十九条 堆存、装卸、运输煤炭、水泥、石灰、石膏、砂土、垃圾等易产生扬尘的作业，应当采取遮盖、封闭、喷淋、围挡等措施，防止抛洒、扬尘。</w:t>
                  </w:r>
                </w:p>
              </w:tc>
              <w:tc>
                <w:tcPr>
                  <w:tcW w:w="1152" w:type="pct"/>
                  <w:tcBorders>
                    <w:tl2br w:val="nil"/>
                    <w:tr2bl w:val="nil"/>
                  </w:tcBorders>
                  <w:tcMar>
                    <w:left w:w="28" w:type="dxa"/>
                    <w:right w:w="28" w:type="dxa"/>
                  </w:tcMar>
                  <w:vAlign w:val="center"/>
                </w:tcPr>
                <w:p>
                  <w:pPr>
                    <w:adjustRightInd w:val="0"/>
                    <w:snapToGrid w:val="0"/>
                    <w:jc w:val="left"/>
                    <w:rPr>
                      <w:szCs w:val="21"/>
                    </w:rPr>
                  </w:pPr>
                  <w:r>
                    <w:rPr>
                      <w:szCs w:val="21"/>
                    </w:rPr>
                    <w:t>本项目堆存与装卸均在室内进行，运输期间采取遮盖措施以防抛洒、扬尘。</w:t>
                  </w:r>
                </w:p>
              </w:tc>
              <w:tc>
                <w:tcPr>
                  <w:tcW w:w="636" w:type="pct"/>
                  <w:tcBorders>
                    <w:tl2br w:val="nil"/>
                    <w:tr2bl w:val="nil"/>
                  </w:tcBorders>
                  <w:tcMar>
                    <w:left w:w="28" w:type="dxa"/>
                    <w:right w:w="28" w:type="dxa"/>
                  </w:tcMar>
                  <w:vAlign w:val="center"/>
                </w:tcPr>
                <w:p>
                  <w:pPr>
                    <w:jc w:val="center"/>
                    <w:rPr>
                      <w:szCs w:val="21"/>
                    </w:rPr>
                  </w:pPr>
                  <w:r>
                    <w:rPr>
                      <w:szCs w:val="21"/>
                    </w:rPr>
                    <w:t>符合</w:t>
                  </w:r>
                </w:p>
              </w:tc>
            </w:tr>
            <w:tr>
              <w:tblPrEx>
                <w:tblW w:w="5000" w:type="pct"/>
                <w:jc w:val="center"/>
                <w:tblCellMar>
                  <w:top w:w="0" w:type="dxa"/>
                  <w:left w:w="28" w:type="dxa"/>
                  <w:bottom w:w="0" w:type="dxa"/>
                  <w:right w:w="28" w:type="dxa"/>
                </w:tblCellMar>
              </w:tblPrEx>
              <w:trPr>
                <w:trHeight w:val="827"/>
                <w:jc w:val="center"/>
              </w:trPr>
              <w:tc>
                <w:tcPr>
                  <w:tcW w:w="956" w:type="pct"/>
                  <w:vMerge w:val="restart"/>
                  <w:tcBorders>
                    <w:tl2br w:val="nil"/>
                    <w:tr2bl w:val="nil"/>
                  </w:tcBorders>
                  <w:tcMar>
                    <w:left w:w="28" w:type="dxa"/>
                    <w:right w:w="28" w:type="dxa"/>
                  </w:tcMar>
                  <w:vAlign w:val="center"/>
                </w:tcPr>
                <w:p>
                  <w:pPr>
                    <w:jc w:val="center"/>
                    <w:rPr>
                      <w:szCs w:val="21"/>
                      <w:u w:color="000000"/>
                    </w:rPr>
                  </w:pPr>
                  <w:r>
                    <w:rPr>
                      <w:rFonts w:hint="eastAsia"/>
                      <w:szCs w:val="21"/>
                      <w:u w:color="000000"/>
                    </w:rPr>
                    <w:t>《陕西省固体废物污染环境防治条例（2019年修正）》</w:t>
                  </w:r>
                </w:p>
              </w:tc>
              <w:tc>
                <w:tcPr>
                  <w:tcW w:w="2256" w:type="pct"/>
                  <w:tcBorders>
                    <w:tl2br w:val="nil"/>
                    <w:tr2bl w:val="nil"/>
                  </w:tcBorders>
                  <w:tcMar>
                    <w:left w:w="28" w:type="dxa"/>
                    <w:right w:w="28" w:type="dxa"/>
                  </w:tcMar>
                  <w:vAlign w:val="center"/>
                </w:tcPr>
                <w:p>
                  <w:pPr>
                    <w:rPr>
                      <w:szCs w:val="21"/>
                    </w:rPr>
                  </w:pPr>
                  <w:r>
                    <w:rPr>
                      <w:rFonts w:hint="eastAsia"/>
                      <w:szCs w:val="21"/>
                    </w:rPr>
                    <w:t>第十二条 产生、收集、贮存、运输、利用、处置固体废物的单位，应当采取符合技术规范、合格有效的防扬散、防流失、防渗漏或者其他防止污染环境的措施。任何单位和个人不得随意倾倒、堆放、丢弃、遗撒固体废物。</w:t>
                  </w:r>
                </w:p>
              </w:tc>
              <w:tc>
                <w:tcPr>
                  <w:tcW w:w="1152" w:type="pct"/>
                  <w:tcBorders>
                    <w:tl2br w:val="nil"/>
                    <w:tr2bl w:val="nil"/>
                  </w:tcBorders>
                  <w:tcMar>
                    <w:left w:w="28" w:type="dxa"/>
                    <w:right w:w="28" w:type="dxa"/>
                  </w:tcMar>
                  <w:vAlign w:val="center"/>
                </w:tcPr>
                <w:p>
                  <w:pPr>
                    <w:rPr>
                      <w:kern w:val="0"/>
                      <w:szCs w:val="21"/>
                    </w:rPr>
                  </w:pPr>
                  <w:r>
                    <w:rPr>
                      <w:kern w:val="0"/>
                      <w:szCs w:val="21"/>
                    </w:rPr>
                    <w:t>项目涉及固体废物的产生、收集、贮存环节，均采取合理措施防扬散、防流失、防渗漏，不会对周围环境造成不利影响。</w:t>
                  </w:r>
                </w:p>
              </w:tc>
              <w:tc>
                <w:tcPr>
                  <w:tcW w:w="636" w:type="pct"/>
                  <w:tcBorders>
                    <w:tl2br w:val="nil"/>
                    <w:tr2bl w:val="nil"/>
                  </w:tcBorders>
                  <w:tcMar>
                    <w:left w:w="28" w:type="dxa"/>
                    <w:right w:w="28" w:type="dxa"/>
                  </w:tcMar>
                  <w:vAlign w:val="center"/>
                </w:tcPr>
                <w:p>
                  <w:pPr>
                    <w:spacing w:line="240" w:lineRule="exact"/>
                    <w:jc w:val="center"/>
                    <w:rPr>
                      <w:szCs w:val="21"/>
                      <w:u w:color="000000"/>
                    </w:rPr>
                  </w:pPr>
                  <w:r>
                    <w:rPr>
                      <w:rFonts w:hint="eastAsia"/>
                      <w:szCs w:val="21"/>
                      <w:u w:color="000000"/>
                    </w:rPr>
                    <w:t>符合</w:t>
                  </w:r>
                </w:p>
              </w:tc>
            </w:tr>
            <w:tr>
              <w:tblPrEx>
                <w:tblW w:w="5000" w:type="pct"/>
                <w:jc w:val="center"/>
                <w:tblCellMar>
                  <w:top w:w="0" w:type="dxa"/>
                  <w:left w:w="28" w:type="dxa"/>
                  <w:bottom w:w="0" w:type="dxa"/>
                  <w:right w:w="28" w:type="dxa"/>
                </w:tblCellMar>
              </w:tblPrEx>
              <w:trPr>
                <w:trHeight w:val="827"/>
                <w:jc w:val="center"/>
              </w:trPr>
              <w:tc>
                <w:tcPr>
                  <w:tcW w:w="956" w:type="pct"/>
                  <w:vMerge/>
                  <w:tcBorders>
                    <w:tl2br w:val="nil"/>
                    <w:tr2bl w:val="nil"/>
                  </w:tcBorders>
                  <w:tcMar>
                    <w:left w:w="28" w:type="dxa"/>
                    <w:right w:w="28" w:type="dxa"/>
                  </w:tcMar>
                  <w:vAlign w:val="center"/>
                </w:tcPr>
                <w:p>
                  <w:pPr>
                    <w:jc w:val="center"/>
                    <w:rPr>
                      <w:szCs w:val="21"/>
                      <w:u w:color="000000"/>
                    </w:rPr>
                  </w:pPr>
                </w:p>
              </w:tc>
              <w:tc>
                <w:tcPr>
                  <w:tcW w:w="2256" w:type="pct"/>
                  <w:tcBorders>
                    <w:tl2br w:val="nil"/>
                    <w:tr2bl w:val="nil"/>
                  </w:tcBorders>
                  <w:tcMar>
                    <w:left w:w="28" w:type="dxa"/>
                    <w:right w:w="28" w:type="dxa"/>
                  </w:tcMar>
                  <w:vAlign w:val="center"/>
                </w:tcPr>
                <w:p>
                  <w:pPr>
                    <w:rPr>
                      <w:szCs w:val="21"/>
                    </w:rPr>
                  </w:pPr>
                  <w:r>
                    <w:rPr>
                      <w:rFonts w:hint="eastAsia"/>
                      <w:szCs w:val="21"/>
                    </w:rPr>
                    <w:t>第十六条 产生工业固体废物的建设项目，应当按照环境影响评价文件和项目设计要求配备建设相应的固体废物贮存设施。企业自行利用或者处置固体废物的，其利用或者处置设施和技术工艺应当符合环境保护要求。</w:t>
                  </w:r>
                </w:p>
              </w:tc>
              <w:tc>
                <w:tcPr>
                  <w:tcW w:w="1152" w:type="pct"/>
                  <w:tcBorders>
                    <w:tl2br w:val="nil"/>
                    <w:tr2bl w:val="nil"/>
                  </w:tcBorders>
                  <w:tcMar>
                    <w:left w:w="28" w:type="dxa"/>
                    <w:right w:w="28" w:type="dxa"/>
                  </w:tcMar>
                  <w:vAlign w:val="center"/>
                </w:tcPr>
                <w:p>
                  <w:pPr>
                    <w:rPr>
                      <w:kern w:val="0"/>
                      <w:szCs w:val="21"/>
                    </w:rPr>
                  </w:pPr>
                  <w:r>
                    <w:rPr>
                      <w:kern w:val="0"/>
                      <w:szCs w:val="21"/>
                    </w:rPr>
                    <w:t>项目产生一般固废</w:t>
                  </w:r>
                  <w:r>
                    <w:rPr>
                      <w:rFonts w:hint="eastAsia"/>
                      <w:kern w:val="0"/>
                      <w:szCs w:val="21"/>
                    </w:rPr>
                    <w:t>（煤渣）</w:t>
                  </w:r>
                  <w:r>
                    <w:rPr>
                      <w:kern w:val="0"/>
                      <w:szCs w:val="21"/>
                    </w:rPr>
                    <w:t>可</w:t>
                  </w:r>
                  <w:r>
                    <w:rPr>
                      <w:rFonts w:hint="eastAsia"/>
                      <w:kern w:val="0"/>
                      <w:szCs w:val="21"/>
                    </w:rPr>
                    <w:t>回用至封闭式储煤场</w:t>
                  </w:r>
                  <w:r>
                    <w:rPr>
                      <w:kern w:val="0"/>
                      <w:szCs w:val="21"/>
                    </w:rPr>
                    <w:t>；项目产生的危险废物暂存危废间，定期交由有资质的单位处置。</w:t>
                  </w:r>
                </w:p>
              </w:tc>
              <w:tc>
                <w:tcPr>
                  <w:tcW w:w="636" w:type="pct"/>
                  <w:tcBorders>
                    <w:tl2br w:val="nil"/>
                    <w:tr2bl w:val="nil"/>
                  </w:tcBorders>
                  <w:tcMar>
                    <w:left w:w="28" w:type="dxa"/>
                    <w:right w:w="28" w:type="dxa"/>
                  </w:tcMar>
                  <w:vAlign w:val="center"/>
                </w:tcPr>
                <w:p>
                  <w:pPr>
                    <w:spacing w:line="240" w:lineRule="exact"/>
                    <w:jc w:val="center"/>
                    <w:rPr>
                      <w:szCs w:val="21"/>
                      <w:u w:color="000000"/>
                    </w:rPr>
                  </w:pPr>
                  <w:r>
                    <w:rPr>
                      <w:rFonts w:hint="eastAsia"/>
                      <w:szCs w:val="21"/>
                      <w:u w:color="000000"/>
                    </w:rPr>
                    <w:t>符合</w:t>
                  </w:r>
                </w:p>
              </w:tc>
            </w:tr>
            <w:tr>
              <w:tblPrEx>
                <w:tblW w:w="5000" w:type="pct"/>
                <w:jc w:val="center"/>
                <w:tblCellMar>
                  <w:top w:w="0" w:type="dxa"/>
                  <w:left w:w="28" w:type="dxa"/>
                  <w:bottom w:w="0" w:type="dxa"/>
                  <w:right w:w="28" w:type="dxa"/>
                </w:tblCellMar>
              </w:tblPrEx>
              <w:trPr>
                <w:trHeight w:val="827"/>
                <w:jc w:val="center"/>
              </w:trPr>
              <w:tc>
                <w:tcPr>
                  <w:tcW w:w="956" w:type="pct"/>
                  <w:tcBorders>
                    <w:tl2br w:val="nil"/>
                    <w:tr2bl w:val="nil"/>
                  </w:tcBorders>
                  <w:tcMar>
                    <w:left w:w="28" w:type="dxa"/>
                    <w:right w:w="28" w:type="dxa"/>
                  </w:tcMar>
                  <w:vAlign w:val="center"/>
                </w:tcPr>
                <w:p>
                  <w:pPr>
                    <w:spacing w:after="0"/>
                    <w:jc w:val="center"/>
                    <w:rPr>
                      <w:szCs w:val="21"/>
                    </w:rPr>
                  </w:pPr>
                  <w:r>
                    <w:rPr>
                      <w:szCs w:val="21"/>
                    </w:rPr>
                    <w:t>《</w:t>
                  </w:r>
                </w:p>
              </w:tc>
              <w:tc>
                <w:tcPr>
                  <w:tcW w:w="2256" w:type="pct"/>
                  <w:tcBorders>
                    <w:tl2br w:val="nil"/>
                    <w:tr2bl w:val="nil"/>
                  </w:tcBorders>
                  <w:tcMar>
                    <w:left w:w="28" w:type="dxa"/>
                    <w:right w:w="28" w:type="dxa"/>
                  </w:tcMar>
                  <w:vAlign w:val="center"/>
                </w:tcPr>
                <w:p>
                  <w:pPr>
                    <w:spacing w:after="0"/>
                  </w:pPr>
                </w:p>
              </w:tc>
              <w:tc>
                <w:tcPr>
                  <w:tcW w:w="1152" w:type="pct"/>
                  <w:tcBorders>
                    <w:tl2br w:val="nil"/>
                    <w:tr2bl w:val="nil"/>
                  </w:tcBorders>
                  <w:tcMar>
                    <w:left w:w="28" w:type="dxa"/>
                    <w:right w:w="28" w:type="dxa"/>
                  </w:tcMar>
                  <w:vAlign w:val="center"/>
                </w:tcPr>
                <w:p>
                  <w:pPr>
                    <w:spacing w:after="0"/>
                    <w:rPr>
                      <w:szCs w:val="21"/>
                    </w:rPr>
                  </w:pPr>
                </w:p>
              </w:tc>
              <w:tc>
                <w:tcPr>
                  <w:tcW w:w="636" w:type="pct"/>
                  <w:tcBorders>
                    <w:tl2br w:val="nil"/>
                    <w:tr2bl w:val="nil"/>
                  </w:tcBorders>
                  <w:tcMar>
                    <w:left w:w="28" w:type="dxa"/>
                    <w:right w:w="28" w:type="dxa"/>
                  </w:tcMar>
                  <w:vAlign w:val="center"/>
                </w:tcPr>
                <w:p>
                  <w:pPr>
                    <w:spacing w:line="240" w:lineRule="exact"/>
                    <w:jc w:val="center"/>
                    <w:rPr>
                      <w:szCs w:val="21"/>
                      <w:u w:color="000000"/>
                    </w:rPr>
                  </w:pPr>
                  <w:r>
                    <w:rPr>
                      <w:szCs w:val="21"/>
                      <w:u w:color="000000"/>
                    </w:rPr>
                    <w:t>符合</w:t>
                  </w:r>
                </w:p>
              </w:tc>
            </w:tr>
          </w:tbl>
          <w:p/>
        </w:tc>
      </w:tr>
    </w:tbl>
    <w:p>
      <w:pPr>
        <w:sectPr>
          <w:headerReference w:type="default" r:id="rId12"/>
          <w:footerReference w:type="default" r:id="rId13"/>
          <w:type w:val="nextPage"/>
          <w:pgSz w:w="11906" w:h="16838"/>
          <w:pgMar w:top="1701" w:right="1531" w:bottom="1701" w:left="1531" w:header="851" w:footer="1077" w:gutter="0"/>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856"/>
        <w:gridCol w:w="701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856" w:type="dxa"/>
            <w:vAlign w:val="center"/>
          </w:tcPr>
          <w:p/>
        </w:tc>
        <w:tc>
          <w:tcPr>
            <w:tcW w:w="7014" w:type="dxa"/>
            <w:vAlign w:val="center"/>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
            <w:tblGrid>
              <w:gridCol w:w="1294"/>
              <w:gridCol w:w="3054"/>
              <w:gridCol w:w="1559"/>
              <w:gridCol w:w="861"/>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2" w:space="0" w:color="auto"/>
                </w:tblBorders>
                <w:tblCellMar>
                  <w:top w:w="0" w:type="dxa"/>
                  <w:left w:w="28" w:type="dxa"/>
                  <w:bottom w:w="0" w:type="dxa"/>
                  <w:right w:w="28" w:type="dxa"/>
                </w:tblCellMar>
              </w:tblPrEx>
              <w:trPr>
                <w:trHeight w:val="827"/>
                <w:jc w:val="center"/>
              </w:trPr>
              <w:tc>
                <w:tcPr>
                  <w:tcW w:w="956" w:type="pct"/>
                  <w:tcBorders>
                    <w:tl2br w:val="nil"/>
                    <w:tr2bl w:val="nil"/>
                  </w:tcBorders>
                  <w:tcMar>
                    <w:left w:w="28" w:type="dxa"/>
                    <w:right w:w="28" w:type="dxa"/>
                  </w:tcMar>
                  <w:vAlign w:val="center"/>
                </w:tcPr>
                <w:p>
                  <w:pPr>
                    <w:spacing w:before="0"/>
                    <w:jc w:val="center"/>
                    <w:rPr>
                      <w:szCs w:val="21"/>
                    </w:rPr>
                  </w:pPr>
                  <w:r>
                    <w:rPr>
                      <w:rFonts w:hint="eastAsia"/>
                      <w:szCs w:val="21"/>
                    </w:rPr>
                    <w:t>渭南市国民经济和社会发展第十四个五年规划和二〇三五年远景目标纲要</w:t>
                  </w:r>
                  <w:r>
                    <w:rPr>
                      <w:szCs w:val="21"/>
                    </w:rPr>
                    <w:t>》渭</w:t>
                  </w:r>
                  <w:r>
                    <w:rPr>
                      <w:rFonts w:hint="eastAsia"/>
                      <w:szCs w:val="21"/>
                    </w:rPr>
                    <w:t>政发〔2021〕11号</w:t>
                  </w:r>
                  <w:r>
                    <w:rPr>
                      <w:szCs w:val="21"/>
                    </w:rPr>
                    <w:t>）</w:t>
                  </w:r>
                </w:p>
              </w:tc>
              <w:tc>
                <w:tcPr>
                  <w:tcW w:w="2256" w:type="pct"/>
                  <w:tcBorders>
                    <w:tl2br w:val="nil"/>
                    <w:tr2bl w:val="nil"/>
                  </w:tcBorders>
                  <w:tcMar>
                    <w:left w:w="28" w:type="dxa"/>
                    <w:right w:w="28" w:type="dxa"/>
                  </w:tcMar>
                  <w:vAlign w:val="center"/>
                </w:tcPr>
                <w:p>
                  <w:pPr>
                    <w:spacing w:before="0"/>
                  </w:pPr>
                  <w:r>
                    <w:rPr>
                      <w:rFonts w:hint="eastAsia"/>
                    </w:rPr>
                    <w:t>全面推进大气污染防治。积极应对气候变化，调整优化产业、能源、运输和用地结构，做好碳达峰、碳中和工作，有效控制温室气体排放。以持续改善大气环境质量为核心，深入开展汾渭平原及关中地区大气污染联防联控行动，加强重点行业污染治理和超低排放改造，减少污染物排放。狠抓工业污染源减排，重点开展钢铁、焦化、建材等行业超低排放改造，加强工业炉窑综合整治和煤炭清洁利用，推进挥发性有机物污染防治。</w:t>
                  </w:r>
                </w:p>
              </w:tc>
              <w:tc>
                <w:tcPr>
                  <w:tcW w:w="1152" w:type="pct"/>
                  <w:tcBorders>
                    <w:tl2br w:val="nil"/>
                    <w:tr2bl w:val="nil"/>
                  </w:tcBorders>
                  <w:tcMar>
                    <w:left w:w="28" w:type="dxa"/>
                    <w:right w:w="28" w:type="dxa"/>
                  </w:tcMar>
                  <w:vAlign w:val="center"/>
                </w:tcPr>
                <w:p>
                  <w:pPr>
                    <w:spacing w:before="0"/>
                    <w:rPr>
                      <w:szCs w:val="21"/>
                    </w:rPr>
                  </w:pPr>
                  <w:r>
                    <w:rPr>
                      <w:rFonts w:hint="eastAsia"/>
                      <w:szCs w:val="21"/>
                    </w:rPr>
                    <w:t>本项目废气满足《大气污染物综合排放标准》限值要求，经处理后对外界周围环境影响较小。</w:t>
                  </w:r>
                </w:p>
              </w:tc>
              <w:tc>
                <w:tcPr>
                  <w:tcW w:w="636" w:type="pct"/>
                  <w:tcBorders>
                    <w:tl2br w:val="nil"/>
                    <w:tr2bl w:val="nil"/>
                  </w:tcBorders>
                  <w:tcMar>
                    <w:left w:w="28" w:type="dxa"/>
                    <w:right w:w="28" w:type="dxa"/>
                  </w:tcMar>
                  <w:vAlign w:val="center"/>
                </w:tcPr>
                <w:p/>
              </w:tc>
            </w:tr>
          </w:tbl>
          <w:p>
            <w:pPr>
              <w:spacing w:before="120" w:beforeLines="50" w:line="360" w:lineRule="auto"/>
              <w:ind w:firstLine="480" w:firstLineChars="200"/>
              <w:jc w:val="left"/>
              <w:rPr>
                <w:sz w:val="24"/>
              </w:rPr>
            </w:pPr>
            <w:r>
              <w:rPr>
                <w:rFonts w:hint="eastAsia"/>
                <w:sz w:val="24"/>
              </w:rPr>
              <w:t>因此</w:t>
            </w:r>
            <w:r>
              <w:rPr>
                <w:sz w:val="24"/>
              </w:rPr>
              <w:t>，本项目符合</w:t>
            </w:r>
            <w:r>
              <w:rPr>
                <w:rFonts w:hint="eastAsia"/>
                <w:sz w:val="24"/>
              </w:rPr>
              <w:t>相关环保政策</w:t>
            </w:r>
            <w:r>
              <w:rPr>
                <w:sz w:val="24"/>
              </w:rPr>
              <w:t>要求。</w:t>
            </w:r>
          </w:p>
          <w:p>
            <w:pPr>
              <w:spacing w:before="120" w:beforeLines="50" w:line="360" w:lineRule="auto"/>
              <w:ind w:firstLine="480" w:firstLineChars="200"/>
              <w:jc w:val="left"/>
              <w:rPr>
                <w:sz w:val="24"/>
              </w:rPr>
            </w:pPr>
            <w:r>
              <w:rPr>
                <w:rFonts w:hint="eastAsia"/>
                <w:sz w:val="24"/>
              </w:rPr>
              <w:t>本项目与“三线一单”符合性分析见表1-2。</w:t>
            </w:r>
          </w:p>
          <w:p>
            <w:pPr>
              <w:snapToGrid w:val="0"/>
              <w:jc w:val="center"/>
              <w:rPr>
                <w:b/>
                <w:sz w:val="24"/>
                <w:szCs w:val="20"/>
              </w:rPr>
            </w:pPr>
            <w:r>
              <w:rPr>
                <w:b/>
                <w:sz w:val="24"/>
                <w:szCs w:val="20"/>
              </w:rPr>
              <w:t>表</w:t>
            </w:r>
            <w:r>
              <w:rPr>
                <w:rFonts w:hint="eastAsia"/>
                <w:b/>
                <w:sz w:val="24"/>
                <w:szCs w:val="20"/>
              </w:rPr>
              <w:t>1-2“三线一单”</w:t>
            </w:r>
            <w:r>
              <w:rPr>
                <w:b/>
                <w:sz w:val="24"/>
                <w:szCs w:val="20"/>
              </w:rPr>
              <w:t>相符性分析一览表</w:t>
            </w:r>
          </w:p>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
            <w:tblGrid>
              <w:gridCol w:w="1163"/>
              <w:gridCol w:w="3702"/>
              <w:gridCol w:w="1234"/>
              <w:gridCol w:w="669"/>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Ex>
              <w:trPr>
                <w:trHeight w:val="369"/>
                <w:jc w:val="center"/>
              </w:trPr>
              <w:tc>
                <w:tcPr>
                  <w:tcW w:w="859" w:type="pct"/>
                  <w:tcBorders>
                    <w:tl2br w:val="nil"/>
                    <w:tr2bl w:val="nil"/>
                  </w:tcBorders>
                  <w:tcMar>
                    <w:left w:w="28" w:type="dxa"/>
                    <w:right w:w="28" w:type="dxa"/>
                  </w:tcMar>
                  <w:vAlign w:val="center"/>
                </w:tcPr>
                <w:p>
                  <w:pPr>
                    <w:spacing w:line="240" w:lineRule="exact"/>
                    <w:jc w:val="center"/>
                    <w:rPr>
                      <w:szCs w:val="21"/>
                    </w:rPr>
                  </w:pPr>
                  <w:r>
                    <w:rPr>
                      <w:rFonts w:hAnsi="宋体"/>
                      <w:szCs w:val="21"/>
                    </w:rPr>
                    <w:t>政策名称</w:t>
                  </w:r>
                </w:p>
              </w:tc>
              <w:tc>
                <w:tcPr>
                  <w:tcW w:w="2734" w:type="pct"/>
                  <w:tcBorders>
                    <w:tl2br w:val="nil"/>
                    <w:tr2bl w:val="nil"/>
                  </w:tcBorders>
                  <w:tcMar>
                    <w:left w:w="28" w:type="dxa"/>
                    <w:right w:w="28" w:type="dxa"/>
                  </w:tcMar>
                  <w:vAlign w:val="center"/>
                </w:tcPr>
                <w:p>
                  <w:pPr>
                    <w:spacing w:line="240" w:lineRule="exact"/>
                    <w:jc w:val="center"/>
                    <w:rPr>
                      <w:szCs w:val="21"/>
                    </w:rPr>
                  </w:pPr>
                  <w:r>
                    <w:rPr>
                      <w:rFonts w:hAnsi="宋体"/>
                      <w:szCs w:val="21"/>
                    </w:rPr>
                    <w:t>政策相关内容</w:t>
                  </w:r>
                </w:p>
              </w:tc>
              <w:tc>
                <w:tcPr>
                  <w:tcW w:w="911" w:type="pct"/>
                  <w:tcBorders>
                    <w:tl2br w:val="nil"/>
                    <w:tr2bl w:val="nil"/>
                  </w:tcBorders>
                  <w:tcMar>
                    <w:left w:w="28" w:type="dxa"/>
                    <w:right w:w="28" w:type="dxa"/>
                  </w:tcMar>
                  <w:vAlign w:val="center"/>
                </w:tcPr>
                <w:p>
                  <w:pPr>
                    <w:spacing w:line="240" w:lineRule="exact"/>
                    <w:jc w:val="center"/>
                    <w:rPr>
                      <w:szCs w:val="21"/>
                    </w:rPr>
                  </w:pPr>
                  <w:r>
                    <w:rPr>
                      <w:rFonts w:hAnsi="宋体"/>
                      <w:szCs w:val="21"/>
                    </w:rPr>
                    <w:t>本项目情况</w:t>
                  </w:r>
                </w:p>
              </w:tc>
              <w:tc>
                <w:tcPr>
                  <w:tcW w:w="494" w:type="pct"/>
                  <w:tcBorders>
                    <w:tl2br w:val="nil"/>
                    <w:tr2bl w:val="nil"/>
                  </w:tcBorders>
                  <w:tcMar>
                    <w:left w:w="28" w:type="dxa"/>
                    <w:right w:w="28" w:type="dxa"/>
                  </w:tcMar>
                  <w:vAlign w:val="center"/>
                </w:tcPr>
                <w:p>
                  <w:pPr>
                    <w:spacing w:line="240" w:lineRule="exact"/>
                    <w:jc w:val="center"/>
                    <w:rPr>
                      <w:szCs w:val="21"/>
                    </w:rPr>
                  </w:pPr>
                  <w:r>
                    <w:rPr>
                      <w:rFonts w:hAnsi="宋体"/>
                      <w:szCs w:val="21"/>
                    </w:rPr>
                    <w:t>符合性</w:t>
                  </w:r>
                </w:p>
              </w:tc>
            </w:tr>
            <w:tr>
              <w:tblPrEx>
                <w:tblW w:w="5000" w:type="pct"/>
                <w:jc w:val="center"/>
                <w:tblCellMar>
                  <w:top w:w="0" w:type="dxa"/>
                  <w:left w:w="28" w:type="dxa"/>
                  <w:bottom w:w="0" w:type="dxa"/>
                  <w:right w:w="28" w:type="dxa"/>
                </w:tblCellMar>
              </w:tblPrEx>
              <w:trPr>
                <w:trHeight w:val="369"/>
                <w:jc w:val="center"/>
              </w:trPr>
              <w:tc>
                <w:tcPr>
                  <w:tcW w:w="859" w:type="pct"/>
                  <w:tcBorders>
                    <w:tl2br w:val="nil"/>
                    <w:tr2bl w:val="nil"/>
                  </w:tcBorders>
                  <w:tcMar>
                    <w:left w:w="28" w:type="dxa"/>
                    <w:right w:w="28" w:type="dxa"/>
                  </w:tcMar>
                  <w:vAlign w:val="center"/>
                </w:tcPr>
                <w:p>
                  <w:pPr>
                    <w:jc w:val="center"/>
                  </w:pPr>
                  <w:r>
                    <w:rPr>
                      <w:rFonts w:hint="eastAsia"/>
                      <w:szCs w:val="21"/>
                    </w:rPr>
                    <w:t>《陕西省人民政府关于加快实施“三线一单”生态环境分区管控的意见》（陕政发〔2020〕11号）</w:t>
                  </w:r>
                </w:p>
              </w:tc>
              <w:tc>
                <w:tcPr>
                  <w:tcW w:w="2734" w:type="pct"/>
                  <w:tcBorders>
                    <w:tl2br w:val="nil"/>
                    <w:tr2bl w:val="nil"/>
                  </w:tcBorders>
                  <w:tcMar>
                    <w:left w:w="28" w:type="dxa"/>
                    <w:right w:w="28" w:type="dxa"/>
                  </w:tcMar>
                  <w:vAlign w:val="center"/>
                </w:tcPr>
                <w:p>
                  <w:pPr>
                    <w:jc w:val="center"/>
                    <w:rPr>
                      <w:szCs w:val="21"/>
                    </w:rPr>
                  </w:pPr>
                  <w:r>
                    <w:rPr>
                      <w:rFonts w:hint="eastAsia"/>
                      <w:szCs w:val="21"/>
                    </w:rPr>
                    <w:t>（三）主要目标：</w:t>
                  </w:r>
                </w:p>
                <w:p>
                  <w:pPr>
                    <w:jc w:val="center"/>
                    <w:rPr>
                      <w:szCs w:val="21"/>
                    </w:rPr>
                  </w:pPr>
                  <w:r>
                    <w:rPr>
                      <w:rFonts w:hint="eastAsia"/>
                      <w:szCs w:val="21"/>
                    </w:rPr>
                    <w:t>2025年，全省生态环境持续改善，主要污染物排放总量持续减少，资源能源利用效率大幅提高，生产生活方式绿色转型成效显著，秦岭、黄河等重要生态安全屏障更加牢固，基本形成生态环境分区管控体系。</w:t>
                  </w:r>
                </w:p>
                <w:p>
                  <w:pPr>
                    <w:jc w:val="center"/>
                  </w:pPr>
                  <w:r>
                    <w:rPr>
                      <w:rFonts w:hint="eastAsia"/>
                      <w:szCs w:val="21"/>
                    </w:rPr>
                    <w:t>2035年，全省生态环境根本好转，节约资源和保护生态的绿色生产生活方式广泛形成，建成完善的生态环境分区管控体系，基本实现生态环境治理体系和治理能力现代化及美丽陕西建设目标。</w:t>
                  </w:r>
                </w:p>
              </w:tc>
              <w:tc>
                <w:tcPr>
                  <w:tcW w:w="911" w:type="pct"/>
                  <w:tcBorders>
                    <w:tl2br w:val="nil"/>
                    <w:tr2bl w:val="nil"/>
                  </w:tcBorders>
                  <w:tcMar>
                    <w:left w:w="28" w:type="dxa"/>
                    <w:right w:w="28" w:type="dxa"/>
                  </w:tcMar>
                  <w:vAlign w:val="center"/>
                </w:tcPr>
                <w:p>
                  <w:pPr>
                    <w:jc w:val="center"/>
                    <w:rPr>
                      <w:szCs w:val="21"/>
                    </w:rPr>
                  </w:pPr>
                  <w:r>
                    <w:rPr>
                      <w:szCs w:val="21"/>
                    </w:rPr>
                    <w:t>本项目无生产废水排放，产生的废气全部</w:t>
                  </w:r>
                  <w:r>
                    <w:rPr>
                      <w:rFonts w:hint="eastAsia"/>
                      <w:szCs w:val="21"/>
                    </w:rPr>
                    <w:t>采取措施后</w:t>
                  </w:r>
                  <w:r>
                    <w:rPr>
                      <w:szCs w:val="21"/>
                    </w:rPr>
                    <w:t>达标排放，产生的固废均合理处置，对周围环境影响较小。</w:t>
                  </w:r>
                </w:p>
                <w:p>
                  <w:pPr>
                    <w:jc w:val="center"/>
                  </w:pPr>
                </w:p>
              </w:tc>
              <w:tc>
                <w:tcPr>
                  <w:tcW w:w="494" w:type="pct"/>
                  <w:tcBorders>
                    <w:tl2br w:val="nil"/>
                    <w:tr2bl w:val="nil"/>
                  </w:tcBorders>
                  <w:tcMar>
                    <w:left w:w="28" w:type="dxa"/>
                    <w:right w:w="28" w:type="dxa"/>
                  </w:tcMar>
                  <w:vAlign w:val="center"/>
                </w:tcPr>
                <w:p>
                  <w:pPr>
                    <w:widowControl/>
                    <w:adjustRightInd w:val="0"/>
                    <w:snapToGrid w:val="0"/>
                    <w:jc w:val="center"/>
                  </w:pPr>
                  <w:r>
                    <w:t>符合</w:t>
                  </w:r>
                </w:p>
              </w:tc>
            </w:tr>
            <w:tr>
              <w:tblPrEx>
                <w:tblW w:w="5000" w:type="pct"/>
                <w:jc w:val="center"/>
                <w:tblCellMar>
                  <w:top w:w="0" w:type="dxa"/>
                  <w:left w:w="28" w:type="dxa"/>
                  <w:bottom w:w="0" w:type="dxa"/>
                  <w:right w:w="28" w:type="dxa"/>
                </w:tblCellMar>
              </w:tblPrEx>
              <w:trPr>
                <w:trHeight w:val="369"/>
                <w:jc w:val="center"/>
              </w:trPr>
              <w:tc>
                <w:tcPr>
                  <w:tcW w:w="859" w:type="pct"/>
                  <w:tcBorders>
                    <w:tl2br w:val="nil"/>
                    <w:tr2bl w:val="nil"/>
                  </w:tcBorders>
                  <w:tcMar>
                    <w:left w:w="28" w:type="dxa"/>
                    <w:right w:w="28" w:type="dxa"/>
                  </w:tcMar>
                  <w:vAlign w:val="center"/>
                </w:tcPr>
                <w:p>
                  <w:pPr>
                    <w:jc w:val="center"/>
                    <w:rPr>
                      <w:szCs w:val="21"/>
                    </w:rPr>
                  </w:pPr>
                  <w:r>
                    <w:rPr>
                      <w:szCs w:val="21"/>
                    </w:rPr>
                    <w:t>《渭南市人民政府关于印发渭南市“三线一单”生态环境分区管控方案的通知》（渭</w:t>
                  </w:r>
                  <w:r>
                    <w:rPr>
                      <w:rFonts w:hint="eastAsia"/>
                      <w:szCs w:val="21"/>
                    </w:rPr>
                    <w:t>政发〔2021〕35号</w:t>
                  </w:r>
                  <w:r>
                    <w:rPr>
                      <w:szCs w:val="21"/>
                    </w:rPr>
                    <w:t>）</w:t>
                  </w:r>
                </w:p>
              </w:tc>
              <w:tc>
                <w:tcPr>
                  <w:tcW w:w="2734" w:type="pct"/>
                  <w:tcBorders>
                    <w:tl2br w:val="nil"/>
                    <w:tr2bl w:val="nil"/>
                  </w:tcBorders>
                  <w:tcMar>
                    <w:left w:w="28" w:type="dxa"/>
                    <w:right w:w="28" w:type="dxa"/>
                  </w:tcMar>
                  <w:vAlign w:val="center"/>
                </w:tcPr>
                <w:p>
                  <w:r>
                    <w:t>重点管控单元与本项目有关的管控要求摘抄：</w:t>
                  </w:r>
                </w:p>
                <w:p>
                  <w:r>
                    <w:rPr>
                      <w:rFonts w:hint="eastAsia"/>
                    </w:rPr>
                    <w:t>（1）大气环境受体敏感区</w:t>
                  </w:r>
                </w:p>
                <w:p>
                  <w:r>
                    <w:rPr>
                      <w:rFonts w:hint="eastAsia"/>
                    </w:rPr>
                    <w:t>空间约束：严格控制新增煤电、石化、化工、钢铁、有色金属冶炼、建材等“两高”行业项目；加快城市建成区重污染企业搬迁改造或关闭退出。</w:t>
                  </w:r>
                </w:p>
                <w:p>
                  <w:pPr>
                    <w:spacing w:after="0"/>
                  </w:pPr>
                </w:p>
              </w:tc>
              <w:tc>
                <w:tcPr>
                  <w:tcW w:w="911" w:type="pct"/>
                  <w:tcBorders>
                    <w:tl2br w:val="nil"/>
                    <w:tr2bl w:val="nil"/>
                  </w:tcBorders>
                  <w:tcMar>
                    <w:left w:w="28" w:type="dxa"/>
                    <w:right w:w="28" w:type="dxa"/>
                  </w:tcMar>
                  <w:vAlign w:val="center"/>
                </w:tcPr>
                <w:p>
                  <w:pPr>
                    <w:spacing w:after="0"/>
                    <w:rPr>
                      <w:szCs w:val="21"/>
                    </w:rPr>
                  </w:pPr>
                  <w:r>
                    <w:rPr>
                      <w:szCs w:val="21"/>
                    </w:rPr>
                    <w:t>本项目</w:t>
                  </w:r>
                  <w:r>
                    <w:rPr>
                      <w:rFonts w:hint="eastAsia"/>
                      <w:szCs w:val="21"/>
                    </w:rPr>
                    <w:t>属于重点管控单元，</w:t>
                  </w:r>
                </w:p>
              </w:tc>
              <w:tc>
                <w:tcPr>
                  <w:tcW w:w="494" w:type="pct"/>
                  <w:tcBorders>
                    <w:tl2br w:val="nil"/>
                    <w:tr2bl w:val="nil"/>
                  </w:tcBorders>
                  <w:tcMar>
                    <w:left w:w="28" w:type="dxa"/>
                    <w:right w:w="28" w:type="dxa"/>
                  </w:tcMar>
                  <w:vAlign w:val="center"/>
                </w:tcPr>
                <w:p>
                  <w:pPr>
                    <w:spacing w:line="240" w:lineRule="exact"/>
                    <w:jc w:val="center"/>
                    <w:rPr>
                      <w:szCs w:val="21"/>
                    </w:rPr>
                  </w:pPr>
                  <w:r>
                    <w:rPr>
                      <w:szCs w:val="21"/>
                      <w:u w:color="000000"/>
                    </w:rPr>
                    <w:t>符合</w:t>
                  </w:r>
                </w:p>
              </w:tc>
            </w:tr>
          </w:tbl>
          <w:p/>
        </w:tc>
      </w:tr>
    </w:tbl>
    <w:p>
      <w:pPr>
        <w:sectPr>
          <w:headerReference w:type="default" r:id="rId14"/>
          <w:footerReference w:type="default" r:id="rId15"/>
          <w:type w:val="nextPage"/>
          <w:pgSz w:w="11906" w:h="16838"/>
          <w:pgMar w:top="1701" w:right="1531" w:bottom="1701" w:left="1531" w:header="851" w:footer="1077" w:gutter="0"/>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856"/>
        <w:gridCol w:w="701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856" w:type="dxa"/>
            <w:vAlign w:val="center"/>
          </w:tcPr>
          <w:p/>
        </w:tc>
        <w:tc>
          <w:tcPr>
            <w:tcW w:w="7014" w:type="dxa"/>
            <w:vAlign w:val="center"/>
          </w:tcPr>
          <w:tbl>
            <w:tblPr>
              <w:tblStyle w:val="TableNormal"/>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
            <w:tblGrid>
              <w:gridCol w:w="1163"/>
              <w:gridCol w:w="3702"/>
              <w:gridCol w:w="1234"/>
              <w:gridCol w:w="669"/>
            </w:tblGrid>
            <w:tr>
              <w:tblPrEx>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Ex>
              <w:trPr>
                <w:trHeight w:val="369"/>
                <w:jc w:val="center"/>
              </w:trPr>
              <w:tc>
                <w:tcPr>
                  <w:tcW w:w="859" w:type="pct"/>
                  <w:tcBorders>
                    <w:tl2br w:val="nil"/>
                    <w:tr2bl w:val="nil"/>
                  </w:tcBorders>
                  <w:tcMar>
                    <w:left w:w="28" w:type="dxa"/>
                    <w:right w:w="28" w:type="dxa"/>
                  </w:tcMar>
                  <w:vAlign w:val="center"/>
                </w:tcPr>
                <w:p/>
              </w:tc>
              <w:tc>
                <w:tcPr>
                  <w:tcW w:w="2734" w:type="pct"/>
                  <w:tcBorders>
                    <w:tl2br w:val="nil"/>
                    <w:tr2bl w:val="nil"/>
                  </w:tcBorders>
                  <w:tcMar>
                    <w:left w:w="28" w:type="dxa"/>
                    <w:right w:w="28" w:type="dxa"/>
                  </w:tcMar>
                  <w:vAlign w:val="center"/>
                </w:tcPr>
                <w:p>
                  <w:pPr>
                    <w:spacing w:before="0"/>
                  </w:pPr>
                  <w:r>
                    <w:rPr>
                      <w:rFonts w:hint="eastAsia"/>
                    </w:rPr>
                    <w:t>污染排放管控：区域内保留企业采用先进生产工艺、严格落实污染治理设施，污染物执行超低排放或特别排放限值；控制机动车增速，推动汽车全面实现新能源化；加大餐饮油烟治理力度，排放油烟的饮食业单位全部安装油烟净化装置并实现达标排放。</w:t>
                  </w:r>
                </w:p>
                <w:p>
                  <w:r>
                    <w:t>（</w:t>
                  </w:r>
                  <w:r>
                    <w:rPr>
                      <w:rFonts w:hint="eastAsia"/>
                    </w:rPr>
                    <w:t>2</w:t>
                  </w:r>
                  <w:r>
                    <w:t>）大气环境弱扩散区</w:t>
                  </w:r>
                </w:p>
                <w:p>
                  <w:r>
                    <w:rPr>
                      <w:rFonts w:hint="eastAsia"/>
                    </w:rPr>
                    <w:t>空间约束：严格控制新增煤电、石化、化工、钢铁、有色金属冶炼、建材等“两高”行业项目。</w:t>
                  </w:r>
                </w:p>
                <w:p>
                  <w:r>
                    <w:rPr>
                      <w:rFonts w:hint="eastAsia"/>
                    </w:rPr>
                    <w:t>污染排放管控：加强大气污染物减排力度，推进散煤替代和清洁利用，推进“煤改电”、“煤改气”工程；严禁秸秆燃烧，强化扬尘管控。</w:t>
                  </w:r>
                </w:p>
              </w:tc>
              <w:tc>
                <w:tcPr>
                  <w:tcW w:w="911" w:type="pct"/>
                  <w:tcBorders>
                    <w:tl2br w:val="nil"/>
                    <w:tr2bl w:val="nil"/>
                  </w:tcBorders>
                  <w:tcMar>
                    <w:left w:w="28" w:type="dxa"/>
                    <w:right w:w="28" w:type="dxa"/>
                  </w:tcMar>
                  <w:vAlign w:val="center"/>
                </w:tcPr>
                <w:p>
                  <w:pPr>
                    <w:spacing w:before="0"/>
                    <w:rPr>
                      <w:szCs w:val="21"/>
                    </w:rPr>
                  </w:pPr>
                  <w:r>
                    <w:rPr>
                      <w:szCs w:val="21"/>
                    </w:rPr>
                    <w:t>不属于两高行业，项目产生的颗粒物采取处理措施之后稳定达标排放，排放量较小，对周围环境影响较小。</w:t>
                  </w:r>
                </w:p>
              </w:tc>
              <w:tc>
                <w:tcPr>
                  <w:tcW w:w="494" w:type="pct"/>
                  <w:tcBorders>
                    <w:tl2br w:val="nil"/>
                    <w:tr2bl w:val="nil"/>
                  </w:tcBorders>
                  <w:tcMar>
                    <w:left w:w="28" w:type="dxa"/>
                    <w:right w:w="28" w:type="dxa"/>
                  </w:tcMar>
                  <w:vAlign w:val="center"/>
                </w:tcPr>
                <w:p/>
              </w:tc>
            </w:tr>
          </w:tbl>
          <w:p>
            <w:pPr>
              <w:spacing w:before="120" w:beforeLines="50" w:line="360" w:lineRule="auto"/>
              <w:ind w:firstLine="480" w:firstLineChars="200"/>
              <w:jc w:val="left"/>
              <w:rPr>
                <w:sz w:val="24"/>
              </w:rPr>
            </w:pPr>
            <w:r>
              <w:rPr>
                <w:rFonts w:hint="eastAsia"/>
                <w:sz w:val="24"/>
              </w:rPr>
              <w:t>本项目与区域“三线一单”要求相符。</w:t>
            </w:r>
          </w:p>
          <w:p>
            <w:pPr>
              <w:spacing w:line="360" w:lineRule="auto"/>
              <w:ind w:firstLine="480" w:firstLineChars="200"/>
              <w:jc w:val="left"/>
              <w:rPr>
                <w:b/>
                <w:bCs/>
                <w:sz w:val="24"/>
              </w:rPr>
            </w:pPr>
            <w:r>
              <w:rPr>
                <w:rFonts w:hint="eastAsia"/>
                <w:b/>
                <w:sz w:val="24"/>
              </w:rPr>
              <w:t>4、</w:t>
            </w:r>
            <w:r>
              <w:rPr>
                <w:b/>
                <w:bCs/>
                <w:sz w:val="24"/>
              </w:rPr>
              <w:t>选址合理性分析</w:t>
            </w:r>
          </w:p>
          <w:p>
            <w:pPr>
              <w:adjustRightInd w:val="0"/>
              <w:snapToGrid w:val="0"/>
              <w:spacing w:line="372" w:lineRule="auto"/>
              <w:ind w:firstLine="480" w:firstLineChars="200"/>
              <w:rPr>
                <w:bCs/>
                <w:sz w:val="24"/>
                <w:szCs w:val="20"/>
              </w:rPr>
            </w:pPr>
            <w:r>
              <w:rPr>
                <w:rFonts w:hint="eastAsia"/>
                <w:bCs/>
                <w:sz w:val="24"/>
                <w:szCs w:val="20"/>
              </w:rPr>
              <w:t>项目位于陕西省渭南市澄城县尧头镇权家河村（原石沟村五组），澄城县政府同意出让工矿用地147亩（澄合矿务局工矿用地约97亩地、矿务局原砖厂用地约50亩地）给予大唐陕西发电公司建设煤炭储备基地。本项目属于煤炭储运项目，位于尧头镇权家河村七组，项目不在《澄城县国土资源局关于在全县区域范围内设立新型堆煤场的实施方案》（澄政土发[2017] 68号）划分区域内，但由于国家发改委《关于做好2021年煤炭储备能力建设工作的通知》（发改电[2021] 108号）中要求陕西省煤炭储备能力新增300万吨，本项目将作为大唐陕西公司关中区域各火电厂燃料应急库存及政府应急保障统调储煤基地（附件5），可新增50万吨煤炭储煤能力，积极响应国家发改委相关政策要求。项目所在村庄政府已异地安置，砖厂已停止运行。根据澄城县自然资源局出具的用地情况说明，项目用地性质为工矿用地（附件3），符合土地政策使用要求。</w:t>
            </w:r>
          </w:p>
        </w:tc>
      </w:tr>
    </w:tbl>
    <w:p>
      <w:pPr>
        <w:sectPr>
          <w:headerReference w:type="default" r:id="rId16"/>
          <w:footerReference w:type="default" r:id="rId17"/>
          <w:type w:val="nextPage"/>
          <w:pgSz w:w="11906" w:h="16838"/>
          <w:pgMar w:top="1701" w:right="1531" w:bottom="1701" w:left="1531" w:header="851" w:footer="1077" w:gutter="0"/>
          <w:pgNumType w:start="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856"/>
        <w:gridCol w:w="701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856" w:type="dxa"/>
            <w:vAlign w:val="center"/>
          </w:tcPr>
          <w:p/>
        </w:tc>
        <w:tc>
          <w:tcPr>
            <w:tcW w:w="7014" w:type="dxa"/>
            <w:vAlign w:val="center"/>
          </w:tcPr>
          <w:p>
            <w:pPr>
              <w:spacing w:line="360" w:lineRule="auto"/>
              <w:ind w:firstLine="480" w:firstLineChars="200"/>
              <w:rPr>
                <w:bCs/>
                <w:sz w:val="24"/>
                <w:szCs w:val="20"/>
              </w:rPr>
            </w:pPr>
            <w:r>
              <w:rPr>
                <w:rFonts w:hint="eastAsia"/>
                <w:bCs/>
                <w:sz w:val="24"/>
                <w:szCs w:val="20"/>
              </w:rPr>
              <w:t>项目所在地交通便利、配套设施较为完善。建设地不在国家法律法规规划的饮用水水源地保护区、自然保护区、风景名胜区、生态功能保护区等需要特殊保护的地区范围内。</w:t>
            </w:r>
          </w:p>
          <w:p>
            <w:pPr>
              <w:spacing w:line="360" w:lineRule="auto"/>
              <w:ind w:firstLine="480" w:firstLineChars="200"/>
              <w:rPr>
                <w:bCs/>
                <w:sz w:val="24"/>
                <w:szCs w:val="20"/>
              </w:rPr>
            </w:pPr>
            <w:r>
              <w:rPr>
                <w:rFonts w:hint="eastAsia"/>
                <w:bCs/>
                <w:sz w:val="24"/>
                <w:szCs w:val="20"/>
              </w:rPr>
              <w:t>项目北邻澄合矿务局铁路专用线，东、西、南侧均为空地。项目西南有一冲沟，沟底平时干涸，雨后有短时的流水。根据水文气象资料，煤场不受两条冲沟洪水的影响，但煤场围墙距离冲沟沟边较近，项目拟采用高边坡进行防护支护，降低其对煤场围墙的不利影响。</w:t>
            </w:r>
          </w:p>
          <w:p>
            <w:pPr>
              <w:spacing w:line="360" w:lineRule="auto"/>
              <w:ind w:firstLine="480" w:firstLineChars="200"/>
              <w:rPr>
                <w:bCs/>
                <w:sz w:val="24"/>
                <w:szCs w:val="20"/>
              </w:rPr>
            </w:pPr>
            <w:r>
              <w:rPr>
                <w:rFonts w:hint="eastAsia"/>
                <w:bCs/>
                <w:sz w:val="24"/>
                <w:szCs w:val="20"/>
              </w:rPr>
              <w:t>尧头镇交通便利，西延铁路从境域西侧经过，澄合矿务局西区煤专线从权家河村入境，直通蒲城坡底车站。澄白公路和蟠尧公路穿境而过，境内路段总长8千米。乡村道路23条，总长49千米。优越的交通条件，便于煤炭的运输。</w:t>
            </w:r>
          </w:p>
          <w:p>
            <w:pPr>
              <w:spacing w:line="360" w:lineRule="auto"/>
              <w:ind w:firstLine="480" w:firstLineChars="200"/>
              <w:rPr>
                <w:bCs/>
                <w:sz w:val="24"/>
                <w:szCs w:val="20"/>
              </w:rPr>
            </w:pPr>
            <w:r>
              <w:rPr>
                <w:bCs/>
                <w:sz w:val="24"/>
                <w:szCs w:val="20"/>
              </w:rPr>
              <w:t>因此，项目选址合理。</w:t>
            </w: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ind w:firstLine="480" w:firstLineChars="200"/>
              <w:rPr>
                <w:bCs/>
                <w:sz w:val="24"/>
                <w:szCs w:val="20"/>
              </w:rPr>
            </w:pPr>
          </w:p>
        </w:tc>
      </w:tr>
    </w:tbl>
    <w:p>
      <w:pPr>
        <w:sectPr>
          <w:headerReference w:type="default" r:id="rId18"/>
          <w:footerReference w:type="default" r:id="rId19"/>
          <w:type w:val="nextPage"/>
          <w:pgSz w:w="11906" w:h="16838"/>
          <w:pgMar w:top="1701" w:right="1531" w:bottom="1701" w:left="1531" w:header="851" w:footer="1077" w:gutter="0"/>
          <w:pgNumType w:start="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856"/>
        <w:gridCol w:w="701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856" w:type="dxa"/>
            <w:vAlign w:val="center"/>
          </w:tcPr>
          <w:p/>
        </w:tc>
        <w:tc>
          <w:tcPr>
            <w:tcW w:w="7014" w:type="dxa"/>
            <w:vAlign w:val="center"/>
          </w:tcPr>
          <w:p>
            <w:pPr>
              <w:spacing w:line="360" w:lineRule="auto"/>
              <w:ind w:firstLine="480" w:firstLineChars="200"/>
              <w:rPr>
                <w:bCs/>
                <w:sz w:val="24"/>
                <w:szCs w:val="20"/>
              </w:rPr>
            </w:pPr>
          </w:p>
          <w:p>
            <w:pPr>
              <w:spacing w:line="360" w:lineRule="auto"/>
              <w:ind w:firstLine="480" w:firstLineChars="200"/>
              <w:rPr>
                <w:bCs/>
                <w:sz w:val="24"/>
                <w:szCs w:val="20"/>
              </w:rPr>
            </w:pPr>
          </w:p>
          <w:p>
            <w:pPr>
              <w:spacing w:line="360" w:lineRule="auto"/>
              <w:rPr>
                <w:bCs/>
                <w:sz w:val="24"/>
                <w:szCs w:val="20"/>
              </w:rPr>
            </w:pPr>
          </w:p>
        </w:tc>
      </w:tr>
    </w:tbl>
    <w:p>
      <w:pPr>
        <w:spacing w:line="360" w:lineRule="auto"/>
        <w:ind w:firstLine="600"/>
        <w:outlineLvl w:val="0"/>
        <w:rPr>
          <w:rFonts w:eastAsia="黑体"/>
          <w:sz w:val="30"/>
        </w:rPr>
      </w:pPr>
      <w:r>
        <w:rPr>
          <w:rFonts w:eastAsia="黑体"/>
          <w:sz w:val="30"/>
        </w:rPr>
        <w:br/>
      </w:r>
      <w:r>
        <w:rPr>
          <w:rFonts w:eastAsia="黑体"/>
          <w:sz w:val="3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https://d.book118.com/126232055213010103</w:t>
        </w:r>
      </w:hyperlink>
    </w:p>
    <w:p>
      <w:pPr>
        <w:spacing w:line="360" w:lineRule="auto"/>
        <w:ind w:firstLine="600"/>
        <w:outlineLvl w:val="0"/>
        <w:rPr>
          <w:rFonts w:eastAsia="黑体"/>
          <w:sz w:val="30"/>
        </w:rPr>
      </w:pPr>
    </w:p>
    <w:sectPr>
      <w:headerReference w:type="default" r:id="rId21"/>
      <w:footerReference w:type="default" r:id="rId22"/>
      <w:type w:val="nextPage"/>
      <w:pgSz w:w="11906" w:h="16838"/>
      <w:pgMar w:top="1701" w:right="1531" w:bottom="1701" w:left="1531" w:header="851" w:footer="1077" w:gutter="0"/>
      <w:pgNumType w:start="8"/>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3</w:t>
    </w:r>
    <w:r>
      <w:rPr>
        <w:sz w:val="21"/>
        <w:szCs w:val="21"/>
      </w:rPr>
      <w:fldChar w:fldCharType="end"/>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5</w:t>
    </w:r>
    <w:r>
      <w:rPr>
        <w:sz w:val="21"/>
        <w:szCs w:val="21"/>
      </w:rPr>
      <w:fldChar w:fldCharType="end"/>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6</w:t>
    </w:r>
    <w:r>
      <w:rPr>
        <w:sz w:val="21"/>
        <w:szCs w:val="21"/>
      </w:rPr>
      <w:fldChar w:fldCharType="end"/>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7</w:t>
    </w:r>
    <w:r>
      <w:rPr>
        <w:sz w:val="21"/>
        <w:szCs w:val="21"/>
      </w:rPr>
      <w:fldChar w:fldCharType="end"/>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7</w:t>
    </w:r>
    <w:r>
      <w:rPr>
        <w:sz w:val="21"/>
        <w:szCs w:val="21"/>
      </w:rPr>
      <w:fldChar w:fldCharType="end"/>
    </w:r>
  </w:p>
  <w:p>
    <w:pPr>
      <w:pStyle w:val="Footer"/>
      <w:ind w:right="360" w:firstLine="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8</w:t>
    </w:r>
    <w:r>
      <w:rPr>
        <w:sz w:val="21"/>
        <w:szCs w:val="21"/>
      </w:rPr>
      <w:fldChar w:fldCharType="end"/>
    </w:r>
  </w:p>
  <w:p>
    <w:pPr>
      <w:pStyle w:val="Footer"/>
      <w:ind w:right="360" w:firstLine="360"/>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853E01A"/>
    <w:multiLevelType w:val="singleLevel"/>
    <w:tmpl w:val="7853E01A"/>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25"/>
  <w:bordersDoNotSurroundHeader/>
  <w:bordersDoNotSurroundFooter/>
  <w:attachedTemplate r:id="rId1"/>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EmbedSmartTag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2E3B"/>
    <w:rsid w:val="00003459"/>
    <w:rsid w:val="00005450"/>
    <w:rsid w:val="000060B3"/>
    <w:rsid w:val="000062CD"/>
    <w:rsid w:val="000102AA"/>
    <w:rsid w:val="00011519"/>
    <w:rsid w:val="00011FAE"/>
    <w:rsid w:val="000121C6"/>
    <w:rsid w:val="00012AE3"/>
    <w:rsid w:val="00013626"/>
    <w:rsid w:val="00013EBB"/>
    <w:rsid w:val="00015CEA"/>
    <w:rsid w:val="00016238"/>
    <w:rsid w:val="00016F0B"/>
    <w:rsid w:val="0002029A"/>
    <w:rsid w:val="000236AB"/>
    <w:rsid w:val="000241C4"/>
    <w:rsid w:val="0002659B"/>
    <w:rsid w:val="0002776F"/>
    <w:rsid w:val="00033546"/>
    <w:rsid w:val="00034114"/>
    <w:rsid w:val="0003661E"/>
    <w:rsid w:val="0003687C"/>
    <w:rsid w:val="00036DCA"/>
    <w:rsid w:val="00037CF4"/>
    <w:rsid w:val="0004127E"/>
    <w:rsid w:val="0004194F"/>
    <w:rsid w:val="0004253C"/>
    <w:rsid w:val="00042917"/>
    <w:rsid w:val="00042B92"/>
    <w:rsid w:val="00042CE9"/>
    <w:rsid w:val="000434AE"/>
    <w:rsid w:val="0004364B"/>
    <w:rsid w:val="00051FE5"/>
    <w:rsid w:val="0005318B"/>
    <w:rsid w:val="0005321D"/>
    <w:rsid w:val="00054DBE"/>
    <w:rsid w:val="00055386"/>
    <w:rsid w:val="00061B1F"/>
    <w:rsid w:val="00062338"/>
    <w:rsid w:val="00062B27"/>
    <w:rsid w:val="000647CE"/>
    <w:rsid w:val="0006664F"/>
    <w:rsid w:val="000670B6"/>
    <w:rsid w:val="00067C10"/>
    <w:rsid w:val="00070CF4"/>
    <w:rsid w:val="0007157F"/>
    <w:rsid w:val="00072909"/>
    <w:rsid w:val="000733C4"/>
    <w:rsid w:val="00074783"/>
    <w:rsid w:val="00074908"/>
    <w:rsid w:val="0007627F"/>
    <w:rsid w:val="00077CC3"/>
    <w:rsid w:val="0008070B"/>
    <w:rsid w:val="00080B6C"/>
    <w:rsid w:val="00080F5D"/>
    <w:rsid w:val="00080FCC"/>
    <w:rsid w:val="000810AC"/>
    <w:rsid w:val="00081A02"/>
    <w:rsid w:val="00082231"/>
    <w:rsid w:val="000824EF"/>
    <w:rsid w:val="00083CB0"/>
    <w:rsid w:val="000851F9"/>
    <w:rsid w:val="000860E7"/>
    <w:rsid w:val="000918F9"/>
    <w:rsid w:val="00092632"/>
    <w:rsid w:val="00092903"/>
    <w:rsid w:val="00092A3F"/>
    <w:rsid w:val="00092D38"/>
    <w:rsid w:val="0009377B"/>
    <w:rsid w:val="00093F78"/>
    <w:rsid w:val="000A06CA"/>
    <w:rsid w:val="000A0DBE"/>
    <w:rsid w:val="000A16E1"/>
    <w:rsid w:val="000A198F"/>
    <w:rsid w:val="000A1B4E"/>
    <w:rsid w:val="000A20C9"/>
    <w:rsid w:val="000A324B"/>
    <w:rsid w:val="000A35F0"/>
    <w:rsid w:val="000A4864"/>
    <w:rsid w:val="000A6110"/>
    <w:rsid w:val="000A63DC"/>
    <w:rsid w:val="000A67B1"/>
    <w:rsid w:val="000A693A"/>
    <w:rsid w:val="000A7AD8"/>
    <w:rsid w:val="000A7D58"/>
    <w:rsid w:val="000B0273"/>
    <w:rsid w:val="000B058F"/>
    <w:rsid w:val="000B0C5B"/>
    <w:rsid w:val="000B137F"/>
    <w:rsid w:val="000B28C5"/>
    <w:rsid w:val="000B4467"/>
    <w:rsid w:val="000B4DB9"/>
    <w:rsid w:val="000B63EB"/>
    <w:rsid w:val="000C09AC"/>
    <w:rsid w:val="000C0E69"/>
    <w:rsid w:val="000C1515"/>
    <w:rsid w:val="000C1BE8"/>
    <w:rsid w:val="000C1D12"/>
    <w:rsid w:val="000C3F10"/>
    <w:rsid w:val="000C4BAD"/>
    <w:rsid w:val="000C56D0"/>
    <w:rsid w:val="000C5B28"/>
    <w:rsid w:val="000C6117"/>
    <w:rsid w:val="000C72A0"/>
    <w:rsid w:val="000C73D7"/>
    <w:rsid w:val="000C767F"/>
    <w:rsid w:val="000C7A0C"/>
    <w:rsid w:val="000C7C16"/>
    <w:rsid w:val="000C7D8B"/>
    <w:rsid w:val="000D5A44"/>
    <w:rsid w:val="000D63B4"/>
    <w:rsid w:val="000D793D"/>
    <w:rsid w:val="000E0C6F"/>
    <w:rsid w:val="000E1D68"/>
    <w:rsid w:val="000E3ED2"/>
    <w:rsid w:val="000E4365"/>
    <w:rsid w:val="000E5F22"/>
    <w:rsid w:val="000E6CA4"/>
    <w:rsid w:val="000E73D2"/>
    <w:rsid w:val="000F13F8"/>
    <w:rsid w:val="000F308D"/>
    <w:rsid w:val="000F328A"/>
    <w:rsid w:val="000F341D"/>
    <w:rsid w:val="000F376B"/>
    <w:rsid w:val="000F457D"/>
    <w:rsid w:val="000F7C71"/>
    <w:rsid w:val="001008FD"/>
    <w:rsid w:val="0010433B"/>
    <w:rsid w:val="00105531"/>
    <w:rsid w:val="001062D1"/>
    <w:rsid w:val="001062DD"/>
    <w:rsid w:val="00106B5C"/>
    <w:rsid w:val="00107614"/>
    <w:rsid w:val="00107ADA"/>
    <w:rsid w:val="00110AD7"/>
    <w:rsid w:val="00111CBD"/>
    <w:rsid w:val="00111DE3"/>
    <w:rsid w:val="00115CC3"/>
    <w:rsid w:val="00116B36"/>
    <w:rsid w:val="00116F9E"/>
    <w:rsid w:val="001177E6"/>
    <w:rsid w:val="00117FB8"/>
    <w:rsid w:val="00120936"/>
    <w:rsid w:val="00121535"/>
    <w:rsid w:val="001227CA"/>
    <w:rsid w:val="00122BBE"/>
    <w:rsid w:val="00124DC9"/>
    <w:rsid w:val="00125ACD"/>
    <w:rsid w:val="00126192"/>
    <w:rsid w:val="00127F26"/>
    <w:rsid w:val="0013034C"/>
    <w:rsid w:val="001306A9"/>
    <w:rsid w:val="00131F42"/>
    <w:rsid w:val="0013315E"/>
    <w:rsid w:val="00133450"/>
    <w:rsid w:val="00134C3C"/>
    <w:rsid w:val="00134D72"/>
    <w:rsid w:val="001357F1"/>
    <w:rsid w:val="001358CC"/>
    <w:rsid w:val="00135C2D"/>
    <w:rsid w:val="0013601D"/>
    <w:rsid w:val="0013661D"/>
    <w:rsid w:val="00140D50"/>
    <w:rsid w:val="00140E88"/>
    <w:rsid w:val="00140FA8"/>
    <w:rsid w:val="00141454"/>
    <w:rsid w:val="00142A9D"/>
    <w:rsid w:val="00142FEB"/>
    <w:rsid w:val="0014356A"/>
    <w:rsid w:val="00143A2D"/>
    <w:rsid w:val="00145A41"/>
    <w:rsid w:val="001462AD"/>
    <w:rsid w:val="00146904"/>
    <w:rsid w:val="00151675"/>
    <w:rsid w:val="00153623"/>
    <w:rsid w:val="00153A4E"/>
    <w:rsid w:val="0015437B"/>
    <w:rsid w:val="001566F3"/>
    <w:rsid w:val="00157435"/>
    <w:rsid w:val="001577BC"/>
    <w:rsid w:val="00162485"/>
    <w:rsid w:val="00163F1E"/>
    <w:rsid w:val="00166B83"/>
    <w:rsid w:val="00171395"/>
    <w:rsid w:val="00172E42"/>
    <w:rsid w:val="001738C7"/>
    <w:rsid w:val="001748C7"/>
    <w:rsid w:val="00174C56"/>
    <w:rsid w:val="0017504D"/>
    <w:rsid w:val="00176430"/>
    <w:rsid w:val="0017671A"/>
    <w:rsid w:val="00176CF4"/>
    <w:rsid w:val="00177422"/>
    <w:rsid w:val="00177A0A"/>
    <w:rsid w:val="00180817"/>
    <w:rsid w:val="00181BFA"/>
    <w:rsid w:val="00182D2A"/>
    <w:rsid w:val="001835E3"/>
    <w:rsid w:val="00183610"/>
    <w:rsid w:val="00184590"/>
    <w:rsid w:val="00184843"/>
    <w:rsid w:val="00184919"/>
    <w:rsid w:val="00184DDA"/>
    <w:rsid w:val="0018646F"/>
    <w:rsid w:val="001870D1"/>
    <w:rsid w:val="0018781E"/>
    <w:rsid w:val="00190F03"/>
    <w:rsid w:val="0019262D"/>
    <w:rsid w:val="001926CE"/>
    <w:rsid w:val="001928C3"/>
    <w:rsid w:val="00192E85"/>
    <w:rsid w:val="00193681"/>
    <w:rsid w:val="00193AFE"/>
    <w:rsid w:val="00195EEA"/>
    <w:rsid w:val="00196A18"/>
    <w:rsid w:val="0019774F"/>
    <w:rsid w:val="001A1B35"/>
    <w:rsid w:val="001A22B7"/>
    <w:rsid w:val="001A27F8"/>
    <w:rsid w:val="001A48A2"/>
    <w:rsid w:val="001A5DB2"/>
    <w:rsid w:val="001A6245"/>
    <w:rsid w:val="001A6AA2"/>
    <w:rsid w:val="001A6F61"/>
    <w:rsid w:val="001B4448"/>
    <w:rsid w:val="001B4BFD"/>
    <w:rsid w:val="001B5401"/>
    <w:rsid w:val="001B6655"/>
    <w:rsid w:val="001B72B8"/>
    <w:rsid w:val="001B7856"/>
    <w:rsid w:val="001C04FC"/>
    <w:rsid w:val="001C1CC6"/>
    <w:rsid w:val="001C3A2D"/>
    <w:rsid w:val="001C5D79"/>
    <w:rsid w:val="001C69B3"/>
    <w:rsid w:val="001C6F53"/>
    <w:rsid w:val="001D20DB"/>
    <w:rsid w:val="001D3F13"/>
    <w:rsid w:val="001D5152"/>
    <w:rsid w:val="001D5595"/>
    <w:rsid w:val="001D659C"/>
    <w:rsid w:val="001D6BAE"/>
    <w:rsid w:val="001D724A"/>
    <w:rsid w:val="001D7874"/>
    <w:rsid w:val="001D7F22"/>
    <w:rsid w:val="001E0B4A"/>
    <w:rsid w:val="001E3A26"/>
    <w:rsid w:val="001E48D9"/>
    <w:rsid w:val="001E632E"/>
    <w:rsid w:val="001E7124"/>
    <w:rsid w:val="001E748C"/>
    <w:rsid w:val="001F01E5"/>
    <w:rsid w:val="001F0443"/>
    <w:rsid w:val="001F0F17"/>
    <w:rsid w:val="001F21B0"/>
    <w:rsid w:val="001F2BCE"/>
    <w:rsid w:val="001F3347"/>
    <w:rsid w:val="001F4CEF"/>
    <w:rsid w:val="001F6004"/>
    <w:rsid w:val="001F65BA"/>
    <w:rsid w:val="001F69E4"/>
    <w:rsid w:val="001F6A36"/>
    <w:rsid w:val="00201939"/>
    <w:rsid w:val="00203082"/>
    <w:rsid w:val="00203C65"/>
    <w:rsid w:val="00203FEC"/>
    <w:rsid w:val="0020676F"/>
    <w:rsid w:val="00206C41"/>
    <w:rsid w:val="002104D6"/>
    <w:rsid w:val="002120BD"/>
    <w:rsid w:val="002125B4"/>
    <w:rsid w:val="00212FD7"/>
    <w:rsid w:val="002155B8"/>
    <w:rsid w:val="0021584E"/>
    <w:rsid w:val="00223285"/>
    <w:rsid w:val="00224839"/>
    <w:rsid w:val="002249B2"/>
    <w:rsid w:val="00226574"/>
    <w:rsid w:val="00226929"/>
    <w:rsid w:val="00226A25"/>
    <w:rsid w:val="002278EC"/>
    <w:rsid w:val="00231BC4"/>
    <w:rsid w:val="0023280E"/>
    <w:rsid w:val="00233721"/>
    <w:rsid w:val="002338D7"/>
    <w:rsid w:val="002350A2"/>
    <w:rsid w:val="00236412"/>
    <w:rsid w:val="002367E0"/>
    <w:rsid w:val="002377D1"/>
    <w:rsid w:val="0023795E"/>
    <w:rsid w:val="00237BFF"/>
    <w:rsid w:val="00240D04"/>
    <w:rsid w:val="0024242C"/>
    <w:rsid w:val="00242795"/>
    <w:rsid w:val="00242FBB"/>
    <w:rsid w:val="00245BD8"/>
    <w:rsid w:val="00246F0D"/>
    <w:rsid w:val="002506BC"/>
    <w:rsid w:val="00254345"/>
    <w:rsid w:val="002546EA"/>
    <w:rsid w:val="00256821"/>
    <w:rsid w:val="0025752C"/>
    <w:rsid w:val="00264557"/>
    <w:rsid w:val="00264B74"/>
    <w:rsid w:val="002650E7"/>
    <w:rsid w:val="00265A22"/>
    <w:rsid w:val="00266135"/>
    <w:rsid w:val="00266B22"/>
    <w:rsid w:val="00267428"/>
    <w:rsid w:val="00267952"/>
    <w:rsid w:val="00271136"/>
    <w:rsid w:val="002728E1"/>
    <w:rsid w:val="00274ABF"/>
    <w:rsid w:val="00274BB3"/>
    <w:rsid w:val="002773E2"/>
    <w:rsid w:val="002801A1"/>
    <w:rsid w:val="002805AB"/>
    <w:rsid w:val="00280B3A"/>
    <w:rsid w:val="00281FC7"/>
    <w:rsid w:val="00282BFD"/>
    <w:rsid w:val="00283336"/>
    <w:rsid w:val="00284204"/>
    <w:rsid w:val="00284C47"/>
    <w:rsid w:val="00284C51"/>
    <w:rsid w:val="00286669"/>
    <w:rsid w:val="00290252"/>
    <w:rsid w:val="002914CC"/>
    <w:rsid w:val="002916BB"/>
    <w:rsid w:val="00291773"/>
    <w:rsid w:val="00292112"/>
    <w:rsid w:val="00292CD1"/>
    <w:rsid w:val="00293469"/>
    <w:rsid w:val="0029391A"/>
    <w:rsid w:val="00294185"/>
    <w:rsid w:val="002941A2"/>
    <w:rsid w:val="002946B8"/>
    <w:rsid w:val="00296885"/>
    <w:rsid w:val="002976CC"/>
    <w:rsid w:val="00297D2C"/>
    <w:rsid w:val="00297F4C"/>
    <w:rsid w:val="002A0449"/>
    <w:rsid w:val="002A168C"/>
    <w:rsid w:val="002A253F"/>
    <w:rsid w:val="002A3DC7"/>
    <w:rsid w:val="002A695D"/>
    <w:rsid w:val="002A7B3C"/>
    <w:rsid w:val="002A7CCF"/>
    <w:rsid w:val="002B32CA"/>
    <w:rsid w:val="002B49E2"/>
    <w:rsid w:val="002B7B00"/>
    <w:rsid w:val="002B7C44"/>
    <w:rsid w:val="002C07F9"/>
    <w:rsid w:val="002C0F49"/>
    <w:rsid w:val="002C12A2"/>
    <w:rsid w:val="002C20F8"/>
    <w:rsid w:val="002C2B17"/>
    <w:rsid w:val="002C350D"/>
    <w:rsid w:val="002C3BC5"/>
    <w:rsid w:val="002C3F78"/>
    <w:rsid w:val="002C432A"/>
    <w:rsid w:val="002C47A7"/>
    <w:rsid w:val="002C64C8"/>
    <w:rsid w:val="002C67C0"/>
    <w:rsid w:val="002C6B7F"/>
    <w:rsid w:val="002D26A3"/>
    <w:rsid w:val="002D2A22"/>
    <w:rsid w:val="002D2B5F"/>
    <w:rsid w:val="002D2C5A"/>
    <w:rsid w:val="002D3DD0"/>
    <w:rsid w:val="002D5CC4"/>
    <w:rsid w:val="002D6CE7"/>
    <w:rsid w:val="002D75E4"/>
    <w:rsid w:val="002D7B9B"/>
    <w:rsid w:val="002E1F3A"/>
    <w:rsid w:val="002E298A"/>
    <w:rsid w:val="002E399E"/>
    <w:rsid w:val="002E67C7"/>
    <w:rsid w:val="002E6FB9"/>
    <w:rsid w:val="002E71B0"/>
    <w:rsid w:val="002F1007"/>
    <w:rsid w:val="002F13A4"/>
    <w:rsid w:val="002F1D7F"/>
    <w:rsid w:val="002F21F2"/>
    <w:rsid w:val="002F427F"/>
    <w:rsid w:val="002F4F07"/>
    <w:rsid w:val="002F4FED"/>
    <w:rsid w:val="002F5200"/>
    <w:rsid w:val="002F6BD7"/>
    <w:rsid w:val="002F7CB5"/>
    <w:rsid w:val="003003AF"/>
    <w:rsid w:val="00301978"/>
    <w:rsid w:val="00301BEB"/>
    <w:rsid w:val="0030229A"/>
    <w:rsid w:val="00302A13"/>
    <w:rsid w:val="00302C13"/>
    <w:rsid w:val="0030332C"/>
    <w:rsid w:val="003051C2"/>
    <w:rsid w:val="003071D6"/>
    <w:rsid w:val="0030772D"/>
    <w:rsid w:val="003106D0"/>
    <w:rsid w:val="00311C9E"/>
    <w:rsid w:val="0031217B"/>
    <w:rsid w:val="00312296"/>
    <w:rsid w:val="00312BA9"/>
    <w:rsid w:val="00312BE9"/>
    <w:rsid w:val="00312DA9"/>
    <w:rsid w:val="0031384C"/>
    <w:rsid w:val="00314368"/>
    <w:rsid w:val="00314F0E"/>
    <w:rsid w:val="00317204"/>
    <w:rsid w:val="0032037E"/>
    <w:rsid w:val="00321B8F"/>
    <w:rsid w:val="00321D8E"/>
    <w:rsid w:val="00322328"/>
    <w:rsid w:val="003235EF"/>
    <w:rsid w:val="0032505A"/>
    <w:rsid w:val="003252C2"/>
    <w:rsid w:val="00325928"/>
    <w:rsid w:val="003262BE"/>
    <w:rsid w:val="003264F3"/>
    <w:rsid w:val="00330A82"/>
    <w:rsid w:val="0033191E"/>
    <w:rsid w:val="00332863"/>
    <w:rsid w:val="0033398C"/>
    <w:rsid w:val="0033451D"/>
    <w:rsid w:val="00334B66"/>
    <w:rsid w:val="00336367"/>
    <w:rsid w:val="0033684D"/>
    <w:rsid w:val="00337B42"/>
    <w:rsid w:val="0034152E"/>
    <w:rsid w:val="003419C5"/>
    <w:rsid w:val="00341B42"/>
    <w:rsid w:val="003426C2"/>
    <w:rsid w:val="0034272F"/>
    <w:rsid w:val="00342F34"/>
    <w:rsid w:val="00343453"/>
    <w:rsid w:val="0034348F"/>
    <w:rsid w:val="003436D2"/>
    <w:rsid w:val="00343EC3"/>
    <w:rsid w:val="00344772"/>
    <w:rsid w:val="00344D6C"/>
    <w:rsid w:val="00346AAD"/>
    <w:rsid w:val="00347223"/>
    <w:rsid w:val="0035013C"/>
    <w:rsid w:val="003522B7"/>
    <w:rsid w:val="00352E05"/>
    <w:rsid w:val="00353BC0"/>
    <w:rsid w:val="00353DAB"/>
    <w:rsid w:val="00354208"/>
    <w:rsid w:val="00355478"/>
    <w:rsid w:val="003559D2"/>
    <w:rsid w:val="00355A0E"/>
    <w:rsid w:val="00355A66"/>
    <w:rsid w:val="00356653"/>
    <w:rsid w:val="00356EEE"/>
    <w:rsid w:val="0035743F"/>
    <w:rsid w:val="00357BE2"/>
    <w:rsid w:val="00357DB1"/>
    <w:rsid w:val="00360CFC"/>
    <w:rsid w:val="00360E37"/>
    <w:rsid w:val="00360F9B"/>
    <w:rsid w:val="0036170C"/>
    <w:rsid w:val="00364E34"/>
    <w:rsid w:val="00366E0F"/>
    <w:rsid w:val="00371002"/>
    <w:rsid w:val="00371EC9"/>
    <w:rsid w:val="00372709"/>
    <w:rsid w:val="003727EF"/>
    <w:rsid w:val="003733EC"/>
    <w:rsid w:val="00375064"/>
    <w:rsid w:val="003808B7"/>
    <w:rsid w:val="00381A72"/>
    <w:rsid w:val="00382C6B"/>
    <w:rsid w:val="00383C32"/>
    <w:rsid w:val="0038428B"/>
    <w:rsid w:val="00384676"/>
    <w:rsid w:val="003847CE"/>
    <w:rsid w:val="0039060A"/>
    <w:rsid w:val="00390857"/>
    <w:rsid w:val="00390DE6"/>
    <w:rsid w:val="00392F48"/>
    <w:rsid w:val="003930D5"/>
    <w:rsid w:val="003935D0"/>
    <w:rsid w:val="00394126"/>
    <w:rsid w:val="00394AA3"/>
    <w:rsid w:val="003956D5"/>
    <w:rsid w:val="003960A5"/>
    <w:rsid w:val="00397153"/>
    <w:rsid w:val="00397D06"/>
    <w:rsid w:val="003A0059"/>
    <w:rsid w:val="003A1B24"/>
    <w:rsid w:val="003A223A"/>
    <w:rsid w:val="003A22EE"/>
    <w:rsid w:val="003A2E64"/>
    <w:rsid w:val="003A35F8"/>
    <w:rsid w:val="003A4947"/>
    <w:rsid w:val="003A4BF3"/>
    <w:rsid w:val="003A755D"/>
    <w:rsid w:val="003A7CDB"/>
    <w:rsid w:val="003B1F7E"/>
    <w:rsid w:val="003B2CB1"/>
    <w:rsid w:val="003B420D"/>
    <w:rsid w:val="003C108A"/>
    <w:rsid w:val="003C29D1"/>
    <w:rsid w:val="003C2AD0"/>
    <w:rsid w:val="003C346C"/>
    <w:rsid w:val="003C63A8"/>
    <w:rsid w:val="003C6C16"/>
    <w:rsid w:val="003C7002"/>
    <w:rsid w:val="003D15AD"/>
    <w:rsid w:val="003D275D"/>
    <w:rsid w:val="003D2854"/>
    <w:rsid w:val="003D2C54"/>
    <w:rsid w:val="003D622C"/>
    <w:rsid w:val="003D656F"/>
    <w:rsid w:val="003D684A"/>
    <w:rsid w:val="003D7347"/>
    <w:rsid w:val="003D7794"/>
    <w:rsid w:val="003D794D"/>
    <w:rsid w:val="003E2F14"/>
    <w:rsid w:val="003E3058"/>
    <w:rsid w:val="003E3077"/>
    <w:rsid w:val="003E3935"/>
    <w:rsid w:val="003E496D"/>
    <w:rsid w:val="003E4DD1"/>
    <w:rsid w:val="003E658A"/>
    <w:rsid w:val="003E66D9"/>
    <w:rsid w:val="003E76A9"/>
    <w:rsid w:val="003F0809"/>
    <w:rsid w:val="003F3531"/>
    <w:rsid w:val="003F399B"/>
    <w:rsid w:val="003F4318"/>
    <w:rsid w:val="003F5422"/>
    <w:rsid w:val="003F5464"/>
    <w:rsid w:val="003F55A7"/>
    <w:rsid w:val="003F6A8C"/>
    <w:rsid w:val="003F755C"/>
    <w:rsid w:val="003F7F2A"/>
    <w:rsid w:val="004021DB"/>
    <w:rsid w:val="0040297C"/>
    <w:rsid w:val="00402F66"/>
    <w:rsid w:val="00403A17"/>
    <w:rsid w:val="00405EAF"/>
    <w:rsid w:val="00406F01"/>
    <w:rsid w:val="00411033"/>
    <w:rsid w:val="00411FF4"/>
    <w:rsid w:val="004127F6"/>
    <w:rsid w:val="0041367C"/>
    <w:rsid w:val="004137D8"/>
    <w:rsid w:val="00415103"/>
    <w:rsid w:val="00416D50"/>
    <w:rsid w:val="00416FD5"/>
    <w:rsid w:val="0041749D"/>
    <w:rsid w:val="00417772"/>
    <w:rsid w:val="00417D98"/>
    <w:rsid w:val="00420E37"/>
    <w:rsid w:val="00420E6A"/>
    <w:rsid w:val="00425A9E"/>
    <w:rsid w:val="00426D6B"/>
    <w:rsid w:val="004272B8"/>
    <w:rsid w:val="00431E6C"/>
    <w:rsid w:val="00432AB0"/>
    <w:rsid w:val="00433CE7"/>
    <w:rsid w:val="004344C5"/>
    <w:rsid w:val="00435274"/>
    <w:rsid w:val="004353DC"/>
    <w:rsid w:val="00436AF2"/>
    <w:rsid w:val="00437E30"/>
    <w:rsid w:val="004414F1"/>
    <w:rsid w:val="00441E6B"/>
    <w:rsid w:val="00444663"/>
    <w:rsid w:val="00446E6C"/>
    <w:rsid w:val="00447855"/>
    <w:rsid w:val="004507F8"/>
    <w:rsid w:val="00452003"/>
    <w:rsid w:val="00452738"/>
    <w:rsid w:val="00452F4B"/>
    <w:rsid w:val="00454169"/>
    <w:rsid w:val="00454EBB"/>
    <w:rsid w:val="004551F1"/>
    <w:rsid w:val="00456091"/>
    <w:rsid w:val="0045794D"/>
    <w:rsid w:val="00457CF4"/>
    <w:rsid w:val="00462437"/>
    <w:rsid w:val="00462F3E"/>
    <w:rsid w:val="0046432A"/>
    <w:rsid w:val="00465AAD"/>
    <w:rsid w:val="00465DD7"/>
    <w:rsid w:val="00466321"/>
    <w:rsid w:val="004678C3"/>
    <w:rsid w:val="0047311D"/>
    <w:rsid w:val="004747A9"/>
    <w:rsid w:val="00477BF9"/>
    <w:rsid w:val="00480870"/>
    <w:rsid w:val="00481DAF"/>
    <w:rsid w:val="004820FE"/>
    <w:rsid w:val="004822D9"/>
    <w:rsid w:val="004842B8"/>
    <w:rsid w:val="00484B9B"/>
    <w:rsid w:val="004855F6"/>
    <w:rsid w:val="00486031"/>
    <w:rsid w:val="0048661E"/>
    <w:rsid w:val="00486813"/>
    <w:rsid w:val="00486BCE"/>
    <w:rsid w:val="00487D0E"/>
    <w:rsid w:val="00490029"/>
    <w:rsid w:val="00490869"/>
    <w:rsid w:val="00493430"/>
    <w:rsid w:val="004944C1"/>
    <w:rsid w:val="004944E2"/>
    <w:rsid w:val="00494670"/>
    <w:rsid w:val="00495E17"/>
    <w:rsid w:val="00497A63"/>
    <w:rsid w:val="00497E0D"/>
    <w:rsid w:val="004A1249"/>
    <w:rsid w:val="004A163B"/>
    <w:rsid w:val="004A2760"/>
    <w:rsid w:val="004A3823"/>
    <w:rsid w:val="004A4A1E"/>
    <w:rsid w:val="004A6428"/>
    <w:rsid w:val="004A7E41"/>
    <w:rsid w:val="004A7E9B"/>
    <w:rsid w:val="004B008E"/>
    <w:rsid w:val="004B1E2B"/>
    <w:rsid w:val="004B2F31"/>
    <w:rsid w:val="004B323E"/>
    <w:rsid w:val="004B64EB"/>
    <w:rsid w:val="004B7944"/>
    <w:rsid w:val="004C0DC2"/>
    <w:rsid w:val="004C55CB"/>
    <w:rsid w:val="004C5730"/>
    <w:rsid w:val="004C7A36"/>
    <w:rsid w:val="004D00FF"/>
    <w:rsid w:val="004D01B7"/>
    <w:rsid w:val="004D1186"/>
    <w:rsid w:val="004D4143"/>
    <w:rsid w:val="004D4835"/>
    <w:rsid w:val="004D5C09"/>
    <w:rsid w:val="004E02F2"/>
    <w:rsid w:val="004E1CB4"/>
    <w:rsid w:val="004E38A1"/>
    <w:rsid w:val="004E6946"/>
    <w:rsid w:val="004E6D79"/>
    <w:rsid w:val="004E71C3"/>
    <w:rsid w:val="004E7248"/>
    <w:rsid w:val="004E72E5"/>
    <w:rsid w:val="004F0694"/>
    <w:rsid w:val="004F1166"/>
    <w:rsid w:val="004F1AD8"/>
    <w:rsid w:val="004F2D23"/>
    <w:rsid w:val="004F336B"/>
    <w:rsid w:val="004F3693"/>
    <w:rsid w:val="004F3B5E"/>
    <w:rsid w:val="004F3CB3"/>
    <w:rsid w:val="004F4FF4"/>
    <w:rsid w:val="004F6436"/>
    <w:rsid w:val="004F6767"/>
    <w:rsid w:val="004F79E2"/>
    <w:rsid w:val="005017DC"/>
    <w:rsid w:val="00502A96"/>
    <w:rsid w:val="0050308B"/>
    <w:rsid w:val="005039C4"/>
    <w:rsid w:val="005039CB"/>
    <w:rsid w:val="005048E2"/>
    <w:rsid w:val="0050558F"/>
    <w:rsid w:val="00505F2D"/>
    <w:rsid w:val="00506286"/>
    <w:rsid w:val="005102BC"/>
    <w:rsid w:val="0051039A"/>
    <w:rsid w:val="00510813"/>
    <w:rsid w:val="00511990"/>
    <w:rsid w:val="00511DE0"/>
    <w:rsid w:val="005123A4"/>
    <w:rsid w:val="005143F1"/>
    <w:rsid w:val="005145B2"/>
    <w:rsid w:val="00514870"/>
    <w:rsid w:val="00514B9B"/>
    <w:rsid w:val="005150F3"/>
    <w:rsid w:val="00515E9A"/>
    <w:rsid w:val="005171E8"/>
    <w:rsid w:val="00517F02"/>
    <w:rsid w:val="00520AA5"/>
    <w:rsid w:val="00522880"/>
    <w:rsid w:val="005230EF"/>
    <w:rsid w:val="00524303"/>
    <w:rsid w:val="005250E9"/>
    <w:rsid w:val="005258A2"/>
    <w:rsid w:val="00526D97"/>
    <w:rsid w:val="00531146"/>
    <w:rsid w:val="0053125C"/>
    <w:rsid w:val="00531793"/>
    <w:rsid w:val="005329B5"/>
    <w:rsid w:val="005330FF"/>
    <w:rsid w:val="00533949"/>
    <w:rsid w:val="0053398B"/>
    <w:rsid w:val="00533C59"/>
    <w:rsid w:val="00534351"/>
    <w:rsid w:val="00535FEE"/>
    <w:rsid w:val="0053720F"/>
    <w:rsid w:val="005401AE"/>
    <w:rsid w:val="00540888"/>
    <w:rsid w:val="005415C9"/>
    <w:rsid w:val="005415E8"/>
    <w:rsid w:val="005427E3"/>
    <w:rsid w:val="00542C0C"/>
    <w:rsid w:val="00542E07"/>
    <w:rsid w:val="00543085"/>
    <w:rsid w:val="0054496F"/>
    <w:rsid w:val="00544D96"/>
    <w:rsid w:val="00544DE5"/>
    <w:rsid w:val="00545424"/>
    <w:rsid w:val="0054736B"/>
    <w:rsid w:val="00547E68"/>
    <w:rsid w:val="00550229"/>
    <w:rsid w:val="005510CE"/>
    <w:rsid w:val="00554A7B"/>
    <w:rsid w:val="0055572C"/>
    <w:rsid w:val="00560890"/>
    <w:rsid w:val="0056106A"/>
    <w:rsid w:val="00561FDF"/>
    <w:rsid w:val="00563F62"/>
    <w:rsid w:val="00564A80"/>
    <w:rsid w:val="00564C1B"/>
    <w:rsid w:val="00565429"/>
    <w:rsid w:val="0056643C"/>
    <w:rsid w:val="005708DA"/>
    <w:rsid w:val="005715C8"/>
    <w:rsid w:val="005720AE"/>
    <w:rsid w:val="00573521"/>
    <w:rsid w:val="00573A34"/>
    <w:rsid w:val="00574DC9"/>
    <w:rsid w:val="005752FF"/>
    <w:rsid w:val="00575D8D"/>
    <w:rsid w:val="005806A1"/>
    <w:rsid w:val="005806D6"/>
    <w:rsid w:val="00582153"/>
    <w:rsid w:val="005839FA"/>
    <w:rsid w:val="00587B5B"/>
    <w:rsid w:val="005904A1"/>
    <w:rsid w:val="005923D0"/>
    <w:rsid w:val="00592D7B"/>
    <w:rsid w:val="005931AD"/>
    <w:rsid w:val="0059433C"/>
    <w:rsid w:val="005944A1"/>
    <w:rsid w:val="00594D77"/>
    <w:rsid w:val="005969E4"/>
    <w:rsid w:val="005972C0"/>
    <w:rsid w:val="005A06B7"/>
    <w:rsid w:val="005A1759"/>
    <w:rsid w:val="005A2BEE"/>
    <w:rsid w:val="005A32CE"/>
    <w:rsid w:val="005A47B4"/>
    <w:rsid w:val="005A4CDF"/>
    <w:rsid w:val="005A4FBE"/>
    <w:rsid w:val="005A5E7E"/>
    <w:rsid w:val="005A655D"/>
    <w:rsid w:val="005A68A7"/>
    <w:rsid w:val="005B093B"/>
    <w:rsid w:val="005B217B"/>
    <w:rsid w:val="005B4B48"/>
    <w:rsid w:val="005B61B8"/>
    <w:rsid w:val="005B7F7D"/>
    <w:rsid w:val="005C03EA"/>
    <w:rsid w:val="005C1CC0"/>
    <w:rsid w:val="005C323C"/>
    <w:rsid w:val="005C7439"/>
    <w:rsid w:val="005C74E2"/>
    <w:rsid w:val="005C7D3D"/>
    <w:rsid w:val="005D0531"/>
    <w:rsid w:val="005D0C9B"/>
    <w:rsid w:val="005D1129"/>
    <w:rsid w:val="005D1254"/>
    <w:rsid w:val="005D23A4"/>
    <w:rsid w:val="005D2E6B"/>
    <w:rsid w:val="005D36AB"/>
    <w:rsid w:val="005D4080"/>
    <w:rsid w:val="005D75B7"/>
    <w:rsid w:val="005D7780"/>
    <w:rsid w:val="005E273A"/>
    <w:rsid w:val="005E2783"/>
    <w:rsid w:val="005E3F56"/>
    <w:rsid w:val="005E451A"/>
    <w:rsid w:val="005E4529"/>
    <w:rsid w:val="005E462E"/>
    <w:rsid w:val="005F0037"/>
    <w:rsid w:val="005F0728"/>
    <w:rsid w:val="005F0958"/>
    <w:rsid w:val="005F1329"/>
    <w:rsid w:val="005F1E94"/>
    <w:rsid w:val="005F39CF"/>
    <w:rsid w:val="005F46EB"/>
    <w:rsid w:val="005F7930"/>
    <w:rsid w:val="005F7952"/>
    <w:rsid w:val="00600A1E"/>
    <w:rsid w:val="006012CF"/>
    <w:rsid w:val="00601973"/>
    <w:rsid w:val="00602586"/>
    <w:rsid w:val="00602676"/>
    <w:rsid w:val="006028F8"/>
    <w:rsid w:val="00602CA2"/>
    <w:rsid w:val="006034E1"/>
    <w:rsid w:val="00603F4F"/>
    <w:rsid w:val="00604F88"/>
    <w:rsid w:val="00604FB9"/>
    <w:rsid w:val="0060532B"/>
    <w:rsid w:val="00607EB7"/>
    <w:rsid w:val="00610990"/>
    <w:rsid w:val="0061122A"/>
    <w:rsid w:val="0061176F"/>
    <w:rsid w:val="00612216"/>
    <w:rsid w:val="00614A8A"/>
    <w:rsid w:val="006164E8"/>
    <w:rsid w:val="00616AD3"/>
    <w:rsid w:val="00617413"/>
    <w:rsid w:val="00617BF3"/>
    <w:rsid w:val="00617CC3"/>
    <w:rsid w:val="00623862"/>
    <w:rsid w:val="00625B59"/>
    <w:rsid w:val="00626750"/>
    <w:rsid w:val="006268DB"/>
    <w:rsid w:val="00627F2D"/>
    <w:rsid w:val="006304FB"/>
    <w:rsid w:val="00631811"/>
    <w:rsid w:val="00631846"/>
    <w:rsid w:val="00632DC5"/>
    <w:rsid w:val="00634493"/>
    <w:rsid w:val="006377A6"/>
    <w:rsid w:val="00637A3D"/>
    <w:rsid w:val="00640042"/>
    <w:rsid w:val="006410EB"/>
    <w:rsid w:val="006411EF"/>
    <w:rsid w:val="00642206"/>
    <w:rsid w:val="00642C92"/>
    <w:rsid w:val="0064325D"/>
    <w:rsid w:val="0064675A"/>
    <w:rsid w:val="00646D75"/>
    <w:rsid w:val="00647D22"/>
    <w:rsid w:val="00651ADE"/>
    <w:rsid w:val="006543B8"/>
    <w:rsid w:val="006554C6"/>
    <w:rsid w:val="0065585E"/>
    <w:rsid w:val="00655941"/>
    <w:rsid w:val="00656322"/>
    <w:rsid w:val="00660405"/>
    <w:rsid w:val="00660AA0"/>
    <w:rsid w:val="006612A0"/>
    <w:rsid w:val="00662874"/>
    <w:rsid w:val="00666489"/>
    <w:rsid w:val="00666A31"/>
    <w:rsid w:val="00667E47"/>
    <w:rsid w:val="00670961"/>
    <w:rsid w:val="0067129C"/>
    <w:rsid w:val="006713BE"/>
    <w:rsid w:val="006741BE"/>
    <w:rsid w:val="006742A7"/>
    <w:rsid w:val="006748B8"/>
    <w:rsid w:val="0067544E"/>
    <w:rsid w:val="00675BBB"/>
    <w:rsid w:val="006775C3"/>
    <w:rsid w:val="00677B16"/>
    <w:rsid w:val="006801CF"/>
    <w:rsid w:val="0068058D"/>
    <w:rsid w:val="00680653"/>
    <w:rsid w:val="00681236"/>
    <w:rsid w:val="00682738"/>
    <w:rsid w:val="006827BC"/>
    <w:rsid w:val="006828A3"/>
    <w:rsid w:val="00682EBD"/>
    <w:rsid w:val="0068386E"/>
    <w:rsid w:val="00683CC1"/>
    <w:rsid w:val="00683EEC"/>
    <w:rsid w:val="0069290A"/>
    <w:rsid w:val="00692B8C"/>
    <w:rsid w:val="00695449"/>
    <w:rsid w:val="00696C94"/>
    <w:rsid w:val="0069775A"/>
    <w:rsid w:val="00697813"/>
    <w:rsid w:val="006A1181"/>
    <w:rsid w:val="006A2541"/>
    <w:rsid w:val="006A37FE"/>
    <w:rsid w:val="006A3EE8"/>
    <w:rsid w:val="006A4665"/>
    <w:rsid w:val="006A4711"/>
    <w:rsid w:val="006A6166"/>
    <w:rsid w:val="006A6A6F"/>
    <w:rsid w:val="006A72BF"/>
    <w:rsid w:val="006B03F2"/>
    <w:rsid w:val="006B2C78"/>
    <w:rsid w:val="006B37DC"/>
    <w:rsid w:val="006B4D22"/>
    <w:rsid w:val="006B4F68"/>
    <w:rsid w:val="006B7256"/>
    <w:rsid w:val="006B754F"/>
    <w:rsid w:val="006B7B11"/>
    <w:rsid w:val="006B7E8A"/>
    <w:rsid w:val="006B7F72"/>
    <w:rsid w:val="006C0592"/>
    <w:rsid w:val="006C1BC6"/>
    <w:rsid w:val="006C272E"/>
    <w:rsid w:val="006C34FE"/>
    <w:rsid w:val="006C5479"/>
    <w:rsid w:val="006C58AC"/>
    <w:rsid w:val="006C718C"/>
    <w:rsid w:val="006D0C32"/>
    <w:rsid w:val="006D13B5"/>
    <w:rsid w:val="006D21AC"/>
    <w:rsid w:val="006D224D"/>
    <w:rsid w:val="006D233C"/>
    <w:rsid w:val="006D292B"/>
    <w:rsid w:val="006D424A"/>
    <w:rsid w:val="006D4290"/>
    <w:rsid w:val="006D485A"/>
    <w:rsid w:val="006D4F65"/>
    <w:rsid w:val="006D617A"/>
    <w:rsid w:val="006D6847"/>
    <w:rsid w:val="006E12A8"/>
    <w:rsid w:val="006E12FF"/>
    <w:rsid w:val="006E1F26"/>
    <w:rsid w:val="006E34BB"/>
    <w:rsid w:val="006E607E"/>
    <w:rsid w:val="006E6A17"/>
    <w:rsid w:val="006E6A67"/>
    <w:rsid w:val="006F6FF3"/>
    <w:rsid w:val="006F7FB4"/>
    <w:rsid w:val="007006FE"/>
    <w:rsid w:val="00701EB7"/>
    <w:rsid w:val="00702217"/>
    <w:rsid w:val="007054EC"/>
    <w:rsid w:val="00706569"/>
    <w:rsid w:val="00706C5D"/>
    <w:rsid w:val="00706CDB"/>
    <w:rsid w:val="00711E64"/>
    <w:rsid w:val="00712123"/>
    <w:rsid w:val="007127AC"/>
    <w:rsid w:val="00713BFE"/>
    <w:rsid w:val="00714388"/>
    <w:rsid w:val="00714B62"/>
    <w:rsid w:val="00714E41"/>
    <w:rsid w:val="0071500D"/>
    <w:rsid w:val="00720AD9"/>
    <w:rsid w:val="00720E20"/>
    <w:rsid w:val="00722E10"/>
    <w:rsid w:val="00724152"/>
    <w:rsid w:val="0072621A"/>
    <w:rsid w:val="0072732C"/>
    <w:rsid w:val="0072777C"/>
    <w:rsid w:val="007300B9"/>
    <w:rsid w:val="00730DF2"/>
    <w:rsid w:val="00732922"/>
    <w:rsid w:val="00732C92"/>
    <w:rsid w:val="00735639"/>
    <w:rsid w:val="00737F35"/>
    <w:rsid w:val="00740D02"/>
    <w:rsid w:val="0074270D"/>
    <w:rsid w:val="00745402"/>
    <w:rsid w:val="0074558D"/>
    <w:rsid w:val="00745983"/>
    <w:rsid w:val="0074744B"/>
    <w:rsid w:val="00747C3F"/>
    <w:rsid w:val="00747F6C"/>
    <w:rsid w:val="0075162E"/>
    <w:rsid w:val="00752B66"/>
    <w:rsid w:val="007538C9"/>
    <w:rsid w:val="00754034"/>
    <w:rsid w:val="00756556"/>
    <w:rsid w:val="007618C4"/>
    <w:rsid w:val="00761B8B"/>
    <w:rsid w:val="00763B59"/>
    <w:rsid w:val="00763BDB"/>
    <w:rsid w:val="00764A23"/>
    <w:rsid w:val="00764BC1"/>
    <w:rsid w:val="007660F6"/>
    <w:rsid w:val="00767980"/>
    <w:rsid w:val="00767CAE"/>
    <w:rsid w:val="0077071F"/>
    <w:rsid w:val="007707C9"/>
    <w:rsid w:val="00770A1C"/>
    <w:rsid w:val="00770B19"/>
    <w:rsid w:val="00770D0F"/>
    <w:rsid w:val="00772162"/>
    <w:rsid w:val="00772BF8"/>
    <w:rsid w:val="007731BF"/>
    <w:rsid w:val="00773344"/>
    <w:rsid w:val="0077463F"/>
    <w:rsid w:val="00775835"/>
    <w:rsid w:val="0077599B"/>
    <w:rsid w:val="00776B5E"/>
    <w:rsid w:val="00780347"/>
    <w:rsid w:val="007804F9"/>
    <w:rsid w:val="00780558"/>
    <w:rsid w:val="0078092E"/>
    <w:rsid w:val="00780CF2"/>
    <w:rsid w:val="0078172D"/>
    <w:rsid w:val="007817F5"/>
    <w:rsid w:val="00782B9E"/>
    <w:rsid w:val="00782F6D"/>
    <w:rsid w:val="00783413"/>
    <w:rsid w:val="007836EA"/>
    <w:rsid w:val="00784CDA"/>
    <w:rsid w:val="00785686"/>
    <w:rsid w:val="00787C03"/>
    <w:rsid w:val="007906C4"/>
    <w:rsid w:val="00791360"/>
    <w:rsid w:val="00793F28"/>
    <w:rsid w:val="007940EA"/>
    <w:rsid w:val="00794367"/>
    <w:rsid w:val="00795924"/>
    <w:rsid w:val="007967E8"/>
    <w:rsid w:val="007A16F9"/>
    <w:rsid w:val="007A2170"/>
    <w:rsid w:val="007A22BF"/>
    <w:rsid w:val="007A3323"/>
    <w:rsid w:val="007A3661"/>
    <w:rsid w:val="007A3C15"/>
    <w:rsid w:val="007A4348"/>
    <w:rsid w:val="007A5C68"/>
    <w:rsid w:val="007A7343"/>
    <w:rsid w:val="007A7BA2"/>
    <w:rsid w:val="007B0D69"/>
    <w:rsid w:val="007B27BA"/>
    <w:rsid w:val="007B299B"/>
    <w:rsid w:val="007B2A42"/>
    <w:rsid w:val="007B336B"/>
    <w:rsid w:val="007B35FB"/>
    <w:rsid w:val="007B4136"/>
    <w:rsid w:val="007B4447"/>
    <w:rsid w:val="007B5AE1"/>
    <w:rsid w:val="007B72B8"/>
    <w:rsid w:val="007B7A58"/>
    <w:rsid w:val="007C0A11"/>
    <w:rsid w:val="007C21B5"/>
    <w:rsid w:val="007C5D8F"/>
    <w:rsid w:val="007C60EA"/>
    <w:rsid w:val="007C7D00"/>
    <w:rsid w:val="007D244F"/>
    <w:rsid w:val="007D3326"/>
    <w:rsid w:val="007D3512"/>
    <w:rsid w:val="007D3FB0"/>
    <w:rsid w:val="007D4A10"/>
    <w:rsid w:val="007D5D0C"/>
    <w:rsid w:val="007D6FC5"/>
    <w:rsid w:val="007E0186"/>
    <w:rsid w:val="007E227A"/>
    <w:rsid w:val="007E2367"/>
    <w:rsid w:val="007E2A1E"/>
    <w:rsid w:val="007E3F7B"/>
    <w:rsid w:val="007E4BC4"/>
    <w:rsid w:val="007E4BD2"/>
    <w:rsid w:val="007E57CB"/>
    <w:rsid w:val="007E5D72"/>
    <w:rsid w:val="007E671C"/>
    <w:rsid w:val="007E6A70"/>
    <w:rsid w:val="007F3385"/>
    <w:rsid w:val="007F4193"/>
    <w:rsid w:val="007F5387"/>
    <w:rsid w:val="007F769A"/>
    <w:rsid w:val="007F7D6B"/>
    <w:rsid w:val="00801393"/>
    <w:rsid w:val="00801A3B"/>
    <w:rsid w:val="008022D9"/>
    <w:rsid w:val="00802F88"/>
    <w:rsid w:val="00803715"/>
    <w:rsid w:val="008043C4"/>
    <w:rsid w:val="00804F5D"/>
    <w:rsid w:val="00807815"/>
    <w:rsid w:val="0081293E"/>
    <w:rsid w:val="00814CD7"/>
    <w:rsid w:val="00814D16"/>
    <w:rsid w:val="00815465"/>
    <w:rsid w:val="00815D39"/>
    <w:rsid w:val="00816D3B"/>
    <w:rsid w:val="00817E9A"/>
    <w:rsid w:val="00820C31"/>
    <w:rsid w:val="00821D82"/>
    <w:rsid w:val="00822205"/>
    <w:rsid w:val="0082430F"/>
    <w:rsid w:val="0082482B"/>
    <w:rsid w:val="00825D49"/>
    <w:rsid w:val="00830400"/>
    <w:rsid w:val="008306BD"/>
    <w:rsid w:val="00831A80"/>
    <w:rsid w:val="00833743"/>
    <w:rsid w:val="008340A4"/>
    <w:rsid w:val="008341C2"/>
    <w:rsid w:val="00834BD8"/>
    <w:rsid w:val="00836E98"/>
    <w:rsid w:val="00836F6C"/>
    <w:rsid w:val="0084243D"/>
    <w:rsid w:val="008431FF"/>
    <w:rsid w:val="0084431F"/>
    <w:rsid w:val="00844440"/>
    <w:rsid w:val="008444F0"/>
    <w:rsid w:val="0084557D"/>
    <w:rsid w:val="00847CD7"/>
    <w:rsid w:val="0085107B"/>
    <w:rsid w:val="008530B8"/>
    <w:rsid w:val="00853815"/>
    <w:rsid w:val="0085614C"/>
    <w:rsid w:val="00862D2C"/>
    <w:rsid w:val="008649FE"/>
    <w:rsid w:val="00864B5F"/>
    <w:rsid w:val="008669D6"/>
    <w:rsid w:val="00866C99"/>
    <w:rsid w:val="00870D60"/>
    <w:rsid w:val="0087135F"/>
    <w:rsid w:val="008716DC"/>
    <w:rsid w:val="00871C28"/>
    <w:rsid w:val="00871FAB"/>
    <w:rsid w:val="00872010"/>
    <w:rsid w:val="00872871"/>
    <w:rsid w:val="00872AC5"/>
    <w:rsid w:val="00872D94"/>
    <w:rsid w:val="008731EF"/>
    <w:rsid w:val="00873B85"/>
    <w:rsid w:val="00874103"/>
    <w:rsid w:val="00874599"/>
    <w:rsid w:val="00874FFD"/>
    <w:rsid w:val="0087541E"/>
    <w:rsid w:val="00877383"/>
    <w:rsid w:val="00880364"/>
    <w:rsid w:val="00880650"/>
    <w:rsid w:val="008812ED"/>
    <w:rsid w:val="008819FB"/>
    <w:rsid w:val="00881A51"/>
    <w:rsid w:val="00881A83"/>
    <w:rsid w:val="008834D1"/>
    <w:rsid w:val="0088477A"/>
    <w:rsid w:val="00885455"/>
    <w:rsid w:val="00886E7B"/>
    <w:rsid w:val="008871E3"/>
    <w:rsid w:val="00890780"/>
    <w:rsid w:val="00891592"/>
    <w:rsid w:val="00891D90"/>
    <w:rsid w:val="00891E9E"/>
    <w:rsid w:val="0089569E"/>
    <w:rsid w:val="0089644C"/>
    <w:rsid w:val="00896523"/>
    <w:rsid w:val="008A123A"/>
    <w:rsid w:val="008A23C3"/>
    <w:rsid w:val="008A2F68"/>
    <w:rsid w:val="008A3B69"/>
    <w:rsid w:val="008A4077"/>
    <w:rsid w:val="008A56FD"/>
    <w:rsid w:val="008A5770"/>
    <w:rsid w:val="008A5DD6"/>
    <w:rsid w:val="008A6290"/>
    <w:rsid w:val="008A63C1"/>
    <w:rsid w:val="008A76B6"/>
    <w:rsid w:val="008B0E01"/>
    <w:rsid w:val="008B0E50"/>
    <w:rsid w:val="008B445D"/>
    <w:rsid w:val="008B4C82"/>
    <w:rsid w:val="008B4FA6"/>
    <w:rsid w:val="008B5282"/>
    <w:rsid w:val="008B59BB"/>
    <w:rsid w:val="008B649C"/>
    <w:rsid w:val="008B754F"/>
    <w:rsid w:val="008B7C17"/>
    <w:rsid w:val="008C0C6D"/>
    <w:rsid w:val="008C124F"/>
    <w:rsid w:val="008C1CF4"/>
    <w:rsid w:val="008C2D01"/>
    <w:rsid w:val="008C3F0D"/>
    <w:rsid w:val="008C40E6"/>
    <w:rsid w:val="008C583E"/>
    <w:rsid w:val="008C5A6D"/>
    <w:rsid w:val="008D04AE"/>
    <w:rsid w:val="008D08E2"/>
    <w:rsid w:val="008D0A5E"/>
    <w:rsid w:val="008D0F7A"/>
    <w:rsid w:val="008D143E"/>
    <w:rsid w:val="008D16B1"/>
    <w:rsid w:val="008D2EC0"/>
    <w:rsid w:val="008D49E2"/>
    <w:rsid w:val="008D5D84"/>
    <w:rsid w:val="008D61F6"/>
    <w:rsid w:val="008D68E4"/>
    <w:rsid w:val="008D7B1D"/>
    <w:rsid w:val="008E00FB"/>
    <w:rsid w:val="008E0506"/>
    <w:rsid w:val="008E0695"/>
    <w:rsid w:val="008E0AAC"/>
    <w:rsid w:val="008E0C36"/>
    <w:rsid w:val="008E0CFF"/>
    <w:rsid w:val="008E1972"/>
    <w:rsid w:val="008E1A0E"/>
    <w:rsid w:val="008E2333"/>
    <w:rsid w:val="008E3153"/>
    <w:rsid w:val="008E3347"/>
    <w:rsid w:val="008E3F9D"/>
    <w:rsid w:val="008E3FAA"/>
    <w:rsid w:val="008E417D"/>
    <w:rsid w:val="008E4213"/>
    <w:rsid w:val="008E4DA1"/>
    <w:rsid w:val="008E5D6B"/>
    <w:rsid w:val="008E6158"/>
    <w:rsid w:val="008E6C21"/>
    <w:rsid w:val="008E76F0"/>
    <w:rsid w:val="008E7DED"/>
    <w:rsid w:val="008F05C5"/>
    <w:rsid w:val="008F0F0B"/>
    <w:rsid w:val="008F15FE"/>
    <w:rsid w:val="008F2D29"/>
    <w:rsid w:val="008F5187"/>
    <w:rsid w:val="008F5E36"/>
    <w:rsid w:val="008F60D8"/>
    <w:rsid w:val="009010A4"/>
    <w:rsid w:val="0090256A"/>
    <w:rsid w:val="00902727"/>
    <w:rsid w:val="00902A9F"/>
    <w:rsid w:val="0090312B"/>
    <w:rsid w:val="00903B69"/>
    <w:rsid w:val="0090545D"/>
    <w:rsid w:val="00905980"/>
    <w:rsid w:val="00910CA1"/>
    <w:rsid w:val="0091103E"/>
    <w:rsid w:val="00913A23"/>
    <w:rsid w:val="00914635"/>
    <w:rsid w:val="0091736D"/>
    <w:rsid w:val="009209B3"/>
    <w:rsid w:val="00923BCB"/>
    <w:rsid w:val="009254BD"/>
    <w:rsid w:val="00925F82"/>
    <w:rsid w:val="0092719A"/>
    <w:rsid w:val="0093037A"/>
    <w:rsid w:val="0093350A"/>
    <w:rsid w:val="0093358F"/>
    <w:rsid w:val="009351B4"/>
    <w:rsid w:val="00935330"/>
    <w:rsid w:val="00935A1C"/>
    <w:rsid w:val="00937108"/>
    <w:rsid w:val="00937DF7"/>
    <w:rsid w:val="0094154D"/>
    <w:rsid w:val="0094375B"/>
    <w:rsid w:val="00944F86"/>
    <w:rsid w:val="00945A69"/>
    <w:rsid w:val="009461AF"/>
    <w:rsid w:val="009478A6"/>
    <w:rsid w:val="00947D8A"/>
    <w:rsid w:val="00950B4E"/>
    <w:rsid w:val="0095155F"/>
    <w:rsid w:val="00953DE7"/>
    <w:rsid w:val="00954429"/>
    <w:rsid w:val="0095548F"/>
    <w:rsid w:val="009556A7"/>
    <w:rsid w:val="009563CE"/>
    <w:rsid w:val="00956FE7"/>
    <w:rsid w:val="00962B16"/>
    <w:rsid w:val="00962C91"/>
    <w:rsid w:val="00962D60"/>
    <w:rsid w:val="00963016"/>
    <w:rsid w:val="00963A09"/>
    <w:rsid w:val="00965542"/>
    <w:rsid w:val="00967602"/>
    <w:rsid w:val="00970745"/>
    <w:rsid w:val="00971896"/>
    <w:rsid w:val="00973E3B"/>
    <w:rsid w:val="009746F3"/>
    <w:rsid w:val="00976328"/>
    <w:rsid w:val="0097680D"/>
    <w:rsid w:val="00976DF6"/>
    <w:rsid w:val="00980BEB"/>
    <w:rsid w:val="009819D2"/>
    <w:rsid w:val="00982438"/>
    <w:rsid w:val="0098343E"/>
    <w:rsid w:val="00983758"/>
    <w:rsid w:val="00983AF7"/>
    <w:rsid w:val="0098404C"/>
    <w:rsid w:val="00985283"/>
    <w:rsid w:val="00985B34"/>
    <w:rsid w:val="00985E51"/>
    <w:rsid w:val="00992919"/>
    <w:rsid w:val="00994107"/>
    <w:rsid w:val="009952F9"/>
    <w:rsid w:val="00995992"/>
    <w:rsid w:val="0099640C"/>
    <w:rsid w:val="0099648F"/>
    <w:rsid w:val="0099652C"/>
    <w:rsid w:val="00996676"/>
    <w:rsid w:val="009971EC"/>
    <w:rsid w:val="009A03E5"/>
    <w:rsid w:val="009A076D"/>
    <w:rsid w:val="009A0F3B"/>
    <w:rsid w:val="009A1BB4"/>
    <w:rsid w:val="009A2628"/>
    <w:rsid w:val="009A27E6"/>
    <w:rsid w:val="009A3200"/>
    <w:rsid w:val="009A67AE"/>
    <w:rsid w:val="009A70DA"/>
    <w:rsid w:val="009A77E5"/>
    <w:rsid w:val="009A7A46"/>
    <w:rsid w:val="009B04AF"/>
    <w:rsid w:val="009B0897"/>
    <w:rsid w:val="009B1898"/>
    <w:rsid w:val="009B2207"/>
    <w:rsid w:val="009B2BC7"/>
    <w:rsid w:val="009B431E"/>
    <w:rsid w:val="009B4661"/>
    <w:rsid w:val="009B476B"/>
    <w:rsid w:val="009B5124"/>
    <w:rsid w:val="009B6813"/>
    <w:rsid w:val="009B69FC"/>
    <w:rsid w:val="009B6F12"/>
    <w:rsid w:val="009B7BD9"/>
    <w:rsid w:val="009C005D"/>
    <w:rsid w:val="009C1342"/>
    <w:rsid w:val="009C28CB"/>
    <w:rsid w:val="009C5ACA"/>
    <w:rsid w:val="009C696E"/>
    <w:rsid w:val="009C7DD5"/>
    <w:rsid w:val="009D09B8"/>
    <w:rsid w:val="009D187A"/>
    <w:rsid w:val="009D22A1"/>
    <w:rsid w:val="009D5434"/>
    <w:rsid w:val="009D5889"/>
    <w:rsid w:val="009D70EA"/>
    <w:rsid w:val="009D742B"/>
    <w:rsid w:val="009D7D11"/>
    <w:rsid w:val="009E0C28"/>
    <w:rsid w:val="009E1042"/>
    <w:rsid w:val="009E1E19"/>
    <w:rsid w:val="009E1E87"/>
    <w:rsid w:val="009E227D"/>
    <w:rsid w:val="009E2CCE"/>
    <w:rsid w:val="009E40AB"/>
    <w:rsid w:val="009E5019"/>
    <w:rsid w:val="009E5AB3"/>
    <w:rsid w:val="009E5DB5"/>
    <w:rsid w:val="009F0889"/>
    <w:rsid w:val="009F179C"/>
    <w:rsid w:val="009F230C"/>
    <w:rsid w:val="009F2976"/>
    <w:rsid w:val="009F4220"/>
    <w:rsid w:val="009F55B6"/>
    <w:rsid w:val="00A01C71"/>
    <w:rsid w:val="00A02E52"/>
    <w:rsid w:val="00A03842"/>
    <w:rsid w:val="00A0455F"/>
    <w:rsid w:val="00A04F1B"/>
    <w:rsid w:val="00A0501B"/>
    <w:rsid w:val="00A0524B"/>
    <w:rsid w:val="00A071CB"/>
    <w:rsid w:val="00A073DC"/>
    <w:rsid w:val="00A10265"/>
    <w:rsid w:val="00A107B6"/>
    <w:rsid w:val="00A10B64"/>
    <w:rsid w:val="00A11737"/>
    <w:rsid w:val="00A11B5E"/>
    <w:rsid w:val="00A12417"/>
    <w:rsid w:val="00A130CA"/>
    <w:rsid w:val="00A1346E"/>
    <w:rsid w:val="00A14947"/>
    <w:rsid w:val="00A17350"/>
    <w:rsid w:val="00A222D0"/>
    <w:rsid w:val="00A22905"/>
    <w:rsid w:val="00A25750"/>
    <w:rsid w:val="00A25EE4"/>
    <w:rsid w:val="00A25FB5"/>
    <w:rsid w:val="00A31024"/>
    <w:rsid w:val="00A31694"/>
    <w:rsid w:val="00A32254"/>
    <w:rsid w:val="00A32A83"/>
    <w:rsid w:val="00A335EC"/>
    <w:rsid w:val="00A34DA8"/>
    <w:rsid w:val="00A368DB"/>
    <w:rsid w:val="00A3749A"/>
    <w:rsid w:val="00A40B99"/>
    <w:rsid w:val="00A4156B"/>
    <w:rsid w:val="00A423AA"/>
    <w:rsid w:val="00A42A8D"/>
    <w:rsid w:val="00A42ECC"/>
    <w:rsid w:val="00A43175"/>
    <w:rsid w:val="00A431A5"/>
    <w:rsid w:val="00A43DE9"/>
    <w:rsid w:val="00A44BCC"/>
    <w:rsid w:val="00A4610B"/>
    <w:rsid w:val="00A50835"/>
    <w:rsid w:val="00A516F3"/>
    <w:rsid w:val="00A53EC6"/>
    <w:rsid w:val="00A55C0F"/>
    <w:rsid w:val="00A560D6"/>
    <w:rsid w:val="00A56F0A"/>
    <w:rsid w:val="00A573B1"/>
    <w:rsid w:val="00A57EC4"/>
    <w:rsid w:val="00A60ABA"/>
    <w:rsid w:val="00A62CF8"/>
    <w:rsid w:val="00A6454E"/>
    <w:rsid w:val="00A645E7"/>
    <w:rsid w:val="00A64969"/>
    <w:rsid w:val="00A65D93"/>
    <w:rsid w:val="00A66D0B"/>
    <w:rsid w:val="00A67B06"/>
    <w:rsid w:val="00A7052D"/>
    <w:rsid w:val="00A71993"/>
    <w:rsid w:val="00A72448"/>
    <w:rsid w:val="00A73744"/>
    <w:rsid w:val="00A74079"/>
    <w:rsid w:val="00A75752"/>
    <w:rsid w:val="00A777E1"/>
    <w:rsid w:val="00A8064C"/>
    <w:rsid w:val="00A8076A"/>
    <w:rsid w:val="00A83617"/>
    <w:rsid w:val="00A838D9"/>
    <w:rsid w:val="00A83F3B"/>
    <w:rsid w:val="00A84F8F"/>
    <w:rsid w:val="00A8713F"/>
    <w:rsid w:val="00A9020D"/>
    <w:rsid w:val="00A90BA1"/>
    <w:rsid w:val="00A92009"/>
    <w:rsid w:val="00A92E0D"/>
    <w:rsid w:val="00A95A53"/>
    <w:rsid w:val="00A95B63"/>
    <w:rsid w:val="00A960F4"/>
    <w:rsid w:val="00A97A9A"/>
    <w:rsid w:val="00AA050B"/>
    <w:rsid w:val="00AA0671"/>
    <w:rsid w:val="00AA0E32"/>
    <w:rsid w:val="00AA12EF"/>
    <w:rsid w:val="00AA2531"/>
    <w:rsid w:val="00AA3240"/>
    <w:rsid w:val="00AA3ED8"/>
    <w:rsid w:val="00AA5C04"/>
    <w:rsid w:val="00AA76DA"/>
    <w:rsid w:val="00AB0147"/>
    <w:rsid w:val="00AB01E8"/>
    <w:rsid w:val="00AB1A49"/>
    <w:rsid w:val="00AB1E09"/>
    <w:rsid w:val="00AB2EB9"/>
    <w:rsid w:val="00AB5045"/>
    <w:rsid w:val="00AB5330"/>
    <w:rsid w:val="00AB5B17"/>
    <w:rsid w:val="00AB5BE7"/>
    <w:rsid w:val="00AB6163"/>
    <w:rsid w:val="00AB7747"/>
    <w:rsid w:val="00AB7F34"/>
    <w:rsid w:val="00AC0299"/>
    <w:rsid w:val="00AC08AC"/>
    <w:rsid w:val="00AC0F12"/>
    <w:rsid w:val="00AC14CE"/>
    <w:rsid w:val="00AC1E71"/>
    <w:rsid w:val="00AC24ED"/>
    <w:rsid w:val="00AC264C"/>
    <w:rsid w:val="00AC2A56"/>
    <w:rsid w:val="00AC3DEF"/>
    <w:rsid w:val="00AC407D"/>
    <w:rsid w:val="00AC4A37"/>
    <w:rsid w:val="00AC6E97"/>
    <w:rsid w:val="00AC7EAA"/>
    <w:rsid w:val="00AD055E"/>
    <w:rsid w:val="00AD2EE8"/>
    <w:rsid w:val="00AD3415"/>
    <w:rsid w:val="00AD47A7"/>
    <w:rsid w:val="00AD51E9"/>
    <w:rsid w:val="00AD5E95"/>
    <w:rsid w:val="00AD63F7"/>
    <w:rsid w:val="00AD6F64"/>
    <w:rsid w:val="00AD7156"/>
    <w:rsid w:val="00AE1B4F"/>
    <w:rsid w:val="00AE525C"/>
    <w:rsid w:val="00AE52B8"/>
    <w:rsid w:val="00AE76E1"/>
    <w:rsid w:val="00AF0CBF"/>
    <w:rsid w:val="00AF257F"/>
    <w:rsid w:val="00AF33CF"/>
    <w:rsid w:val="00AF443F"/>
    <w:rsid w:val="00AF4D50"/>
    <w:rsid w:val="00AF6179"/>
    <w:rsid w:val="00AF65D8"/>
    <w:rsid w:val="00B0069E"/>
    <w:rsid w:val="00B0199D"/>
    <w:rsid w:val="00B019F0"/>
    <w:rsid w:val="00B02273"/>
    <w:rsid w:val="00B02BB7"/>
    <w:rsid w:val="00B02F48"/>
    <w:rsid w:val="00B040B0"/>
    <w:rsid w:val="00B04B14"/>
    <w:rsid w:val="00B0535C"/>
    <w:rsid w:val="00B1176D"/>
    <w:rsid w:val="00B1295A"/>
    <w:rsid w:val="00B136CF"/>
    <w:rsid w:val="00B14924"/>
    <w:rsid w:val="00B16117"/>
    <w:rsid w:val="00B161ED"/>
    <w:rsid w:val="00B1673C"/>
    <w:rsid w:val="00B17017"/>
    <w:rsid w:val="00B171EA"/>
    <w:rsid w:val="00B17B84"/>
    <w:rsid w:val="00B17BA8"/>
    <w:rsid w:val="00B20A45"/>
    <w:rsid w:val="00B217D2"/>
    <w:rsid w:val="00B227F3"/>
    <w:rsid w:val="00B228AE"/>
    <w:rsid w:val="00B22C5C"/>
    <w:rsid w:val="00B24F30"/>
    <w:rsid w:val="00B27AF7"/>
    <w:rsid w:val="00B27E17"/>
    <w:rsid w:val="00B27FB0"/>
    <w:rsid w:val="00B30340"/>
    <w:rsid w:val="00B30D5F"/>
    <w:rsid w:val="00B31ABF"/>
    <w:rsid w:val="00B32F66"/>
    <w:rsid w:val="00B33260"/>
    <w:rsid w:val="00B33BE3"/>
    <w:rsid w:val="00B33F50"/>
    <w:rsid w:val="00B345BF"/>
    <w:rsid w:val="00B36C3B"/>
    <w:rsid w:val="00B42367"/>
    <w:rsid w:val="00B42775"/>
    <w:rsid w:val="00B455C3"/>
    <w:rsid w:val="00B45AAE"/>
    <w:rsid w:val="00B46A7D"/>
    <w:rsid w:val="00B505FF"/>
    <w:rsid w:val="00B5154F"/>
    <w:rsid w:val="00B521A5"/>
    <w:rsid w:val="00B52F69"/>
    <w:rsid w:val="00B53B5D"/>
    <w:rsid w:val="00B54929"/>
    <w:rsid w:val="00B56784"/>
    <w:rsid w:val="00B56973"/>
    <w:rsid w:val="00B577F2"/>
    <w:rsid w:val="00B6055E"/>
    <w:rsid w:val="00B60B28"/>
    <w:rsid w:val="00B625A5"/>
    <w:rsid w:val="00B6317D"/>
    <w:rsid w:val="00B633EC"/>
    <w:rsid w:val="00B6386B"/>
    <w:rsid w:val="00B6445C"/>
    <w:rsid w:val="00B65E64"/>
    <w:rsid w:val="00B66196"/>
    <w:rsid w:val="00B66830"/>
    <w:rsid w:val="00B67001"/>
    <w:rsid w:val="00B67BAB"/>
    <w:rsid w:val="00B72204"/>
    <w:rsid w:val="00B73450"/>
    <w:rsid w:val="00B7392B"/>
    <w:rsid w:val="00B7568D"/>
    <w:rsid w:val="00B7723F"/>
    <w:rsid w:val="00B801B1"/>
    <w:rsid w:val="00B80534"/>
    <w:rsid w:val="00B809B5"/>
    <w:rsid w:val="00B815F2"/>
    <w:rsid w:val="00B837C0"/>
    <w:rsid w:val="00B83FA4"/>
    <w:rsid w:val="00B8433C"/>
    <w:rsid w:val="00B85BE6"/>
    <w:rsid w:val="00B86099"/>
    <w:rsid w:val="00B8635D"/>
    <w:rsid w:val="00B873DE"/>
    <w:rsid w:val="00B87491"/>
    <w:rsid w:val="00B93666"/>
    <w:rsid w:val="00B953A1"/>
    <w:rsid w:val="00B95B6F"/>
    <w:rsid w:val="00B95C78"/>
    <w:rsid w:val="00B96785"/>
    <w:rsid w:val="00BA153D"/>
    <w:rsid w:val="00BA262A"/>
    <w:rsid w:val="00BA29E9"/>
    <w:rsid w:val="00BA419E"/>
    <w:rsid w:val="00BA7142"/>
    <w:rsid w:val="00BA793C"/>
    <w:rsid w:val="00BA794D"/>
    <w:rsid w:val="00BB0979"/>
    <w:rsid w:val="00BB17CF"/>
    <w:rsid w:val="00BB1EEA"/>
    <w:rsid w:val="00BB237C"/>
    <w:rsid w:val="00BB2B71"/>
    <w:rsid w:val="00BB3B54"/>
    <w:rsid w:val="00BB3DE8"/>
    <w:rsid w:val="00BB41A3"/>
    <w:rsid w:val="00BB4DBC"/>
    <w:rsid w:val="00BB5EB5"/>
    <w:rsid w:val="00BC16E8"/>
    <w:rsid w:val="00BC32DC"/>
    <w:rsid w:val="00BC35B6"/>
    <w:rsid w:val="00BC4F04"/>
    <w:rsid w:val="00BD1B51"/>
    <w:rsid w:val="00BD2191"/>
    <w:rsid w:val="00BD2B82"/>
    <w:rsid w:val="00BD4596"/>
    <w:rsid w:val="00BD4EFC"/>
    <w:rsid w:val="00BD7A18"/>
    <w:rsid w:val="00BE027E"/>
    <w:rsid w:val="00BE033D"/>
    <w:rsid w:val="00BE04E4"/>
    <w:rsid w:val="00BE09D9"/>
    <w:rsid w:val="00BE0DBC"/>
    <w:rsid w:val="00BE0DCE"/>
    <w:rsid w:val="00BE1405"/>
    <w:rsid w:val="00BE1A26"/>
    <w:rsid w:val="00BE1B7B"/>
    <w:rsid w:val="00BE1F88"/>
    <w:rsid w:val="00BE308F"/>
    <w:rsid w:val="00BE312D"/>
    <w:rsid w:val="00BE3CE3"/>
    <w:rsid w:val="00BE4CDE"/>
    <w:rsid w:val="00BE585D"/>
    <w:rsid w:val="00BE6898"/>
    <w:rsid w:val="00BE738D"/>
    <w:rsid w:val="00BE766B"/>
    <w:rsid w:val="00BF02F5"/>
    <w:rsid w:val="00BF13AC"/>
    <w:rsid w:val="00BF1C20"/>
    <w:rsid w:val="00BF2AF3"/>
    <w:rsid w:val="00BF348A"/>
    <w:rsid w:val="00BF44A9"/>
    <w:rsid w:val="00BF5524"/>
    <w:rsid w:val="00C03952"/>
    <w:rsid w:val="00C068DF"/>
    <w:rsid w:val="00C10578"/>
    <w:rsid w:val="00C12610"/>
    <w:rsid w:val="00C135BC"/>
    <w:rsid w:val="00C154E6"/>
    <w:rsid w:val="00C15C95"/>
    <w:rsid w:val="00C1603B"/>
    <w:rsid w:val="00C179CB"/>
    <w:rsid w:val="00C21CB8"/>
    <w:rsid w:val="00C22332"/>
    <w:rsid w:val="00C23ABC"/>
    <w:rsid w:val="00C2596A"/>
    <w:rsid w:val="00C25B51"/>
    <w:rsid w:val="00C26440"/>
    <w:rsid w:val="00C272BC"/>
    <w:rsid w:val="00C27537"/>
    <w:rsid w:val="00C30C36"/>
    <w:rsid w:val="00C328FE"/>
    <w:rsid w:val="00C32C7B"/>
    <w:rsid w:val="00C33507"/>
    <w:rsid w:val="00C36A5E"/>
    <w:rsid w:val="00C3719C"/>
    <w:rsid w:val="00C40314"/>
    <w:rsid w:val="00C40973"/>
    <w:rsid w:val="00C4186F"/>
    <w:rsid w:val="00C42C0E"/>
    <w:rsid w:val="00C42C1D"/>
    <w:rsid w:val="00C4409D"/>
    <w:rsid w:val="00C442A4"/>
    <w:rsid w:val="00C44E72"/>
    <w:rsid w:val="00C44FC5"/>
    <w:rsid w:val="00C45A06"/>
    <w:rsid w:val="00C4633B"/>
    <w:rsid w:val="00C477D2"/>
    <w:rsid w:val="00C47E5B"/>
    <w:rsid w:val="00C50370"/>
    <w:rsid w:val="00C50DB2"/>
    <w:rsid w:val="00C51A4C"/>
    <w:rsid w:val="00C51A59"/>
    <w:rsid w:val="00C53136"/>
    <w:rsid w:val="00C55426"/>
    <w:rsid w:val="00C56A86"/>
    <w:rsid w:val="00C56F24"/>
    <w:rsid w:val="00C570EA"/>
    <w:rsid w:val="00C57435"/>
    <w:rsid w:val="00C57461"/>
    <w:rsid w:val="00C57C58"/>
    <w:rsid w:val="00C57F67"/>
    <w:rsid w:val="00C6136C"/>
    <w:rsid w:val="00C61E4B"/>
    <w:rsid w:val="00C63106"/>
    <w:rsid w:val="00C64BFF"/>
    <w:rsid w:val="00C65A89"/>
    <w:rsid w:val="00C6606F"/>
    <w:rsid w:val="00C67E90"/>
    <w:rsid w:val="00C704E9"/>
    <w:rsid w:val="00C71804"/>
    <w:rsid w:val="00C72998"/>
    <w:rsid w:val="00C75789"/>
    <w:rsid w:val="00C758A6"/>
    <w:rsid w:val="00C763C9"/>
    <w:rsid w:val="00C7644E"/>
    <w:rsid w:val="00C7672D"/>
    <w:rsid w:val="00C76A08"/>
    <w:rsid w:val="00C775D6"/>
    <w:rsid w:val="00C80057"/>
    <w:rsid w:val="00C8147D"/>
    <w:rsid w:val="00C82232"/>
    <w:rsid w:val="00C82913"/>
    <w:rsid w:val="00C832D8"/>
    <w:rsid w:val="00C8369F"/>
    <w:rsid w:val="00C87E98"/>
    <w:rsid w:val="00C91518"/>
    <w:rsid w:val="00C91E26"/>
    <w:rsid w:val="00C91E9B"/>
    <w:rsid w:val="00C92FAD"/>
    <w:rsid w:val="00C931EF"/>
    <w:rsid w:val="00C938D2"/>
    <w:rsid w:val="00C93C1A"/>
    <w:rsid w:val="00C943DF"/>
    <w:rsid w:val="00C94911"/>
    <w:rsid w:val="00C9550F"/>
    <w:rsid w:val="00C96C9A"/>
    <w:rsid w:val="00C970EE"/>
    <w:rsid w:val="00C972B1"/>
    <w:rsid w:val="00CA1408"/>
    <w:rsid w:val="00CA154E"/>
    <w:rsid w:val="00CA292E"/>
    <w:rsid w:val="00CA2CCE"/>
    <w:rsid w:val="00CA41A9"/>
    <w:rsid w:val="00CA43FD"/>
    <w:rsid w:val="00CA48C1"/>
    <w:rsid w:val="00CA5551"/>
    <w:rsid w:val="00CA5DB3"/>
    <w:rsid w:val="00CA7EF8"/>
    <w:rsid w:val="00CB0538"/>
    <w:rsid w:val="00CB0C70"/>
    <w:rsid w:val="00CB0EBA"/>
    <w:rsid w:val="00CB4036"/>
    <w:rsid w:val="00CB4302"/>
    <w:rsid w:val="00CB5904"/>
    <w:rsid w:val="00CB62B1"/>
    <w:rsid w:val="00CB6460"/>
    <w:rsid w:val="00CB661C"/>
    <w:rsid w:val="00CC0E6E"/>
    <w:rsid w:val="00CC0E85"/>
    <w:rsid w:val="00CC12CD"/>
    <w:rsid w:val="00CC1C1E"/>
    <w:rsid w:val="00CC1FDF"/>
    <w:rsid w:val="00CC2190"/>
    <w:rsid w:val="00CC489B"/>
    <w:rsid w:val="00CC4AE8"/>
    <w:rsid w:val="00CC6917"/>
    <w:rsid w:val="00CC748D"/>
    <w:rsid w:val="00CC76BA"/>
    <w:rsid w:val="00CC796D"/>
    <w:rsid w:val="00CD062F"/>
    <w:rsid w:val="00CD1BB3"/>
    <w:rsid w:val="00CD24CD"/>
    <w:rsid w:val="00CD254B"/>
    <w:rsid w:val="00CD2BCD"/>
    <w:rsid w:val="00CD34BE"/>
    <w:rsid w:val="00CD3A4C"/>
    <w:rsid w:val="00CD444A"/>
    <w:rsid w:val="00CD52D2"/>
    <w:rsid w:val="00CD5484"/>
    <w:rsid w:val="00CE10E9"/>
    <w:rsid w:val="00CE1326"/>
    <w:rsid w:val="00CE15C9"/>
    <w:rsid w:val="00CE16AC"/>
    <w:rsid w:val="00CE1C26"/>
    <w:rsid w:val="00CE20C8"/>
    <w:rsid w:val="00CE26F3"/>
    <w:rsid w:val="00CE2910"/>
    <w:rsid w:val="00CE3F86"/>
    <w:rsid w:val="00CE5393"/>
    <w:rsid w:val="00CF0029"/>
    <w:rsid w:val="00CF1B0A"/>
    <w:rsid w:val="00CF2476"/>
    <w:rsid w:val="00CF36BE"/>
    <w:rsid w:val="00CF4731"/>
    <w:rsid w:val="00CF4890"/>
    <w:rsid w:val="00CF4E76"/>
    <w:rsid w:val="00CF6000"/>
    <w:rsid w:val="00CF79D2"/>
    <w:rsid w:val="00D003F3"/>
    <w:rsid w:val="00D00BDB"/>
    <w:rsid w:val="00D01B54"/>
    <w:rsid w:val="00D02235"/>
    <w:rsid w:val="00D0236C"/>
    <w:rsid w:val="00D0364F"/>
    <w:rsid w:val="00D045A1"/>
    <w:rsid w:val="00D06834"/>
    <w:rsid w:val="00D073A0"/>
    <w:rsid w:val="00D1052C"/>
    <w:rsid w:val="00D11A31"/>
    <w:rsid w:val="00D13035"/>
    <w:rsid w:val="00D13898"/>
    <w:rsid w:val="00D17537"/>
    <w:rsid w:val="00D234EF"/>
    <w:rsid w:val="00D2436F"/>
    <w:rsid w:val="00D262A0"/>
    <w:rsid w:val="00D26455"/>
    <w:rsid w:val="00D2766F"/>
    <w:rsid w:val="00D27DDE"/>
    <w:rsid w:val="00D3047F"/>
    <w:rsid w:val="00D308ED"/>
    <w:rsid w:val="00D31CC9"/>
    <w:rsid w:val="00D327A2"/>
    <w:rsid w:val="00D344C6"/>
    <w:rsid w:val="00D34B68"/>
    <w:rsid w:val="00D35505"/>
    <w:rsid w:val="00D36884"/>
    <w:rsid w:val="00D36934"/>
    <w:rsid w:val="00D36D86"/>
    <w:rsid w:val="00D40359"/>
    <w:rsid w:val="00D40A0A"/>
    <w:rsid w:val="00D40E57"/>
    <w:rsid w:val="00D41BF4"/>
    <w:rsid w:val="00D428AA"/>
    <w:rsid w:val="00D42906"/>
    <w:rsid w:val="00D42B97"/>
    <w:rsid w:val="00D43DA9"/>
    <w:rsid w:val="00D4404B"/>
    <w:rsid w:val="00D44DA6"/>
    <w:rsid w:val="00D4597E"/>
    <w:rsid w:val="00D45FBE"/>
    <w:rsid w:val="00D50A34"/>
    <w:rsid w:val="00D5108E"/>
    <w:rsid w:val="00D51091"/>
    <w:rsid w:val="00D513AD"/>
    <w:rsid w:val="00D51974"/>
    <w:rsid w:val="00D520EC"/>
    <w:rsid w:val="00D52AFA"/>
    <w:rsid w:val="00D52DE8"/>
    <w:rsid w:val="00D5302A"/>
    <w:rsid w:val="00D53102"/>
    <w:rsid w:val="00D53EFA"/>
    <w:rsid w:val="00D5447F"/>
    <w:rsid w:val="00D5502C"/>
    <w:rsid w:val="00D575D0"/>
    <w:rsid w:val="00D57FB6"/>
    <w:rsid w:val="00D62778"/>
    <w:rsid w:val="00D64723"/>
    <w:rsid w:val="00D64816"/>
    <w:rsid w:val="00D64859"/>
    <w:rsid w:val="00D64C56"/>
    <w:rsid w:val="00D64E2F"/>
    <w:rsid w:val="00D64F31"/>
    <w:rsid w:val="00D657B0"/>
    <w:rsid w:val="00D6581E"/>
    <w:rsid w:val="00D679DE"/>
    <w:rsid w:val="00D67F98"/>
    <w:rsid w:val="00D70898"/>
    <w:rsid w:val="00D711D6"/>
    <w:rsid w:val="00D71A36"/>
    <w:rsid w:val="00D7309C"/>
    <w:rsid w:val="00D738D7"/>
    <w:rsid w:val="00D744AE"/>
    <w:rsid w:val="00D74871"/>
    <w:rsid w:val="00D74E97"/>
    <w:rsid w:val="00D81158"/>
    <w:rsid w:val="00D8151A"/>
    <w:rsid w:val="00D81A64"/>
    <w:rsid w:val="00D842DF"/>
    <w:rsid w:val="00D8704E"/>
    <w:rsid w:val="00D87193"/>
    <w:rsid w:val="00D90605"/>
    <w:rsid w:val="00D9116A"/>
    <w:rsid w:val="00D93996"/>
    <w:rsid w:val="00D93A51"/>
    <w:rsid w:val="00D94A7C"/>
    <w:rsid w:val="00D95572"/>
    <w:rsid w:val="00D956A1"/>
    <w:rsid w:val="00D95896"/>
    <w:rsid w:val="00D97DE3"/>
    <w:rsid w:val="00DA02A8"/>
    <w:rsid w:val="00DA0A3D"/>
    <w:rsid w:val="00DA0C4D"/>
    <w:rsid w:val="00DA23F8"/>
    <w:rsid w:val="00DA2D35"/>
    <w:rsid w:val="00DA41BC"/>
    <w:rsid w:val="00DA439A"/>
    <w:rsid w:val="00DA481B"/>
    <w:rsid w:val="00DA4FC8"/>
    <w:rsid w:val="00DB081F"/>
    <w:rsid w:val="00DB238A"/>
    <w:rsid w:val="00DB2983"/>
    <w:rsid w:val="00DB2B9B"/>
    <w:rsid w:val="00DB381D"/>
    <w:rsid w:val="00DB4901"/>
    <w:rsid w:val="00DC035B"/>
    <w:rsid w:val="00DC1257"/>
    <w:rsid w:val="00DC1730"/>
    <w:rsid w:val="00DC2043"/>
    <w:rsid w:val="00DC3DC0"/>
    <w:rsid w:val="00DC4C1E"/>
    <w:rsid w:val="00DC52F8"/>
    <w:rsid w:val="00DC5B2B"/>
    <w:rsid w:val="00DC62CE"/>
    <w:rsid w:val="00DC696F"/>
    <w:rsid w:val="00DD04E8"/>
    <w:rsid w:val="00DD102D"/>
    <w:rsid w:val="00DD12E9"/>
    <w:rsid w:val="00DD187E"/>
    <w:rsid w:val="00DD2575"/>
    <w:rsid w:val="00DD318D"/>
    <w:rsid w:val="00DD333D"/>
    <w:rsid w:val="00DD4B3B"/>
    <w:rsid w:val="00DD549D"/>
    <w:rsid w:val="00DD63BD"/>
    <w:rsid w:val="00DD715D"/>
    <w:rsid w:val="00DD7C0C"/>
    <w:rsid w:val="00DE0C7F"/>
    <w:rsid w:val="00DE16A9"/>
    <w:rsid w:val="00DE25E9"/>
    <w:rsid w:val="00DE27C3"/>
    <w:rsid w:val="00DE5195"/>
    <w:rsid w:val="00DE6A91"/>
    <w:rsid w:val="00DE6DF7"/>
    <w:rsid w:val="00DE7271"/>
    <w:rsid w:val="00DF1B19"/>
    <w:rsid w:val="00DF2E12"/>
    <w:rsid w:val="00DF3D66"/>
    <w:rsid w:val="00DF446D"/>
    <w:rsid w:val="00DF466E"/>
    <w:rsid w:val="00DF4FD8"/>
    <w:rsid w:val="00DF514A"/>
    <w:rsid w:val="00DF52D8"/>
    <w:rsid w:val="00DF61BC"/>
    <w:rsid w:val="00DF6690"/>
    <w:rsid w:val="00DF678C"/>
    <w:rsid w:val="00DF6804"/>
    <w:rsid w:val="00DF6C4E"/>
    <w:rsid w:val="00E00635"/>
    <w:rsid w:val="00E01E21"/>
    <w:rsid w:val="00E02013"/>
    <w:rsid w:val="00E02337"/>
    <w:rsid w:val="00E02E56"/>
    <w:rsid w:val="00E034BC"/>
    <w:rsid w:val="00E0358D"/>
    <w:rsid w:val="00E04323"/>
    <w:rsid w:val="00E04EAA"/>
    <w:rsid w:val="00E050F2"/>
    <w:rsid w:val="00E06303"/>
    <w:rsid w:val="00E070A2"/>
    <w:rsid w:val="00E10ACC"/>
    <w:rsid w:val="00E12B1E"/>
    <w:rsid w:val="00E1475F"/>
    <w:rsid w:val="00E14B8D"/>
    <w:rsid w:val="00E14CD0"/>
    <w:rsid w:val="00E15F18"/>
    <w:rsid w:val="00E16093"/>
    <w:rsid w:val="00E16425"/>
    <w:rsid w:val="00E17008"/>
    <w:rsid w:val="00E17636"/>
    <w:rsid w:val="00E17734"/>
    <w:rsid w:val="00E20136"/>
    <w:rsid w:val="00E20CED"/>
    <w:rsid w:val="00E2309F"/>
    <w:rsid w:val="00E235FD"/>
    <w:rsid w:val="00E24262"/>
    <w:rsid w:val="00E24B61"/>
    <w:rsid w:val="00E2630E"/>
    <w:rsid w:val="00E264A0"/>
    <w:rsid w:val="00E2656A"/>
    <w:rsid w:val="00E3068E"/>
    <w:rsid w:val="00E31154"/>
    <w:rsid w:val="00E318BF"/>
    <w:rsid w:val="00E325D8"/>
    <w:rsid w:val="00E33E10"/>
    <w:rsid w:val="00E34874"/>
    <w:rsid w:val="00E378C1"/>
    <w:rsid w:val="00E412D0"/>
    <w:rsid w:val="00E45CD0"/>
    <w:rsid w:val="00E473D3"/>
    <w:rsid w:val="00E47B31"/>
    <w:rsid w:val="00E508B1"/>
    <w:rsid w:val="00E52461"/>
    <w:rsid w:val="00E53E99"/>
    <w:rsid w:val="00E53ED4"/>
    <w:rsid w:val="00E56322"/>
    <w:rsid w:val="00E57953"/>
    <w:rsid w:val="00E60982"/>
    <w:rsid w:val="00E60A2D"/>
    <w:rsid w:val="00E61A06"/>
    <w:rsid w:val="00E62C62"/>
    <w:rsid w:val="00E64873"/>
    <w:rsid w:val="00E651F1"/>
    <w:rsid w:val="00E654C1"/>
    <w:rsid w:val="00E65D97"/>
    <w:rsid w:val="00E67CD6"/>
    <w:rsid w:val="00E70085"/>
    <w:rsid w:val="00E71304"/>
    <w:rsid w:val="00E7141D"/>
    <w:rsid w:val="00E71901"/>
    <w:rsid w:val="00E71ED2"/>
    <w:rsid w:val="00E72A5A"/>
    <w:rsid w:val="00E73354"/>
    <w:rsid w:val="00E75102"/>
    <w:rsid w:val="00E752A7"/>
    <w:rsid w:val="00E77D8A"/>
    <w:rsid w:val="00E805C9"/>
    <w:rsid w:val="00E806D6"/>
    <w:rsid w:val="00E81AA9"/>
    <w:rsid w:val="00E81B45"/>
    <w:rsid w:val="00E825FD"/>
    <w:rsid w:val="00E84814"/>
    <w:rsid w:val="00E868FE"/>
    <w:rsid w:val="00E9130E"/>
    <w:rsid w:val="00E91BD2"/>
    <w:rsid w:val="00E9242D"/>
    <w:rsid w:val="00E94615"/>
    <w:rsid w:val="00E9479F"/>
    <w:rsid w:val="00E94FDF"/>
    <w:rsid w:val="00E95697"/>
    <w:rsid w:val="00E96278"/>
    <w:rsid w:val="00E96823"/>
    <w:rsid w:val="00EA13DC"/>
    <w:rsid w:val="00EA4687"/>
    <w:rsid w:val="00EA4C0A"/>
    <w:rsid w:val="00EA5734"/>
    <w:rsid w:val="00EA6339"/>
    <w:rsid w:val="00EB078E"/>
    <w:rsid w:val="00EB09DA"/>
    <w:rsid w:val="00EB1E1B"/>
    <w:rsid w:val="00EB1FE6"/>
    <w:rsid w:val="00EB5255"/>
    <w:rsid w:val="00EB55BE"/>
    <w:rsid w:val="00EB5B96"/>
    <w:rsid w:val="00EB5C47"/>
    <w:rsid w:val="00EC1677"/>
    <w:rsid w:val="00EC3EA7"/>
    <w:rsid w:val="00EC42A7"/>
    <w:rsid w:val="00ED0639"/>
    <w:rsid w:val="00ED1671"/>
    <w:rsid w:val="00ED4C05"/>
    <w:rsid w:val="00ED5FFE"/>
    <w:rsid w:val="00ED665C"/>
    <w:rsid w:val="00ED6F16"/>
    <w:rsid w:val="00ED7A6F"/>
    <w:rsid w:val="00EE0830"/>
    <w:rsid w:val="00EE1EB4"/>
    <w:rsid w:val="00EE26E8"/>
    <w:rsid w:val="00EE3377"/>
    <w:rsid w:val="00EE35BB"/>
    <w:rsid w:val="00EE607E"/>
    <w:rsid w:val="00EF1F03"/>
    <w:rsid w:val="00EF2434"/>
    <w:rsid w:val="00EF28EF"/>
    <w:rsid w:val="00EF3DFC"/>
    <w:rsid w:val="00EF4755"/>
    <w:rsid w:val="00EF5264"/>
    <w:rsid w:val="00EF6412"/>
    <w:rsid w:val="00EF7135"/>
    <w:rsid w:val="00F011D1"/>
    <w:rsid w:val="00F01444"/>
    <w:rsid w:val="00F027DB"/>
    <w:rsid w:val="00F049C4"/>
    <w:rsid w:val="00F04DDA"/>
    <w:rsid w:val="00F04EBF"/>
    <w:rsid w:val="00F0544C"/>
    <w:rsid w:val="00F060C5"/>
    <w:rsid w:val="00F10600"/>
    <w:rsid w:val="00F123BE"/>
    <w:rsid w:val="00F1358F"/>
    <w:rsid w:val="00F14A7A"/>
    <w:rsid w:val="00F151C6"/>
    <w:rsid w:val="00F15636"/>
    <w:rsid w:val="00F1777B"/>
    <w:rsid w:val="00F202C4"/>
    <w:rsid w:val="00F22985"/>
    <w:rsid w:val="00F22DDF"/>
    <w:rsid w:val="00F25FED"/>
    <w:rsid w:val="00F2657B"/>
    <w:rsid w:val="00F267B6"/>
    <w:rsid w:val="00F31E70"/>
    <w:rsid w:val="00F31F99"/>
    <w:rsid w:val="00F332C9"/>
    <w:rsid w:val="00F3383E"/>
    <w:rsid w:val="00F355A8"/>
    <w:rsid w:val="00F35EAA"/>
    <w:rsid w:val="00F369A1"/>
    <w:rsid w:val="00F37A36"/>
    <w:rsid w:val="00F41DD3"/>
    <w:rsid w:val="00F44859"/>
    <w:rsid w:val="00F44D72"/>
    <w:rsid w:val="00F45745"/>
    <w:rsid w:val="00F458EB"/>
    <w:rsid w:val="00F462EA"/>
    <w:rsid w:val="00F465A7"/>
    <w:rsid w:val="00F504F0"/>
    <w:rsid w:val="00F50B7C"/>
    <w:rsid w:val="00F51B5B"/>
    <w:rsid w:val="00F51D98"/>
    <w:rsid w:val="00F51E41"/>
    <w:rsid w:val="00F520FB"/>
    <w:rsid w:val="00F533A8"/>
    <w:rsid w:val="00F550E6"/>
    <w:rsid w:val="00F55D72"/>
    <w:rsid w:val="00F6177E"/>
    <w:rsid w:val="00F62367"/>
    <w:rsid w:val="00F66017"/>
    <w:rsid w:val="00F66675"/>
    <w:rsid w:val="00F667DB"/>
    <w:rsid w:val="00F700FA"/>
    <w:rsid w:val="00F709D7"/>
    <w:rsid w:val="00F712F6"/>
    <w:rsid w:val="00F73242"/>
    <w:rsid w:val="00F74345"/>
    <w:rsid w:val="00F763CD"/>
    <w:rsid w:val="00F80A0A"/>
    <w:rsid w:val="00F819F9"/>
    <w:rsid w:val="00F81ED0"/>
    <w:rsid w:val="00F82B19"/>
    <w:rsid w:val="00F82C91"/>
    <w:rsid w:val="00F8317A"/>
    <w:rsid w:val="00F843BF"/>
    <w:rsid w:val="00F848E6"/>
    <w:rsid w:val="00F862E7"/>
    <w:rsid w:val="00F87502"/>
    <w:rsid w:val="00F918C0"/>
    <w:rsid w:val="00F91D94"/>
    <w:rsid w:val="00F9212D"/>
    <w:rsid w:val="00F92A16"/>
    <w:rsid w:val="00F946DB"/>
    <w:rsid w:val="00F949E8"/>
    <w:rsid w:val="00F965DA"/>
    <w:rsid w:val="00F96F00"/>
    <w:rsid w:val="00FA0E6A"/>
    <w:rsid w:val="00FA13AA"/>
    <w:rsid w:val="00FA1B87"/>
    <w:rsid w:val="00FA2B48"/>
    <w:rsid w:val="00FA2F8D"/>
    <w:rsid w:val="00FA33FF"/>
    <w:rsid w:val="00FA406A"/>
    <w:rsid w:val="00FA4DA7"/>
    <w:rsid w:val="00FA52D9"/>
    <w:rsid w:val="00FA6408"/>
    <w:rsid w:val="00FB14D0"/>
    <w:rsid w:val="00FB2A16"/>
    <w:rsid w:val="00FB3898"/>
    <w:rsid w:val="00FB503A"/>
    <w:rsid w:val="00FB516C"/>
    <w:rsid w:val="00FB5B45"/>
    <w:rsid w:val="00FB674E"/>
    <w:rsid w:val="00FB70F7"/>
    <w:rsid w:val="00FB7ADD"/>
    <w:rsid w:val="00FB7BE9"/>
    <w:rsid w:val="00FC0301"/>
    <w:rsid w:val="00FC069D"/>
    <w:rsid w:val="00FC1732"/>
    <w:rsid w:val="00FC4724"/>
    <w:rsid w:val="00FC48CF"/>
    <w:rsid w:val="00FC4DCB"/>
    <w:rsid w:val="00FC5799"/>
    <w:rsid w:val="00FC5ABE"/>
    <w:rsid w:val="00FC6549"/>
    <w:rsid w:val="00FD0236"/>
    <w:rsid w:val="00FD1268"/>
    <w:rsid w:val="00FD18F4"/>
    <w:rsid w:val="00FD3367"/>
    <w:rsid w:val="00FD54DB"/>
    <w:rsid w:val="00FD619F"/>
    <w:rsid w:val="00FD7052"/>
    <w:rsid w:val="00FD7071"/>
    <w:rsid w:val="00FD7B94"/>
    <w:rsid w:val="00FE03D2"/>
    <w:rsid w:val="00FE0451"/>
    <w:rsid w:val="00FE3409"/>
    <w:rsid w:val="00FE36BF"/>
    <w:rsid w:val="00FE3C41"/>
    <w:rsid w:val="00FE43EF"/>
    <w:rsid w:val="00FE5D9C"/>
    <w:rsid w:val="00FF07E4"/>
    <w:rsid w:val="00FF1177"/>
    <w:rsid w:val="00FF30E6"/>
    <w:rsid w:val="00FF36BE"/>
    <w:rsid w:val="00FF419C"/>
    <w:rsid w:val="00FF41AD"/>
    <w:rsid w:val="00FF456C"/>
    <w:rsid w:val="00FF69B3"/>
    <w:rsid w:val="01042A2C"/>
    <w:rsid w:val="01290F7E"/>
    <w:rsid w:val="01521561"/>
    <w:rsid w:val="015D1E09"/>
    <w:rsid w:val="01D414AD"/>
    <w:rsid w:val="023F2212"/>
    <w:rsid w:val="02697903"/>
    <w:rsid w:val="02F96569"/>
    <w:rsid w:val="03DE1176"/>
    <w:rsid w:val="03EA7B21"/>
    <w:rsid w:val="04A17C59"/>
    <w:rsid w:val="058F34B0"/>
    <w:rsid w:val="05977002"/>
    <w:rsid w:val="05F83EAE"/>
    <w:rsid w:val="060D0FFA"/>
    <w:rsid w:val="063E7D85"/>
    <w:rsid w:val="07293586"/>
    <w:rsid w:val="07295285"/>
    <w:rsid w:val="073065CD"/>
    <w:rsid w:val="07636392"/>
    <w:rsid w:val="07770C56"/>
    <w:rsid w:val="08DB7915"/>
    <w:rsid w:val="092217DD"/>
    <w:rsid w:val="093A7294"/>
    <w:rsid w:val="09D038C9"/>
    <w:rsid w:val="0A263993"/>
    <w:rsid w:val="0A2D3AC2"/>
    <w:rsid w:val="0A374116"/>
    <w:rsid w:val="0AA755DF"/>
    <w:rsid w:val="0B120D44"/>
    <w:rsid w:val="0BAD28E2"/>
    <w:rsid w:val="0BD27BF6"/>
    <w:rsid w:val="0C2B1794"/>
    <w:rsid w:val="0C3B3C7D"/>
    <w:rsid w:val="0CAB2EAE"/>
    <w:rsid w:val="0D323056"/>
    <w:rsid w:val="0D621C7D"/>
    <w:rsid w:val="0DDD0653"/>
    <w:rsid w:val="0E1053AA"/>
    <w:rsid w:val="0E73034D"/>
    <w:rsid w:val="0F13775A"/>
    <w:rsid w:val="0F5F45FE"/>
    <w:rsid w:val="0F9A112B"/>
    <w:rsid w:val="106D2F64"/>
    <w:rsid w:val="10B63710"/>
    <w:rsid w:val="10F10820"/>
    <w:rsid w:val="11061B35"/>
    <w:rsid w:val="111C2F7A"/>
    <w:rsid w:val="11665CA1"/>
    <w:rsid w:val="11F0630F"/>
    <w:rsid w:val="12DD6847"/>
    <w:rsid w:val="13951726"/>
    <w:rsid w:val="14396509"/>
    <w:rsid w:val="14DD2C3C"/>
    <w:rsid w:val="158B7030"/>
    <w:rsid w:val="159569B0"/>
    <w:rsid w:val="15B35F47"/>
    <w:rsid w:val="16087E1D"/>
    <w:rsid w:val="16881F81"/>
    <w:rsid w:val="17701D14"/>
    <w:rsid w:val="17735226"/>
    <w:rsid w:val="177644D0"/>
    <w:rsid w:val="17DF3F72"/>
    <w:rsid w:val="180E6167"/>
    <w:rsid w:val="189F624C"/>
    <w:rsid w:val="19B238D5"/>
    <w:rsid w:val="1A1C66C0"/>
    <w:rsid w:val="1A42393B"/>
    <w:rsid w:val="1AAD45DE"/>
    <w:rsid w:val="1ABA2DF7"/>
    <w:rsid w:val="1B046F80"/>
    <w:rsid w:val="1B32070E"/>
    <w:rsid w:val="1B3267B5"/>
    <w:rsid w:val="1B40161D"/>
    <w:rsid w:val="1B441859"/>
    <w:rsid w:val="1B6606B1"/>
    <w:rsid w:val="1B944F25"/>
    <w:rsid w:val="1C5E7925"/>
    <w:rsid w:val="1CA960E3"/>
    <w:rsid w:val="1CFD070F"/>
    <w:rsid w:val="1D5F6196"/>
    <w:rsid w:val="1D6132A5"/>
    <w:rsid w:val="1D631052"/>
    <w:rsid w:val="1D8E56D5"/>
    <w:rsid w:val="1E7A43DA"/>
    <w:rsid w:val="1F75506D"/>
    <w:rsid w:val="1FE7539E"/>
    <w:rsid w:val="20656823"/>
    <w:rsid w:val="20671BE0"/>
    <w:rsid w:val="20963CB8"/>
    <w:rsid w:val="20A81A1B"/>
    <w:rsid w:val="20B07FB6"/>
    <w:rsid w:val="20B646FB"/>
    <w:rsid w:val="213B74B1"/>
    <w:rsid w:val="214D6AFF"/>
    <w:rsid w:val="215A2310"/>
    <w:rsid w:val="21A51EC6"/>
    <w:rsid w:val="21DE318A"/>
    <w:rsid w:val="21EF5B80"/>
    <w:rsid w:val="22576990"/>
    <w:rsid w:val="22B1433D"/>
    <w:rsid w:val="22CA77F2"/>
    <w:rsid w:val="22D410F2"/>
    <w:rsid w:val="22F47480"/>
    <w:rsid w:val="230010BE"/>
    <w:rsid w:val="23DE1C48"/>
    <w:rsid w:val="240210CD"/>
    <w:rsid w:val="249C557D"/>
    <w:rsid w:val="24BF09F7"/>
    <w:rsid w:val="251117C9"/>
    <w:rsid w:val="252A4A57"/>
    <w:rsid w:val="252D53FE"/>
    <w:rsid w:val="25EC2D81"/>
    <w:rsid w:val="260031D4"/>
    <w:rsid w:val="26121868"/>
    <w:rsid w:val="261A3D91"/>
    <w:rsid w:val="262A606D"/>
    <w:rsid w:val="26720558"/>
    <w:rsid w:val="273121C1"/>
    <w:rsid w:val="277057A2"/>
    <w:rsid w:val="282E04AF"/>
    <w:rsid w:val="28884063"/>
    <w:rsid w:val="28BB6332"/>
    <w:rsid w:val="29206EB8"/>
    <w:rsid w:val="29595666"/>
    <w:rsid w:val="29874881"/>
    <w:rsid w:val="29E325E0"/>
    <w:rsid w:val="2A452503"/>
    <w:rsid w:val="2A6D02FE"/>
    <w:rsid w:val="2BA936A8"/>
    <w:rsid w:val="2BAA67FB"/>
    <w:rsid w:val="2BFC07F2"/>
    <w:rsid w:val="2C29790B"/>
    <w:rsid w:val="2C315A5A"/>
    <w:rsid w:val="2C4B1C25"/>
    <w:rsid w:val="2C6802EC"/>
    <w:rsid w:val="2D033B54"/>
    <w:rsid w:val="2D9E56F5"/>
    <w:rsid w:val="2E667F96"/>
    <w:rsid w:val="2E8226AB"/>
    <w:rsid w:val="2F2E25FD"/>
    <w:rsid w:val="2F8135BA"/>
    <w:rsid w:val="2FD065E6"/>
    <w:rsid w:val="2FD96870"/>
    <w:rsid w:val="30580BC9"/>
    <w:rsid w:val="310C0E1E"/>
    <w:rsid w:val="311E2ED7"/>
    <w:rsid w:val="313A1C72"/>
    <w:rsid w:val="315619EE"/>
    <w:rsid w:val="315C449C"/>
    <w:rsid w:val="31B82709"/>
    <w:rsid w:val="31D05482"/>
    <w:rsid w:val="320E06EE"/>
    <w:rsid w:val="323C0139"/>
    <w:rsid w:val="323D6795"/>
    <w:rsid w:val="32400B34"/>
    <w:rsid w:val="329E6876"/>
    <w:rsid w:val="333015F2"/>
    <w:rsid w:val="334B6320"/>
    <w:rsid w:val="33BF0D95"/>
    <w:rsid w:val="33D934D4"/>
    <w:rsid w:val="33ED56C2"/>
    <w:rsid w:val="33FE2F6A"/>
    <w:rsid w:val="340E07E5"/>
    <w:rsid w:val="34235422"/>
    <w:rsid w:val="34235BF7"/>
    <w:rsid w:val="358C5FA8"/>
    <w:rsid w:val="35C15DF1"/>
    <w:rsid w:val="36074A7F"/>
    <w:rsid w:val="36392E40"/>
    <w:rsid w:val="36563B79"/>
    <w:rsid w:val="36923549"/>
    <w:rsid w:val="36B75FBF"/>
    <w:rsid w:val="36BD0C45"/>
    <w:rsid w:val="37E00298"/>
    <w:rsid w:val="38B302F9"/>
    <w:rsid w:val="38B44330"/>
    <w:rsid w:val="38BF0C30"/>
    <w:rsid w:val="38F12CD3"/>
    <w:rsid w:val="38F94775"/>
    <w:rsid w:val="392971ED"/>
    <w:rsid w:val="39325651"/>
    <w:rsid w:val="398E0DAD"/>
    <w:rsid w:val="39F2758E"/>
    <w:rsid w:val="3A327363"/>
    <w:rsid w:val="3A872856"/>
    <w:rsid w:val="3AED7D56"/>
    <w:rsid w:val="3B09606F"/>
    <w:rsid w:val="3B117EE8"/>
    <w:rsid w:val="3B3763D1"/>
    <w:rsid w:val="3C1F267C"/>
    <w:rsid w:val="3C2F6E1E"/>
    <w:rsid w:val="3C4F64BA"/>
    <w:rsid w:val="3C77021F"/>
    <w:rsid w:val="3CDA245A"/>
    <w:rsid w:val="3CE630BD"/>
    <w:rsid w:val="3D1E06B7"/>
    <w:rsid w:val="3D5347E8"/>
    <w:rsid w:val="3E6A3B12"/>
    <w:rsid w:val="3E6B7FCA"/>
    <w:rsid w:val="3E7003FD"/>
    <w:rsid w:val="3E94755B"/>
    <w:rsid w:val="3EDA0523"/>
    <w:rsid w:val="3FB3156E"/>
    <w:rsid w:val="400D569F"/>
    <w:rsid w:val="407056B1"/>
    <w:rsid w:val="407A6407"/>
    <w:rsid w:val="416845DA"/>
    <w:rsid w:val="41F06AA9"/>
    <w:rsid w:val="4200449D"/>
    <w:rsid w:val="423A3BCC"/>
    <w:rsid w:val="424E57D2"/>
    <w:rsid w:val="429F3A96"/>
    <w:rsid w:val="42B26C49"/>
    <w:rsid w:val="433A6FE6"/>
    <w:rsid w:val="43480868"/>
    <w:rsid w:val="4350713C"/>
    <w:rsid w:val="436653E0"/>
    <w:rsid w:val="43C4431A"/>
    <w:rsid w:val="44055877"/>
    <w:rsid w:val="44B951CC"/>
    <w:rsid w:val="44C108B9"/>
    <w:rsid w:val="44CD14E0"/>
    <w:rsid w:val="44F20B0B"/>
    <w:rsid w:val="452E5F4C"/>
    <w:rsid w:val="45612018"/>
    <w:rsid w:val="458946E9"/>
    <w:rsid w:val="45A47C0E"/>
    <w:rsid w:val="4601059C"/>
    <w:rsid w:val="46577FD6"/>
    <w:rsid w:val="46D955A7"/>
    <w:rsid w:val="47133957"/>
    <w:rsid w:val="4768030F"/>
    <w:rsid w:val="47A07E0C"/>
    <w:rsid w:val="4870272E"/>
    <w:rsid w:val="48A56114"/>
    <w:rsid w:val="48AC56FF"/>
    <w:rsid w:val="48AD72E1"/>
    <w:rsid w:val="490C7F41"/>
    <w:rsid w:val="49DC7715"/>
    <w:rsid w:val="4A023139"/>
    <w:rsid w:val="4A275F90"/>
    <w:rsid w:val="4A7B576F"/>
    <w:rsid w:val="4A9406C5"/>
    <w:rsid w:val="4AE42F23"/>
    <w:rsid w:val="4AF561A9"/>
    <w:rsid w:val="4B0F52AC"/>
    <w:rsid w:val="4BD24C84"/>
    <w:rsid w:val="4C4A0649"/>
    <w:rsid w:val="4C7E5ECA"/>
    <w:rsid w:val="4C876AA5"/>
    <w:rsid w:val="4D0E00FB"/>
    <w:rsid w:val="4D176606"/>
    <w:rsid w:val="4DCA3627"/>
    <w:rsid w:val="4DEC4FB0"/>
    <w:rsid w:val="4E075D8A"/>
    <w:rsid w:val="4EC00FAD"/>
    <w:rsid w:val="4F9843DC"/>
    <w:rsid w:val="4FC62A8C"/>
    <w:rsid w:val="4FE20F0D"/>
    <w:rsid w:val="4FE51552"/>
    <w:rsid w:val="50504C4B"/>
    <w:rsid w:val="50550A6A"/>
    <w:rsid w:val="509C6E7C"/>
    <w:rsid w:val="5162104E"/>
    <w:rsid w:val="527C7EE5"/>
    <w:rsid w:val="52CB49C9"/>
    <w:rsid w:val="53A039CC"/>
    <w:rsid w:val="53A1505A"/>
    <w:rsid w:val="53DB0C3B"/>
    <w:rsid w:val="54063E08"/>
    <w:rsid w:val="543437E8"/>
    <w:rsid w:val="54971006"/>
    <w:rsid w:val="54F73313"/>
    <w:rsid w:val="54F80955"/>
    <w:rsid w:val="555170A7"/>
    <w:rsid w:val="5587536D"/>
    <w:rsid w:val="559B174B"/>
    <w:rsid w:val="55CE0CF4"/>
    <w:rsid w:val="55D50038"/>
    <w:rsid w:val="56570A4D"/>
    <w:rsid w:val="56B22A9C"/>
    <w:rsid w:val="56BD3D47"/>
    <w:rsid w:val="57B72A76"/>
    <w:rsid w:val="57C3426C"/>
    <w:rsid w:val="57CE1F93"/>
    <w:rsid w:val="588743D1"/>
    <w:rsid w:val="5887701A"/>
    <w:rsid w:val="59387870"/>
    <w:rsid w:val="593C217C"/>
    <w:rsid w:val="59B858D6"/>
    <w:rsid w:val="59C0439F"/>
    <w:rsid w:val="5ABE2233"/>
    <w:rsid w:val="5B1E125F"/>
    <w:rsid w:val="5BA6504D"/>
    <w:rsid w:val="5BDF5D95"/>
    <w:rsid w:val="5BFE7528"/>
    <w:rsid w:val="5E2467F1"/>
    <w:rsid w:val="5EA80C86"/>
    <w:rsid w:val="5EE65B95"/>
    <w:rsid w:val="5EF07C91"/>
    <w:rsid w:val="5F1A2B43"/>
    <w:rsid w:val="5FB837BB"/>
    <w:rsid w:val="5FBC4954"/>
    <w:rsid w:val="60CC405A"/>
    <w:rsid w:val="61B9080E"/>
    <w:rsid w:val="61BF36FA"/>
    <w:rsid w:val="61E215D8"/>
    <w:rsid w:val="621B3775"/>
    <w:rsid w:val="622138E1"/>
    <w:rsid w:val="62364782"/>
    <w:rsid w:val="62B15989"/>
    <w:rsid w:val="6394356A"/>
    <w:rsid w:val="63C61B2C"/>
    <w:rsid w:val="63D40BE9"/>
    <w:rsid w:val="63FE2FD4"/>
    <w:rsid w:val="64102431"/>
    <w:rsid w:val="64A5243A"/>
    <w:rsid w:val="64F531DE"/>
    <w:rsid w:val="650C58D3"/>
    <w:rsid w:val="65373578"/>
    <w:rsid w:val="655C5A01"/>
    <w:rsid w:val="66025B25"/>
    <w:rsid w:val="671F124A"/>
    <w:rsid w:val="67692AF7"/>
    <w:rsid w:val="677A33C6"/>
    <w:rsid w:val="678547D7"/>
    <w:rsid w:val="681F6961"/>
    <w:rsid w:val="68610A2F"/>
    <w:rsid w:val="68805514"/>
    <w:rsid w:val="68EA5642"/>
    <w:rsid w:val="69316E2F"/>
    <w:rsid w:val="694E2071"/>
    <w:rsid w:val="69766163"/>
    <w:rsid w:val="697A3B33"/>
    <w:rsid w:val="69D44760"/>
    <w:rsid w:val="6A470981"/>
    <w:rsid w:val="6A520EC7"/>
    <w:rsid w:val="6AF87E20"/>
    <w:rsid w:val="6B322639"/>
    <w:rsid w:val="6B466EA6"/>
    <w:rsid w:val="6B7B001C"/>
    <w:rsid w:val="6C636C38"/>
    <w:rsid w:val="6C73229B"/>
    <w:rsid w:val="6DB34098"/>
    <w:rsid w:val="6DB545B6"/>
    <w:rsid w:val="6DE02FB4"/>
    <w:rsid w:val="6E514CED"/>
    <w:rsid w:val="6EB563D5"/>
    <w:rsid w:val="6ED92677"/>
    <w:rsid w:val="6F225983"/>
    <w:rsid w:val="6F6947A3"/>
    <w:rsid w:val="6FFC5590"/>
    <w:rsid w:val="705204A5"/>
    <w:rsid w:val="706D1DD0"/>
    <w:rsid w:val="70723739"/>
    <w:rsid w:val="70856B87"/>
    <w:rsid w:val="70D527EE"/>
    <w:rsid w:val="715B5300"/>
    <w:rsid w:val="71603DF9"/>
    <w:rsid w:val="71D27F8A"/>
    <w:rsid w:val="722476FB"/>
    <w:rsid w:val="72553024"/>
    <w:rsid w:val="725A3947"/>
    <w:rsid w:val="725E3C6F"/>
    <w:rsid w:val="72DD5A92"/>
    <w:rsid w:val="73122968"/>
    <w:rsid w:val="731F5D5E"/>
    <w:rsid w:val="73624258"/>
    <w:rsid w:val="73C51AD5"/>
    <w:rsid w:val="74086FEF"/>
    <w:rsid w:val="741E793C"/>
    <w:rsid w:val="745B3729"/>
    <w:rsid w:val="745E3944"/>
    <w:rsid w:val="745F1E4B"/>
    <w:rsid w:val="754E6117"/>
    <w:rsid w:val="7635099D"/>
    <w:rsid w:val="764317BC"/>
    <w:rsid w:val="76F679B7"/>
    <w:rsid w:val="774C75D7"/>
    <w:rsid w:val="77762421"/>
    <w:rsid w:val="77B56B1F"/>
    <w:rsid w:val="780F09F4"/>
    <w:rsid w:val="78126A72"/>
    <w:rsid w:val="78A90480"/>
    <w:rsid w:val="7A364017"/>
    <w:rsid w:val="7A8265E1"/>
    <w:rsid w:val="7AA3347A"/>
    <w:rsid w:val="7AC676A0"/>
    <w:rsid w:val="7B686D42"/>
    <w:rsid w:val="7B841746"/>
    <w:rsid w:val="7BE2675B"/>
    <w:rsid w:val="7C1F68FD"/>
    <w:rsid w:val="7C6C5AC7"/>
    <w:rsid w:val="7CC6544B"/>
    <w:rsid w:val="7D0239FF"/>
    <w:rsid w:val="7D5E40CD"/>
    <w:rsid w:val="7DCD56F2"/>
    <w:rsid w:val="7DEB08B5"/>
    <w:rsid w:val="7EB75C7D"/>
    <w:rsid w:val="7F001CE7"/>
    <w:rsid w:val="7FE47E50"/>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unhideWhenUsed="0"/>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unhideWhenUsed="0" w:qFormat="1"/>
    <w:lsdException w:name="footnote text" w:locked="1"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uiPriority="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unhideWhenUsed="0"/>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uiPriority="0" w:unhideWhenUsed="0"/>
    <w:lsdException w:name="Body Text First Indent 2" w:locked="1" w:semiHidden="0" w:uiPriority="0" w:unhideWhenUsed="0" w:qFormat="1"/>
    <w:lsdException w:name="Note Heading" w:locked="1" w:semiHidden="0" w:uiPriority="0" w:unhideWhenUsed="0"/>
    <w:lsdException w:name="Body Text 2" w:locked="1" w:semiHidden="0" w:uiPriority="0" w:unhideWhenUsed="0"/>
    <w:lsdException w:name="Body Text 3" w:locked="1" w:semiHidden="0" w:uiPriority="0" w:unhideWhenUsed="0"/>
    <w:lsdException w:name="Body Text Indent 2" w:locked="1" w:semiHidden="0" w:uiPriority="0" w:unhideWhenUsed="0" w:qFormat="1"/>
    <w:lsdException w:name="Body Text Indent 3" w:locked="1" w:semiHidden="0" w:uiPriority="0" w:unhideWhenUsed="0" w:qFormat="1"/>
    <w:lsdException w:name="Block Text" w:locked="1" w:semiHidden="0" w:uiPriority="0" w:unhideWhenUsed="0"/>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Plain Text" w:locked="1" w:semiHidden="0" w:uiPriority="0" w:unhideWhenUsed="0" w:qFormat="1"/>
    <w:lsdException w:name="E-mail Signature" w:locked="1" w:semiHidden="0" w:uiPriority="0" w:unhideWhenUsed="0"/>
    <w:lsdException w:name="Normal (Web)" w:semiHidden="0" w:uiPriority="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unhideWhenUsed="0"/>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semiHidden="0" w:uiPriority="0" w:unhideWhenUsed="0"/>
    <w:lsdException w:name="Table Simple 2" w:locked="1" w:semiHidden="0" w:uiPriority="0" w:unhideWhenUsed="0"/>
    <w:lsdException w:name="Table Simple 3" w:locked="1" w:semiHidden="0" w:uiPriority="0" w:unhideWhenUsed="0"/>
    <w:lsdException w:name="Table Classic 1" w:locked="1" w:semiHidden="0" w:uiPriority="0" w:unhideWhenUsed="0"/>
    <w:lsdException w:name="Table Classic 2" w:locked="1" w:semiHidden="0" w:uiPriority="0" w:unhideWhenUsed="0"/>
    <w:lsdException w:name="Table Classic 3" w:locked="1" w:semiHidden="0" w:uiPriority="0" w:unhideWhenUsed="0"/>
    <w:lsdException w:name="Table Classic 4" w:locked="1" w:semiHidden="0" w:uiPriority="0" w:unhideWhenUsed="0"/>
    <w:lsdException w:name="Table Colorful 1" w:locked="1" w:semiHidden="0" w:uiPriority="0" w:unhideWhenUsed="0"/>
    <w:lsdException w:name="Table Colorful 2" w:locked="1" w:semiHidden="0" w:uiPriority="0" w:unhideWhenUsed="0"/>
    <w:lsdException w:name="Table Colorful 3" w:locked="1" w:semiHidden="0" w:uiPriority="0" w:unhideWhenUsed="0"/>
    <w:lsdException w:name="Table Columns 1" w:locked="1" w:semiHidden="0" w:uiPriority="0" w:unhideWhenUsed="0"/>
    <w:lsdException w:name="Table Columns 2" w:locked="1" w:semiHidden="0" w:uiPriority="0" w:unhideWhenUsed="0"/>
    <w:lsdException w:name="Table Columns 3" w:locked="1" w:semiHidden="0" w:uiPriority="0" w:unhideWhenUsed="0"/>
    <w:lsdException w:name="Table Columns 4" w:locked="1" w:semiHidden="0" w:uiPriority="0" w:unhideWhenUsed="0"/>
    <w:lsdException w:name="Table Columns 5" w:locked="1" w:semiHidden="0" w:uiPriority="0" w:unhideWhenUsed="0"/>
    <w:lsdException w:name="Table Grid 1" w:locked="1" w:semiHidden="0" w:uiPriority="0" w:unhideWhenUsed="0"/>
    <w:lsdException w:name="Table Grid 2" w:locked="1" w:semiHidden="0" w:uiPriority="0" w:unhideWhenUsed="0"/>
    <w:lsdException w:name="Table Grid 3" w:locked="1" w:semiHidden="0" w:uiPriority="0" w:unhideWhenUsed="0"/>
    <w:lsdException w:name="Table Grid 4" w:locked="1" w:semiHidden="0" w:uiPriority="0" w:unhideWhenUsed="0"/>
    <w:lsdException w:name="Table Grid 5" w:locked="1" w:semiHidden="0" w:uiPriority="0" w:unhideWhenUsed="0"/>
    <w:lsdException w:name="Table Grid 6" w:locked="1" w:semiHidden="0" w:uiPriority="0" w:unhideWhenUsed="0"/>
    <w:lsdException w:name="Table Grid 7" w:locked="1" w:semiHidden="0" w:uiPriority="0" w:unhideWhenUsed="0"/>
    <w:lsdException w:name="Table Grid 8" w:locked="1" w:semiHidden="0" w:uiPriority="0" w:unhideWhenUsed="0"/>
    <w:lsdException w:name="Table List 1" w:locked="1" w:semiHidden="0" w:uiPriority="0" w:unhideWhenUsed="0"/>
    <w:lsdException w:name="Table List 2" w:locked="1" w:semiHidden="0" w:uiPriority="0" w:unhideWhenUsed="0"/>
    <w:lsdException w:name="Table List 3" w:locked="1" w:semiHidden="0" w:uiPriority="0" w:unhideWhenUsed="0"/>
    <w:lsdException w:name="Table List 4" w:locked="1" w:semiHidden="0" w:uiPriority="0" w:unhideWhenUsed="0"/>
    <w:lsdException w:name="Table List 5" w:locked="1" w:semiHidden="0" w:uiPriority="0" w:unhideWhenUsed="0"/>
    <w:lsdException w:name="Table List 6" w:locked="1" w:semiHidden="0" w:uiPriority="0" w:unhideWhenUsed="0"/>
    <w:lsdException w:name="Table List 7" w:locked="1" w:semiHidden="0" w:uiPriority="0" w:unhideWhenUsed="0"/>
    <w:lsdException w:name="Table List 8" w:locked="1" w:semiHidden="0" w:uiPriority="0" w:unhideWhenUsed="0"/>
    <w:lsdException w:name="Table 3D effects 1" w:locked="1" w:semiHidden="0" w:uiPriority="0" w:unhideWhenUsed="0"/>
    <w:lsdException w:name="Table 3D effects 2" w:locked="1" w:semiHidden="0" w:uiPriority="0" w:unhideWhenUsed="0"/>
    <w:lsdException w:name="Table 3D effects 3" w:locked="1" w:semiHidden="0" w:uiPriority="0" w:unhideWhenUsed="0"/>
    <w:lsdException w:name="Table Contemporary" w:locked="1" w:semiHidden="0" w:uiPriority="0" w:unhideWhenUsed="0"/>
    <w:lsdException w:name="Table Elegant" w:locked="1" w:semiHidden="0" w:uiPriority="0" w:unhideWhenUsed="0"/>
    <w:lsdException w:name="Table Professional" w:locked="1" w:semiHidden="0" w:uiPriority="0" w:unhideWhenUsed="0"/>
    <w:lsdException w:name="Table Subtle 1" w:locked="1" w:semiHidden="0" w:uiPriority="0" w:unhideWhenUsed="0"/>
    <w:lsdException w:name="Table Subtle 2" w:locked="1" w:semiHidden="0" w:uiPriority="0" w:unhideWhenUsed="0"/>
    <w:lsdException w:name="Table Web 1" w:locked="1" w:semiHidden="0" w:uiPriority="0" w:unhideWhenUsed="0"/>
    <w:lsdException w:name="Table Web 2" w:locked="1" w:semiHidden="0" w:uiPriority="0" w:unhideWhenUsed="0"/>
    <w:lsdException w:name="Table Web 3" w:locked="1" w:semiHidden="0" w:uiPriority="0" w:unhideWhenUsed="0"/>
    <w:lsdException w:name="Balloon Text" w:uiPriority="0" w:unhideWhenUsed="0" w:qFormat="1"/>
    <w:lsdException w:name="Table Grid" w:semiHidden="0" w:uiPriority="0" w:unhideWhenUsed="0" w:qFormat="1"/>
    <w:lsdException w:name="Table Theme" w:locked="1" w:semiHidden="0" w:uiPriority="0"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Char9"/>
    <w:qFormat/>
    <w:locked/>
    <w:pPr>
      <w:ind w:firstLine="420"/>
    </w:pPr>
    <w:rPr>
      <w:szCs w:val="20"/>
    </w:rPr>
  </w:style>
  <w:style w:type="paragraph" w:styleId="CommentText">
    <w:name w:val="annotation text"/>
    <w:basedOn w:val="Normal"/>
    <w:link w:val="Char3"/>
    <w:semiHidden/>
    <w:qFormat/>
    <w:pPr>
      <w:jc w:val="left"/>
    </w:pPr>
    <w:rPr>
      <w:kern w:val="0"/>
      <w:sz w:val="24"/>
      <w:szCs w:val="20"/>
    </w:rPr>
  </w:style>
  <w:style w:type="paragraph" w:styleId="BodyText">
    <w:name w:val="Body Text"/>
    <w:basedOn w:val="Normal"/>
    <w:link w:val="Char2"/>
    <w:qFormat/>
    <w:pPr>
      <w:widowControl/>
      <w:snapToGrid w:val="0"/>
      <w:spacing w:before="60" w:after="160" w:line="259" w:lineRule="auto"/>
      <w:ind w:right="113"/>
    </w:pPr>
    <w:rPr>
      <w:kern w:val="0"/>
      <w:sz w:val="18"/>
      <w:szCs w:val="20"/>
    </w:rPr>
  </w:style>
  <w:style w:type="paragraph" w:styleId="BodyTextIndent">
    <w:name w:val="Body Text Indent"/>
    <w:basedOn w:val="Normal"/>
    <w:link w:val="Char8"/>
    <w:qFormat/>
    <w:pPr>
      <w:spacing w:after="120"/>
      <w:ind w:left="420" w:leftChars="200"/>
    </w:pPr>
    <w:rPr>
      <w:kern w:val="0"/>
      <w:sz w:val="24"/>
      <w:szCs w:val="20"/>
    </w:rPr>
  </w:style>
  <w:style w:type="paragraph" w:styleId="PlainText">
    <w:name w:val="Plain Text"/>
    <w:basedOn w:val="Normal"/>
    <w:link w:val="Char10"/>
    <w:qFormat/>
    <w:locked/>
    <w:rPr>
      <w:rFonts w:ascii="宋体" w:hAnsi="Courier New"/>
      <w:szCs w:val="20"/>
    </w:rPr>
  </w:style>
  <w:style w:type="paragraph" w:styleId="Date">
    <w:name w:val="Date"/>
    <w:basedOn w:val="Normal"/>
    <w:next w:val="Normal"/>
    <w:link w:val="Char0"/>
    <w:qFormat/>
    <w:pPr>
      <w:ind w:left="100" w:leftChars="2500"/>
    </w:pPr>
    <w:rPr>
      <w:kern w:val="0"/>
      <w:sz w:val="24"/>
      <w:szCs w:val="20"/>
    </w:rPr>
  </w:style>
  <w:style w:type="paragraph" w:styleId="BodyTextIndent2">
    <w:name w:val="Body Text Indent 2"/>
    <w:basedOn w:val="Normal"/>
    <w:link w:val="2Char"/>
    <w:qFormat/>
    <w:locked/>
    <w:pPr>
      <w:spacing w:after="120" w:line="480" w:lineRule="auto"/>
      <w:ind w:left="420" w:leftChars="200"/>
    </w:pPr>
  </w:style>
  <w:style w:type="paragraph" w:styleId="BalloonText">
    <w:name w:val="Balloon Text"/>
    <w:basedOn w:val="Normal"/>
    <w:link w:val="Char5"/>
    <w:semiHidden/>
    <w:qFormat/>
    <w:rPr>
      <w:kern w:val="0"/>
      <w:sz w:val="18"/>
      <w:szCs w:val="20"/>
    </w:rPr>
  </w:style>
  <w:style w:type="paragraph" w:styleId="Footer">
    <w:name w:val="footer"/>
    <w:basedOn w:val="Normal"/>
    <w:link w:val="Char"/>
    <w:uiPriority w:val="99"/>
    <w:qFormat/>
    <w:pPr>
      <w:tabs>
        <w:tab w:val="center" w:pos="4153"/>
        <w:tab w:val="right" w:pos="8306"/>
      </w:tabs>
      <w:snapToGrid w:val="0"/>
      <w:jc w:val="left"/>
    </w:pPr>
    <w:rPr>
      <w:kern w:val="0"/>
      <w:sz w:val="18"/>
      <w:szCs w:val="20"/>
    </w:rPr>
  </w:style>
  <w:style w:type="paragraph" w:styleId="Header">
    <w:name w:val="header"/>
    <w:basedOn w:val="Normal"/>
    <w:link w:val="Char7"/>
    <w:qFormat/>
    <w:pPr>
      <w:pBdr>
        <w:bottom w:val="single" w:sz="6" w:space="1" w:color="auto"/>
      </w:pBdr>
      <w:tabs>
        <w:tab w:val="center" w:pos="4153"/>
        <w:tab w:val="right" w:pos="8306"/>
      </w:tabs>
      <w:snapToGrid w:val="0"/>
      <w:jc w:val="center"/>
    </w:pPr>
    <w:rPr>
      <w:kern w:val="0"/>
      <w:sz w:val="18"/>
      <w:szCs w:val="20"/>
    </w:rPr>
  </w:style>
  <w:style w:type="paragraph" w:styleId="Subtitle">
    <w:name w:val="Subtitle"/>
    <w:basedOn w:val="Normal"/>
    <w:next w:val="Normal"/>
    <w:link w:val="Char12"/>
    <w:qFormat/>
    <w:locked/>
    <w:pPr>
      <w:spacing w:before="240" w:after="60" w:line="312" w:lineRule="auto"/>
      <w:jc w:val="center"/>
      <w:outlineLvl w:val="1"/>
    </w:pPr>
    <w:rPr>
      <w:rFonts w:ascii="Cambria" w:hAnsi="Cambria"/>
      <w:b/>
      <w:bCs/>
      <w:kern w:val="28"/>
      <w:sz w:val="32"/>
      <w:szCs w:val="32"/>
    </w:rPr>
  </w:style>
  <w:style w:type="paragraph" w:styleId="BodyTextIndent3">
    <w:name w:val="Body Text Indent 3"/>
    <w:basedOn w:val="Normal"/>
    <w:link w:val="3Char"/>
    <w:qFormat/>
    <w:locked/>
    <w:pPr>
      <w:spacing w:after="120"/>
      <w:ind w:left="420" w:leftChars="200"/>
    </w:pPr>
    <w:rPr>
      <w:sz w:val="16"/>
      <w:szCs w:val="16"/>
    </w:rPr>
  </w:style>
  <w:style w:type="paragraph" w:styleId="NormalWeb">
    <w:name w:val="Normal (Web)"/>
    <w:basedOn w:val="Normal"/>
    <w:link w:val="Char1"/>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6"/>
    <w:semiHidden/>
    <w:qFormat/>
    <w:rPr>
      <w:b/>
    </w:rPr>
  </w:style>
  <w:style w:type="paragraph" w:styleId="BodyTextFirstIndent2">
    <w:name w:val="Body Text First Indent 2"/>
    <w:basedOn w:val="BodyTextIndent"/>
    <w:link w:val="2Char0"/>
    <w:qFormat/>
    <w:locked/>
    <w:pPr>
      <w:ind w:firstLine="420" w:firstLineChars="200"/>
    </w:pPr>
    <w:rPr>
      <w:kern w:val="2"/>
      <w:sz w:val="21"/>
      <w:szCs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locked/>
  </w:style>
  <w:style w:type="character" w:styleId="CommentReference">
    <w:name w:val="annotation reference"/>
    <w:semiHidden/>
    <w:qFormat/>
    <w:rPr>
      <w:sz w:val="21"/>
    </w:rPr>
  </w:style>
  <w:style w:type="character" w:customStyle="1" w:styleId="Char">
    <w:name w:val="页脚 Char"/>
    <w:link w:val="Footer"/>
    <w:uiPriority w:val="99"/>
    <w:qFormat/>
    <w:locked/>
    <w:rPr>
      <w:sz w:val="18"/>
    </w:rPr>
  </w:style>
  <w:style w:type="character" w:customStyle="1" w:styleId="Char0">
    <w:name w:val="日期 Char"/>
    <w:link w:val="Date"/>
    <w:qFormat/>
    <w:locked/>
    <w:rPr>
      <w:rFonts w:ascii="Times New Roman" w:eastAsia="宋体" w:hAnsi="Times New Roman"/>
      <w:sz w:val="24"/>
    </w:rPr>
  </w:style>
  <w:style w:type="character" w:customStyle="1" w:styleId="a">
    <w:name w:val="页脚 字符"/>
    <w:basedOn w:val="DefaultParagraphFont"/>
    <w:uiPriority w:val="99"/>
    <w:qFormat/>
  </w:style>
  <w:style w:type="character" w:customStyle="1" w:styleId="Char1">
    <w:name w:val="普通(网站) Char"/>
    <w:link w:val="NormalWeb"/>
    <w:qFormat/>
    <w:locked/>
    <w:rPr>
      <w:rFonts w:ascii="宋体" w:eastAsia="宋体" w:hAnsi="宋体"/>
      <w:sz w:val="24"/>
    </w:rPr>
  </w:style>
  <w:style w:type="character" w:customStyle="1" w:styleId="1">
    <w:name w:val="正文文本 字符1"/>
    <w:semiHidden/>
    <w:qFormat/>
    <w:rPr>
      <w:rFonts w:ascii="Times New Roman" w:eastAsia="宋体" w:hAnsi="Times New Roman"/>
      <w:sz w:val="24"/>
    </w:rPr>
  </w:style>
  <w:style w:type="character" w:customStyle="1" w:styleId="Char2">
    <w:name w:val="正文文本 Char"/>
    <w:link w:val="BodyText"/>
    <w:qFormat/>
    <w:locked/>
    <w:rPr>
      <w:sz w:val="18"/>
    </w:rPr>
  </w:style>
  <w:style w:type="character" w:customStyle="1" w:styleId="Char3">
    <w:name w:val="批注文字 Char"/>
    <w:link w:val="CommentText"/>
    <w:qFormat/>
    <w:locked/>
    <w:rPr>
      <w:rFonts w:ascii="Times New Roman" w:eastAsia="宋体" w:hAnsi="Times New Roman"/>
      <w:sz w:val="24"/>
    </w:rPr>
  </w:style>
  <w:style w:type="character" w:customStyle="1" w:styleId="Char4">
    <w:name w:val="表格 Char"/>
    <w:link w:val="a0"/>
    <w:qFormat/>
    <w:locked/>
    <w:rPr>
      <w:rFonts w:ascii="宋体"/>
      <w:sz w:val="21"/>
    </w:rPr>
  </w:style>
  <w:style w:type="paragraph" w:customStyle="1" w:styleId="a0">
    <w:name w:val="表格"/>
    <w:basedOn w:val="Normal"/>
    <w:next w:val="Normal"/>
    <w:link w:val="Char4"/>
    <w:qFormat/>
    <w:pPr>
      <w:adjustRightInd w:val="0"/>
      <w:snapToGrid w:val="0"/>
      <w:spacing w:beforeLines="10" w:afterLines="10" w:line="259" w:lineRule="auto"/>
      <w:jc w:val="center"/>
    </w:pPr>
    <w:rPr>
      <w:rFonts w:ascii="宋体"/>
      <w:kern w:val="0"/>
      <w:szCs w:val="20"/>
    </w:rPr>
  </w:style>
  <w:style w:type="character" w:customStyle="1" w:styleId="a1">
    <w:name w:val="日期 字符"/>
    <w:semiHidden/>
    <w:qFormat/>
    <w:rPr>
      <w:rFonts w:ascii="Times New Roman" w:eastAsia="宋体" w:hAnsi="Times New Roman"/>
      <w:sz w:val="24"/>
    </w:rPr>
  </w:style>
  <w:style w:type="character" w:customStyle="1" w:styleId="Char5">
    <w:name w:val="批注框文本 Char"/>
    <w:link w:val="BalloonText"/>
    <w:semiHidden/>
    <w:qFormat/>
    <w:locked/>
    <w:rPr>
      <w:rFonts w:ascii="Times New Roman" w:eastAsia="宋体" w:hAnsi="Times New Roman"/>
      <w:sz w:val="18"/>
    </w:rPr>
  </w:style>
  <w:style w:type="character" w:customStyle="1" w:styleId="Char6">
    <w:name w:val="批注主题 Char"/>
    <w:link w:val="CommentSubject"/>
    <w:semiHidden/>
    <w:qFormat/>
    <w:locked/>
    <w:rPr>
      <w:rFonts w:ascii="Times New Roman" w:eastAsia="宋体" w:hAnsi="Times New Roman"/>
      <w:b/>
      <w:kern w:val="2"/>
      <w:sz w:val="24"/>
    </w:rPr>
  </w:style>
  <w:style w:type="character" w:customStyle="1" w:styleId="Char7">
    <w:name w:val="页眉 Char"/>
    <w:link w:val="Header"/>
    <w:qFormat/>
    <w:locked/>
    <w:rPr>
      <w:sz w:val="18"/>
    </w:rPr>
  </w:style>
  <w:style w:type="character" w:customStyle="1" w:styleId="10">
    <w:name w:val="批注文字 字符1"/>
    <w:semiHidden/>
    <w:qFormat/>
    <w:rPr>
      <w:rFonts w:ascii="Times New Roman" w:eastAsia="宋体" w:hAnsi="Times New Roman"/>
      <w:sz w:val="24"/>
    </w:rPr>
  </w:style>
  <w:style w:type="character" w:customStyle="1" w:styleId="Char8">
    <w:name w:val="正文文本缩进 Char"/>
    <w:link w:val="BodyTextIndent"/>
    <w:semiHidden/>
    <w:qFormat/>
    <w:locked/>
    <w:rPr>
      <w:rFonts w:ascii="Times New Roman" w:eastAsia="宋体" w:hAnsi="Times New Roman"/>
      <w:sz w:val="24"/>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character" w:customStyle="1" w:styleId="2Char">
    <w:name w:val="正文文本缩进 2 Char"/>
    <w:link w:val="BodyTextIndent2"/>
    <w:qFormat/>
    <w:rPr>
      <w:kern w:val="2"/>
      <w:sz w:val="21"/>
      <w:szCs w:val="24"/>
    </w:rPr>
  </w:style>
  <w:style w:type="character" w:customStyle="1" w:styleId="Char9">
    <w:name w:val="正文缩进 Char"/>
    <w:link w:val="NormalIndent"/>
    <w:qFormat/>
    <w:rPr>
      <w:kern w:val="2"/>
      <w:sz w:val="21"/>
    </w:rPr>
  </w:style>
  <w:style w:type="character" w:customStyle="1" w:styleId="fontstyle01">
    <w:name w:val="fontstyle01"/>
    <w:qFormat/>
    <w:rPr>
      <w:rFonts w:ascii="宋体" w:eastAsia="宋体" w:hAnsi="宋体" w:hint="eastAsia"/>
      <w:color w:val="000000"/>
      <w:sz w:val="24"/>
      <w:szCs w:val="24"/>
    </w:rPr>
  </w:style>
  <w:style w:type="character" w:customStyle="1" w:styleId="3Char">
    <w:name w:val="正文文本缩进 3 Char"/>
    <w:link w:val="BodyTextIndent3"/>
    <w:qFormat/>
    <w:rPr>
      <w:kern w:val="2"/>
      <w:sz w:val="16"/>
      <w:szCs w:val="16"/>
    </w:rPr>
  </w:style>
  <w:style w:type="paragraph" w:styleId="ListParagraph">
    <w:name w:val="List Paragraph"/>
    <w:basedOn w:val="Normal"/>
    <w:uiPriority w:val="34"/>
    <w:qFormat/>
    <w:pPr>
      <w:widowControl/>
      <w:spacing w:line="320" w:lineRule="exact"/>
      <w:contextualSpacing/>
      <w:jc w:val="center"/>
    </w:pPr>
    <w:rPr>
      <w:kern w:val="0"/>
      <w:szCs w:val="22"/>
    </w:rPr>
  </w:style>
  <w:style w:type="character" w:customStyle="1" w:styleId="Char10">
    <w:name w:val="纯文本 Char1"/>
    <w:link w:val="PlainText"/>
    <w:qFormat/>
    <w:rPr>
      <w:rFonts w:ascii="宋体" w:hAnsi="Courier New"/>
      <w:kern w:val="2"/>
      <w:sz w:val="21"/>
    </w:rPr>
  </w:style>
  <w:style w:type="character" w:customStyle="1" w:styleId="Char11">
    <w:name w:val="纯文本 Char"/>
    <w:qFormat/>
    <w:rPr>
      <w:rFonts w:ascii="宋体" w:hAnsi="Courier New" w:cs="Courier New"/>
      <w:kern w:val="2"/>
      <w:sz w:val="21"/>
      <w:szCs w:val="21"/>
    </w:rPr>
  </w:style>
  <w:style w:type="character" w:customStyle="1" w:styleId="Char12">
    <w:name w:val="副标题 Char"/>
    <w:link w:val="Subtitle"/>
    <w:qFormat/>
    <w:rPr>
      <w:rFonts w:ascii="Cambria" w:hAnsi="Cambria" w:cs="Times New Roman"/>
      <w:b/>
      <w:bCs/>
      <w:kern w:val="28"/>
      <w:sz w:val="32"/>
      <w:szCs w:val="32"/>
    </w:rPr>
  </w:style>
  <w:style w:type="paragraph" w:customStyle="1" w:styleId="Default1">
    <w:name w:val="Default1"/>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a2">
    <w:name w:val="表内内容"/>
    <w:basedOn w:val="Normal"/>
    <w:qFormat/>
    <w:pPr>
      <w:jc w:val="center"/>
    </w:pPr>
  </w:style>
  <w:style w:type="character" w:styleId="PlaceholderText">
    <w:name w:val="Placeholder Text"/>
    <w:basedOn w:val="DefaultParagraphFont"/>
    <w:uiPriority w:val="99"/>
    <w:semiHidden/>
    <w:qFormat/>
    <w:rPr>
      <w:color w:val="808080"/>
    </w:rPr>
  </w:style>
  <w:style w:type="character" w:customStyle="1" w:styleId="2Char0">
    <w:name w:val="正文首行缩进 2 Char"/>
    <w:basedOn w:val="Char8"/>
    <w:link w:val="BodyTextFirstIndent2"/>
    <w:qFormat/>
    <w:rPr>
      <w:rFonts w:ascii="Times New Roman" w:eastAsia="宋体" w:hAnsi="Times New Roman"/>
      <w:kern w:val="2"/>
      <w:sz w:val="21"/>
      <w:szCs w:val="24"/>
    </w:rPr>
  </w:style>
  <w:style w:type="paragraph" w:customStyle="1" w:styleId="22Char01">
    <w:name w:val="样式 样式 样式 小四 左 首行缩进:  2 字符 + 首行缩进:  2 字符 Char + 右  0 字符1"/>
    <w:basedOn w:val="Normal"/>
    <w:qFormat/>
    <w:pPr>
      <w:adjustRightInd w:val="0"/>
      <w:spacing w:line="360" w:lineRule="auto"/>
      <w:ind w:firstLine="200" w:firstLineChars="200"/>
      <w:jc w:val="left"/>
    </w:pPr>
    <w:rPr>
      <w:sz w:val="24"/>
      <w:szCs w:val="20"/>
    </w:rPr>
  </w:style>
  <w:style w:type="paragraph" w:customStyle="1" w:styleId="11">
    <w:name w:val="正文1"/>
    <w:basedOn w:val="Normal"/>
    <w:qFormat/>
    <w:pPr>
      <w:adjustRightInd w:val="0"/>
      <w:spacing w:line="315" w:lineRule="atLeast"/>
    </w:pPr>
    <w:rPr>
      <w:rFonts w:ascii="宋体" w:hint="eastAsia"/>
      <w:kern w:val="0"/>
      <w:sz w:val="24"/>
      <w:szCs w:val="22"/>
    </w:rPr>
  </w:style>
  <w:style w:type="character" w:customStyle="1" w:styleId="-lsChar">
    <w:name w:val="正文-ls Char"/>
    <w:link w:val="-ls"/>
    <w:qFormat/>
    <w:rPr>
      <w:rFonts w:hAnsi="宋体" w:cs="宋体"/>
      <w:kern w:val="2"/>
      <w:sz w:val="24"/>
    </w:rPr>
  </w:style>
  <w:style w:type="paragraph" w:customStyle="1" w:styleId="-ls">
    <w:name w:val="正文-ls"/>
    <w:basedOn w:val="Normal"/>
    <w:link w:val="-lsChar"/>
    <w:qFormat/>
    <w:pPr>
      <w:spacing w:line="360" w:lineRule="auto"/>
      <w:ind w:firstLine="200" w:firstLineChars="200"/>
    </w:pPr>
    <w:rPr>
      <w:rFonts w:hAnsi="宋体" w:cs="宋体"/>
      <w:sz w:val="24"/>
      <w:szCs w:val="20"/>
    </w:rPr>
  </w:style>
  <w:style w:type="character" w:customStyle="1" w:styleId="NormalCharacter">
    <w:name w:val="NormalCharacter"/>
    <w:qFormat/>
  </w:style>
  <w:style w:type="paragraph" w:customStyle="1" w:styleId="12">
    <w:name w:val="正文首行缩进1"/>
    <w:basedOn w:val="Normal"/>
    <w:qFormat/>
    <w:pPr>
      <w:adjustRightInd w:val="0"/>
      <w:snapToGrid w:val="0"/>
      <w:spacing w:line="360" w:lineRule="auto"/>
      <w:ind w:firstLine="482"/>
      <w:jc w:val="left"/>
    </w:pPr>
    <w:rPr>
      <w:snapToGrid w:val="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126232055213010103"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BF46BF-B8E0-4FF8-9DAA-DD0415EF189C}">
  <ds:schemaRefs/>
</ds:datastoreItem>
</file>

<file path=docProps/app.xml><?xml version="1.0" encoding="utf-8"?>
<Properties xmlns="http://schemas.openxmlformats.org/officeDocument/2006/extended-properties" xmlns:vt="http://schemas.openxmlformats.org/officeDocument/2006/docPropsVTypes">
  <Template>wdzx97</Template>
  <TotalTime>117</TotalTime>
  <Pages>11</Pages>
  <Words>11295</Words>
  <Characters>12878</Characters>
  <Application>Microsoft Office Word</Application>
  <DocSecurity>0</DocSecurity>
  <Lines>4292</Lines>
  <Paragraphs>1859</Paragraphs>
  <ScaleCrop>false</ScaleCrop>
  <Company>微软中国</Company>
  <LinksUpToDate>false</LinksUpToDate>
  <CharactersWithSpaces>22314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WPS_1559717548</cp:lastModifiedBy>
  <cp:revision>343</cp:revision>
  <cp:lastPrinted>2021-10-28T06:54:00Z</cp:lastPrinted>
  <dcterms:created xsi:type="dcterms:W3CDTF">2021-11-18T02:16:00Z</dcterms:created>
  <dcterms:modified xsi:type="dcterms:W3CDTF">2024-03-20T07:53:53Z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AFC95C3BD8B34B1E92DE3E39F30A1064</vt:lpwstr>
  </property>
  <property fmtid="{D5CDD505-2E9C-101B-9397-08002B2CF9AE}" pid="3" name="KSOProductBuildVer">
    <vt:lpwstr>2052-11.1.0.10009</vt:lpwstr>
  </property>
</Properties>
</file>