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051D3" w:rsidRPr="0088766E" w:rsidP="00C051D3">
      <w:pPr>
        <w:spacing w:line="336" w:lineRule="auto"/>
        <w:ind w:firstLine="480"/>
        <w:jc w:val="right"/>
        <w:rPr>
          <w:rFonts w:asciiTheme="majorEastAsia" w:eastAsiaTheme="majorEastAsia" w:hAnsiTheme="majorEastAsia"/>
          <w:szCs w:val="24"/>
          <w:lang w:eastAsia="zh-TW"/>
        </w:rPr>
      </w:pPr>
    </w:p>
    <w:p w:rsidR="00C051D3" w:rsidRPr="00C051D3" w:rsidP="00A451E1">
      <w:pPr>
        <w:pStyle w:val="Heading1"/>
        <w:spacing w:before="936" w:after="624"/>
      </w:pPr>
      <w:bookmarkStart w:id="0" w:name="_Toc36644654"/>
      <w:r w:rsidRPr="00C051D3">
        <w:t>摘要</w:t>
      </w:r>
      <w:bookmarkEnd w:id="0"/>
    </w:p>
    <w:p w:rsidR="00C051D3" w:rsidRPr="00C051D3" w:rsidP="00C051D3">
      <w:pPr>
        <w:ind w:firstLine="480"/>
      </w:pPr>
      <w:r w:rsidRPr="00C051D3">
        <w:rPr>
          <w:rFonts w:hint="eastAsia"/>
        </w:rPr>
        <w:t>衍生产品市场上期权作为重要的交易产品，满足了投资者多方面的需求。然而对于持有看涨期权空头头寸的投资者而言，其面临的损失可能是巨大的，如何合理有效地对</w:t>
      </w:r>
      <w:r w:rsidRPr="00C051D3">
        <w:rPr>
          <w:rFonts w:hint="eastAsia"/>
        </w:rPr>
        <w:t>冲风险</w:t>
      </w:r>
      <w:r w:rsidRPr="00C051D3">
        <w:rPr>
          <w:rFonts w:hint="eastAsia"/>
        </w:rPr>
        <w:t>对其而言是至关重要的。本文在</w:t>
      </w:r>
      <w:r w:rsidR="00261237">
        <w:rPr>
          <w:rFonts w:hint="eastAsia"/>
        </w:rPr>
        <w:t>D</w:t>
      </w:r>
      <w:r w:rsidRPr="00C051D3">
        <w:rPr>
          <w:rFonts w:hint="eastAsia"/>
        </w:rPr>
        <w:t>elta</w:t>
      </w:r>
      <w:r w:rsidR="000D666A">
        <w:rPr>
          <w:rFonts w:hint="eastAsia"/>
        </w:rPr>
        <w:t>固定区间对冲策略</w:t>
      </w:r>
      <w:r w:rsidR="00BA2D9D">
        <w:rPr>
          <w:rFonts w:hint="eastAsia"/>
        </w:rPr>
        <w:t>的基础上寻求最优的区间</w:t>
      </w:r>
      <w:r w:rsidRPr="00C051D3">
        <w:rPr>
          <w:rFonts w:hint="eastAsia"/>
        </w:rPr>
        <w:t>边界，为</w:t>
      </w:r>
      <w:r w:rsidR="00BA2D9D">
        <w:rPr>
          <w:rFonts w:hint="eastAsia"/>
        </w:rPr>
        <w:t>看涨期权的卖方提供对</w:t>
      </w:r>
      <w:r w:rsidR="00BA2D9D">
        <w:rPr>
          <w:rFonts w:hint="eastAsia"/>
        </w:rPr>
        <w:t>冲风险</w:t>
      </w:r>
      <w:r w:rsidR="00BA2D9D">
        <w:rPr>
          <w:rFonts w:hint="eastAsia"/>
        </w:rPr>
        <w:t>的参考与建议。为了实现上述目标，本文</w:t>
      </w:r>
      <w:r w:rsidRPr="00C051D3">
        <w:rPr>
          <w:rFonts w:hint="eastAsia"/>
        </w:rPr>
        <w:t>构造</w:t>
      </w:r>
      <w:r w:rsidR="00BA2D9D">
        <w:rPr>
          <w:rFonts w:hint="eastAsia"/>
        </w:rPr>
        <w:t>了</w:t>
      </w:r>
      <w:r w:rsidRPr="00C051D3" w:rsidR="00BA2D9D">
        <w:rPr>
          <w:rFonts w:hint="eastAsia"/>
        </w:rPr>
        <w:t>中国建设银行</w:t>
      </w:r>
      <w:r w:rsidR="00BA2D9D">
        <w:rPr>
          <w:rFonts w:hint="eastAsia"/>
        </w:rPr>
        <w:t>的</w:t>
      </w:r>
      <w:r w:rsidR="00010C91">
        <w:rPr>
          <w:rFonts w:hint="eastAsia"/>
        </w:rPr>
        <w:t>虚拟欧式看涨期权，利用</w:t>
      </w:r>
      <w:r w:rsidRPr="00C051D3">
        <w:rPr>
          <w:rFonts w:hint="eastAsia"/>
        </w:rPr>
        <w:t>BS</w:t>
      </w:r>
      <w:r w:rsidRPr="00C051D3">
        <w:rPr>
          <w:rFonts w:hint="eastAsia"/>
        </w:rPr>
        <w:t>模型进行期权定价并确定期权的时变</w:t>
      </w:r>
      <w:r w:rsidR="00261237">
        <w:rPr>
          <w:rFonts w:hint="eastAsia"/>
        </w:rPr>
        <w:t>D</w:t>
      </w:r>
      <w:r w:rsidRPr="00C051D3">
        <w:rPr>
          <w:rFonts w:hint="eastAsia"/>
        </w:rPr>
        <w:t>elta</w:t>
      </w:r>
      <w:r w:rsidR="00D93C26">
        <w:rPr>
          <w:rFonts w:hint="eastAsia"/>
        </w:rPr>
        <w:t>值，通过蒙特卡洛</w:t>
      </w:r>
      <w:r w:rsidRPr="00C051D3">
        <w:rPr>
          <w:rFonts w:hint="eastAsia"/>
        </w:rPr>
        <w:t>法模拟出多条未来的股票价格轨道进行策略的</w:t>
      </w:r>
      <w:r w:rsidR="000B488F">
        <w:rPr>
          <w:rFonts w:hint="eastAsia"/>
        </w:rPr>
        <w:t>实证</w:t>
      </w:r>
      <w:r w:rsidRPr="00C051D3">
        <w:rPr>
          <w:rFonts w:hint="eastAsia"/>
        </w:rPr>
        <w:t>分析。</w:t>
      </w:r>
      <w:r w:rsidR="006E7DC8">
        <w:rPr>
          <w:rFonts w:hint="eastAsia"/>
        </w:rPr>
        <w:t>在预设的边界取值范围内，通过迭代运算求得对应量化后的对</w:t>
      </w:r>
      <w:r w:rsidR="006E7DC8">
        <w:rPr>
          <w:rFonts w:hint="eastAsia"/>
        </w:rPr>
        <w:t>冲成本</w:t>
      </w:r>
      <w:r w:rsidR="006E7DC8">
        <w:rPr>
          <w:rFonts w:hint="eastAsia"/>
        </w:rPr>
        <w:t>及对</w:t>
      </w:r>
      <w:r w:rsidR="006E7DC8">
        <w:rPr>
          <w:rFonts w:hint="eastAsia"/>
        </w:rPr>
        <w:t>冲效果</w:t>
      </w:r>
      <w:r w:rsidR="006E7DC8">
        <w:rPr>
          <w:rFonts w:hint="eastAsia"/>
        </w:rPr>
        <w:t>指标，基于非线性规划的思想，</w:t>
      </w:r>
      <w:r w:rsidRPr="00C051D3">
        <w:rPr>
          <w:rFonts w:hint="eastAsia"/>
        </w:rPr>
        <w:t>确定了</w:t>
      </w:r>
      <w:r w:rsidRPr="00C051D3">
        <w:rPr>
          <w:rFonts w:hint="eastAsia"/>
        </w:rPr>
        <w:t>0.129</w:t>
      </w:r>
      <w:r w:rsidRPr="00C051D3">
        <w:rPr>
          <w:rFonts w:hint="eastAsia"/>
        </w:rPr>
        <w:t>为</w:t>
      </w:r>
      <w:r w:rsidR="006E7DC8">
        <w:rPr>
          <w:rFonts w:hint="eastAsia"/>
        </w:rPr>
        <w:t>该期权的最优</w:t>
      </w:r>
      <w:r w:rsidR="00D43113">
        <w:rPr>
          <w:rFonts w:hint="eastAsia"/>
        </w:rPr>
        <w:t>区间</w:t>
      </w:r>
      <w:r w:rsidRPr="00C051D3">
        <w:rPr>
          <w:rFonts w:hint="eastAsia"/>
        </w:rPr>
        <w:t>边界。对于其他</w:t>
      </w:r>
      <w:r w:rsidR="006E7DC8">
        <w:rPr>
          <w:rFonts w:hint="eastAsia"/>
        </w:rPr>
        <w:t>欧式看涨期权，修改特定参数，仍然可以通过本文的方法，确定最优区间</w:t>
      </w:r>
      <w:r w:rsidRPr="00C051D3">
        <w:rPr>
          <w:rFonts w:hint="eastAsia"/>
        </w:rPr>
        <w:t>边界。</w:t>
      </w:r>
    </w:p>
    <w:p w:rsidR="001F2179" w:rsidP="00C051D3">
      <w:pPr>
        <w:spacing w:before="240" w:after="60" w:line="312" w:lineRule="auto"/>
        <w:ind w:firstLine="482"/>
        <w:jc w:val="left"/>
        <w:outlineLvl w:val="1"/>
        <w:rPr>
          <w:rFonts w:eastAsia="宋体" w:cstheme="majorBidi"/>
          <w:b/>
          <w:bCs/>
          <w:kern w:val="28"/>
          <w:szCs w:val="32"/>
        </w:rPr>
        <w:sectPr w:rsidSect="001F2179">
          <w:headerReference w:type="even" r:id="rId7"/>
          <w:headerReference w:type="default" r:id="rId8"/>
          <w:footerReference w:type="even" r:id="rId9"/>
          <w:footerReference w:type="default" r:id="rId10"/>
          <w:headerReference w:type="first" r:id="rId11"/>
          <w:footerReference w:type="first" r:id="rId12"/>
          <w:endnotePr>
            <w:numFmt w:val="decimal"/>
          </w:endnotePr>
          <w:pgSz w:w="11906" w:h="16838"/>
          <w:pgMar w:top="1701" w:right="1701" w:bottom="1701" w:left="1701" w:header="851" w:footer="992" w:gutter="0"/>
          <w:pgNumType w:start="1"/>
          <w:cols w:space="425"/>
          <w:docGrid w:type="lines" w:linePitch="312"/>
        </w:sectPr>
      </w:pPr>
      <w:bookmarkStart w:id="1" w:name="_Toc35939499"/>
      <w:r w:rsidRPr="00C051D3">
        <w:rPr>
          <w:rFonts w:eastAsia="宋体" w:cstheme="majorBidi"/>
          <w:b/>
          <w:bCs/>
          <w:kern w:val="28"/>
          <w:szCs w:val="32"/>
        </w:rPr>
        <w:t>关键词</w:t>
      </w:r>
      <w:r w:rsidRPr="00C051D3">
        <w:rPr>
          <w:rFonts w:eastAsia="宋体" w:cstheme="majorBidi" w:hint="eastAsia"/>
          <w:b/>
          <w:bCs/>
          <w:kern w:val="28"/>
          <w:szCs w:val="32"/>
        </w:rPr>
        <w:t>：</w:t>
      </w:r>
      <w:r w:rsidR="000B488F">
        <w:rPr>
          <w:rFonts w:eastAsia="宋体" w:cstheme="majorBidi" w:hint="eastAsia"/>
          <w:b/>
          <w:bCs/>
          <w:kern w:val="28"/>
          <w:szCs w:val="32"/>
        </w:rPr>
        <w:t>个股期权；</w:t>
      </w:r>
      <w:r w:rsidR="00D93C26">
        <w:rPr>
          <w:rFonts w:eastAsia="宋体" w:cstheme="majorBidi" w:hint="eastAsia"/>
          <w:b/>
          <w:bCs/>
          <w:kern w:val="28"/>
          <w:szCs w:val="32"/>
        </w:rPr>
        <w:t>D</w:t>
      </w:r>
      <w:r w:rsidRPr="00C051D3">
        <w:rPr>
          <w:rFonts w:eastAsia="宋体" w:cstheme="majorBidi" w:hint="eastAsia"/>
          <w:b/>
          <w:bCs/>
          <w:kern w:val="28"/>
          <w:szCs w:val="32"/>
        </w:rPr>
        <w:t>elta</w:t>
      </w:r>
      <w:r w:rsidR="00BA2D9D">
        <w:rPr>
          <w:rFonts w:eastAsia="宋体" w:cstheme="majorBidi" w:hint="eastAsia"/>
          <w:b/>
          <w:bCs/>
          <w:kern w:val="28"/>
          <w:szCs w:val="32"/>
        </w:rPr>
        <w:t>对冲；最优区间</w:t>
      </w:r>
      <w:r w:rsidRPr="00C051D3">
        <w:rPr>
          <w:rFonts w:eastAsia="宋体" w:cstheme="majorBidi" w:hint="eastAsia"/>
          <w:b/>
          <w:bCs/>
          <w:kern w:val="28"/>
          <w:szCs w:val="32"/>
        </w:rPr>
        <w:t>边界；</w:t>
      </w:r>
      <w:r w:rsidR="006E7DC8">
        <w:rPr>
          <w:rFonts w:eastAsia="宋体" w:cstheme="majorBidi" w:hint="eastAsia"/>
          <w:b/>
          <w:bCs/>
          <w:kern w:val="28"/>
          <w:szCs w:val="32"/>
        </w:rPr>
        <w:t>非线性规</w:t>
      </w:r>
      <w:bookmarkEnd w:id="1"/>
      <w:r w:rsidR="00160A33">
        <w:rPr>
          <w:rFonts w:eastAsia="宋体" w:cstheme="majorBidi" w:hint="eastAsia"/>
          <w:b/>
          <w:bCs/>
          <w:kern w:val="28"/>
          <w:szCs w:val="32"/>
        </w:rPr>
        <w:t>划</w:t>
      </w:r>
    </w:p>
    <w:p w:rsidR="00A87E93" w:rsidRPr="00C051D3" w:rsidP="001F2179">
      <w:pPr>
        <w:spacing w:before="240" w:after="60" w:line="312" w:lineRule="auto"/>
        <w:ind w:firstLine="0" w:firstLineChars="0"/>
        <w:jc w:val="left"/>
        <w:outlineLvl w:val="1"/>
        <w:rPr>
          <w:rFonts w:eastAsia="宋体" w:cstheme="majorBidi"/>
          <w:b/>
          <w:bCs/>
          <w:kern w:val="28"/>
          <w:szCs w:val="32"/>
        </w:rPr>
      </w:pPr>
    </w:p>
    <w:p w:rsidR="00C051D3" w:rsidRPr="00C051D3" w:rsidP="00D93C2C">
      <w:pPr>
        <w:pStyle w:val="Heading1"/>
        <w:spacing w:before="936" w:after="624"/>
      </w:pPr>
      <w:bookmarkStart w:id="2" w:name="_Toc36644655"/>
      <w:r w:rsidRPr="00C051D3">
        <w:rPr>
          <w:rFonts w:hint="eastAsia"/>
        </w:rPr>
        <w:t>Abstract</w:t>
      </w:r>
      <w:bookmarkEnd w:id="2"/>
    </w:p>
    <w:p w:rsidR="00270AD5" w:rsidP="00270AD5">
      <w:pPr>
        <w:ind w:firstLine="480"/>
      </w:pPr>
      <w:r>
        <w:t>As a</w:t>
      </w:r>
      <w:r>
        <w:rPr>
          <w:rFonts w:hint="eastAsia"/>
        </w:rPr>
        <w:t xml:space="preserve"> kind of</w:t>
      </w:r>
      <w:r w:rsidRPr="00C051D3" w:rsidR="00C051D3">
        <w:t xml:space="preserve"> important trading product</w:t>
      </w:r>
      <w:r>
        <w:t>s</w:t>
      </w:r>
      <w:r w:rsidRPr="00C051D3" w:rsidR="00C051D3">
        <w:t>, options in derivatives market meet the needs of investors in many aspects. However, for the investors who hold short positions of call options, the losses they face may be huge. How to hedge the risks reasonably and e</w:t>
      </w:r>
      <w:r>
        <w:t>ffectively is very important to</w:t>
      </w:r>
      <w:r w:rsidRPr="00C051D3" w:rsidR="00C051D3">
        <w:t xml:space="preserve"> them. </w:t>
      </w:r>
      <w:r w:rsidRPr="00F61346" w:rsidR="00F61346">
        <w:t xml:space="preserve">Based on the delta fixed interval hedging strategy, </w:t>
      </w:r>
      <w:r w:rsidRPr="00C051D3" w:rsidR="00C051D3">
        <w:t xml:space="preserve">this paper seeks the optimal </w:t>
      </w:r>
      <w:r w:rsidRPr="00F61346" w:rsidR="00F61346">
        <w:t>interval</w:t>
      </w:r>
      <w:r w:rsidR="00F61346">
        <w:t xml:space="preserve"> boundary</w:t>
      </w:r>
      <w:r w:rsidRPr="0028547A" w:rsidR="0028547A">
        <w:t xml:space="preserve"> </w:t>
      </w:r>
      <w:r w:rsidR="00F61346">
        <w:rPr>
          <w:rFonts w:hint="eastAsia"/>
        </w:rPr>
        <w:t xml:space="preserve">to </w:t>
      </w:r>
      <w:r w:rsidR="0028547A">
        <w:t>provide</w:t>
      </w:r>
      <w:r w:rsidRPr="00C051D3" w:rsidR="00C051D3">
        <w:t xml:space="preserve"> the reference and suggestions for the call option sellers. In order to achieve the above goals, this paper constructs</w:t>
      </w:r>
      <w:r w:rsidR="00F61346">
        <w:t xml:space="preserve"> a virtual European call option</w:t>
      </w:r>
      <w:r w:rsidR="00F61346">
        <w:rPr>
          <w:rFonts w:hint="eastAsia"/>
        </w:rPr>
        <w:t xml:space="preserve"> </w:t>
      </w:r>
      <w:r w:rsidRPr="00C051D3" w:rsidR="00C051D3">
        <w:t xml:space="preserve">of China </w:t>
      </w:r>
      <w:r w:rsidR="000B7229">
        <w:t xml:space="preserve">Construction Bank stock, </w:t>
      </w:r>
      <w:r w:rsidR="000B7229">
        <w:t>pricies</w:t>
      </w:r>
      <w:r w:rsidR="000B7229">
        <w:t xml:space="preserve"> options and determines</w:t>
      </w:r>
      <w:r w:rsidRPr="00C051D3" w:rsidR="00C051D3">
        <w:t xml:space="preserve"> the time-varying delta value of options with the help of BS model, and simulates a number of future stock price tracks through Monte Carlo </w:t>
      </w:r>
      <w:r w:rsidR="000B488F">
        <w:rPr>
          <w:rFonts w:hint="eastAsia"/>
        </w:rPr>
        <w:t>m</w:t>
      </w:r>
      <w:r w:rsidR="000B488F">
        <w:t>ethod for the</w:t>
      </w:r>
      <w:r w:rsidR="000B488F">
        <w:rPr>
          <w:rFonts w:hint="eastAsia"/>
        </w:rPr>
        <w:t xml:space="preserve"> empirical</w:t>
      </w:r>
      <w:r w:rsidR="000B488F">
        <w:t xml:space="preserve"> analysis of strategies.</w:t>
      </w:r>
      <w:r w:rsidR="000B488F">
        <w:rPr>
          <w:rFonts w:hint="eastAsia"/>
        </w:rPr>
        <w:t xml:space="preserve"> </w:t>
      </w:r>
      <w:r w:rsidRPr="00F61346" w:rsidR="000B488F">
        <w:t>Within the preset boundary value range, the corresponding quantified hedging cost and hedging effect index are obtained by iterative operation.</w:t>
      </w:r>
      <w:r w:rsidR="000B488F">
        <w:rPr>
          <w:rFonts w:hint="eastAsia"/>
        </w:rPr>
        <w:t xml:space="preserve"> </w:t>
      </w:r>
      <w:r w:rsidRPr="00F61346">
        <w:t>Based on the idea of nonlinear programming, 0.129 is determined as the optimal interval boundary of the option.</w:t>
      </w:r>
      <w:r w:rsidRPr="00270AD5">
        <w:t xml:space="preserve"> For other European call options, after modifying the specific parameters, the optimal interval boundary can still be determined by the method in this paper.</w:t>
      </w:r>
    </w:p>
    <w:p w:rsidR="00C051D3" w:rsidRPr="00C051D3" w:rsidP="00270AD5">
      <w:pPr>
        <w:ind w:firstLine="482"/>
        <w:rPr>
          <w:rFonts w:eastAsia="宋体" w:cstheme="majorBidi"/>
          <w:b/>
          <w:bCs/>
          <w:kern w:val="28"/>
          <w:szCs w:val="32"/>
        </w:rPr>
      </w:pPr>
      <w:r w:rsidRPr="00C051D3">
        <w:rPr>
          <w:rFonts w:eastAsia="宋体" w:cstheme="majorBidi" w:hint="eastAsia"/>
          <w:b/>
          <w:bCs/>
          <w:kern w:val="28"/>
          <w:szCs w:val="32"/>
        </w:rPr>
        <w:t>Key Words:</w:t>
      </w:r>
      <w:r w:rsidRPr="00C051D3">
        <w:rPr>
          <w:rFonts w:eastAsia="宋体" w:cstheme="majorBidi"/>
          <w:b/>
          <w:bCs/>
          <w:kern w:val="28"/>
          <w:szCs w:val="32"/>
        </w:rPr>
        <w:t xml:space="preserve"> </w:t>
      </w:r>
      <w:r w:rsidR="00270AD5">
        <w:rPr>
          <w:rFonts w:eastAsia="宋体" w:cstheme="majorBidi" w:hint="eastAsia"/>
          <w:b/>
          <w:bCs/>
          <w:kern w:val="28"/>
          <w:szCs w:val="32"/>
        </w:rPr>
        <w:t xml:space="preserve">Stock Options; </w:t>
      </w:r>
      <w:r w:rsidRPr="00C051D3">
        <w:rPr>
          <w:rFonts w:eastAsia="宋体" w:cstheme="majorBidi"/>
          <w:b/>
          <w:bCs/>
          <w:kern w:val="28"/>
          <w:szCs w:val="32"/>
        </w:rPr>
        <w:t>Del</w:t>
      </w:r>
      <w:r w:rsidR="00270AD5">
        <w:rPr>
          <w:rFonts w:eastAsia="宋体" w:cstheme="majorBidi"/>
          <w:b/>
          <w:bCs/>
          <w:kern w:val="28"/>
          <w:szCs w:val="32"/>
        </w:rPr>
        <w:t xml:space="preserve">ta Hedging; the Optimal </w:t>
      </w:r>
      <w:r w:rsidR="00270AD5">
        <w:rPr>
          <w:rFonts w:eastAsia="宋体" w:cstheme="majorBidi" w:hint="eastAsia"/>
          <w:b/>
          <w:bCs/>
          <w:kern w:val="28"/>
          <w:szCs w:val="32"/>
        </w:rPr>
        <w:t>Interval</w:t>
      </w:r>
      <w:r w:rsidRPr="00C051D3">
        <w:rPr>
          <w:rFonts w:eastAsia="宋体" w:cstheme="majorBidi"/>
          <w:b/>
          <w:bCs/>
          <w:kern w:val="28"/>
          <w:szCs w:val="32"/>
        </w:rPr>
        <w:t xml:space="preserve"> Boundary; </w:t>
      </w:r>
      <w:r w:rsidR="00270AD5">
        <w:rPr>
          <w:rFonts w:eastAsia="宋体" w:cstheme="majorBidi" w:hint="eastAsia"/>
          <w:b/>
          <w:bCs/>
          <w:kern w:val="28"/>
          <w:szCs w:val="32"/>
        </w:rPr>
        <w:t>N</w:t>
      </w:r>
      <w:r w:rsidR="00270AD5">
        <w:rPr>
          <w:rFonts w:eastAsia="宋体" w:cstheme="majorBidi"/>
          <w:b/>
          <w:bCs/>
          <w:kern w:val="28"/>
          <w:szCs w:val="32"/>
        </w:rPr>
        <w:t xml:space="preserve">onlinear </w:t>
      </w:r>
      <w:r w:rsidR="00270AD5">
        <w:rPr>
          <w:rFonts w:eastAsia="宋体" w:cstheme="majorBidi" w:hint="eastAsia"/>
          <w:b/>
          <w:bCs/>
          <w:kern w:val="28"/>
          <w:szCs w:val="32"/>
        </w:rPr>
        <w:t>P</w:t>
      </w:r>
      <w:r w:rsidRPr="00270AD5" w:rsidR="00270AD5">
        <w:rPr>
          <w:rFonts w:eastAsia="宋体" w:cstheme="majorBidi"/>
          <w:b/>
          <w:bCs/>
          <w:kern w:val="28"/>
          <w:szCs w:val="32"/>
        </w:rPr>
        <w:t>rogramming</w:t>
      </w:r>
    </w:p>
    <w:p w:rsidR="00C051D3">
      <w:pPr>
        <w:widowControl/>
        <w:spacing w:line="240" w:lineRule="auto"/>
        <w:ind w:firstLine="0" w:firstLineChars="0"/>
        <w:jc w:val="left"/>
        <w:rPr>
          <w:rFonts w:eastAsia="华文中宋"/>
          <w:b/>
          <w:bCs/>
          <w:kern w:val="44"/>
          <w:sz w:val="44"/>
          <w:szCs w:val="44"/>
        </w:rPr>
      </w:pPr>
    </w:p>
    <w:p w:rsidR="00C051D3">
      <w:pPr>
        <w:widowControl/>
        <w:spacing w:line="240" w:lineRule="auto"/>
        <w:ind w:firstLine="0" w:firstLineChars="0"/>
        <w:jc w:val="left"/>
        <w:rPr>
          <w:rFonts w:eastAsia="华文中宋"/>
          <w:b/>
          <w:bCs/>
          <w:kern w:val="44"/>
          <w:sz w:val="44"/>
          <w:szCs w:val="44"/>
        </w:rPr>
      </w:pPr>
    </w:p>
    <w:p w:rsidR="00C051D3">
      <w:pPr>
        <w:widowControl/>
        <w:spacing w:line="240" w:lineRule="auto"/>
        <w:ind w:firstLine="0" w:firstLineChars="0"/>
        <w:jc w:val="left"/>
        <w:rPr>
          <w:rFonts w:eastAsia="华文中宋"/>
          <w:b/>
          <w:bCs/>
          <w:kern w:val="44"/>
          <w:sz w:val="44"/>
          <w:szCs w:val="44"/>
        </w:rPr>
      </w:pPr>
    </w:p>
    <w:p w:rsidR="00C051D3">
      <w:pPr>
        <w:widowControl/>
        <w:spacing w:line="240" w:lineRule="auto"/>
        <w:ind w:firstLine="0" w:firstLineChars="0"/>
        <w:jc w:val="left"/>
        <w:rPr>
          <w:rFonts w:eastAsia="华文中宋"/>
          <w:b/>
          <w:bCs/>
          <w:kern w:val="44"/>
          <w:sz w:val="44"/>
          <w:szCs w:val="44"/>
        </w:rPr>
      </w:pPr>
    </w:p>
    <w:p w:rsidR="00A87E93">
      <w:pPr>
        <w:widowControl/>
        <w:spacing w:line="240" w:lineRule="auto"/>
        <w:ind w:firstLine="0" w:firstLineChars="0"/>
        <w:jc w:val="left"/>
        <w:rPr>
          <w:rFonts w:eastAsia="华文中宋"/>
          <w:b/>
          <w:bCs/>
          <w:kern w:val="44"/>
          <w:sz w:val="44"/>
          <w:szCs w:val="44"/>
        </w:rPr>
      </w:pPr>
      <w:r>
        <w:rPr>
          <w:rFonts w:eastAsia="华文中宋"/>
          <w:b/>
          <w:bCs/>
          <w:kern w:val="44"/>
          <w:sz w:val="44"/>
          <w:szCs w:val="44"/>
        </w:rPr>
        <w:br/>
      </w:r>
      <w:r>
        <w:rPr>
          <w:rFonts w:eastAsia="华文中宋"/>
          <w:b/>
          <w:bCs/>
          <w:kern w:val="44"/>
          <w:sz w:val="44"/>
          <w:szCs w:val="44"/>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https://d.book118.com/127052032156006031</w:t>
        </w:r>
      </w:hyperlink>
    </w:p>
    <w:p w:rsidR="00A87E93">
      <w:pPr>
        <w:widowControl/>
        <w:spacing w:line="240" w:lineRule="auto"/>
        <w:ind w:firstLine="0" w:firstLineChars="0"/>
        <w:jc w:val="left"/>
        <w:rPr>
          <w:rFonts w:eastAsia="华文中宋"/>
          <w:b/>
          <w:bCs/>
          <w:kern w:val="44"/>
          <w:sz w:val="44"/>
          <w:szCs w:val="44"/>
        </w:rPr>
      </w:pPr>
    </w:p>
    <w:sectPr w:rsidSect="001F2179">
      <w:headerReference w:type="even" r:id="rId14"/>
      <w:headerReference w:type="default" r:id="rId15"/>
      <w:footerReference w:type="even" r:id="rId16"/>
      <w:footerReference w:type="default" r:id="rId17"/>
      <w:headerReference w:type="first" r:id="rId18"/>
      <w:footerReference w:type="first" r:id="rId19"/>
      <w:endnotePr>
        <w:numFmt w:val="decimal"/>
      </w:endnotePr>
      <w:pgSz w:w="11906" w:h="16838"/>
      <w:pgMar w:top="1701" w:right="1701" w:bottom="1701" w:left="1701"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rsidR="005B1910" w:rsidRPr="00897466" w:rsidP="00357471">
      <w:pPr>
        <w:pStyle w:val="Footer"/>
        <w:ind w:firstLine="360"/>
      </w:pPr>
    </w:p>
  </w:endnote>
  <w:endnote w:type="continuationSeparator" w:id="1">
    <w:p w:rsidR="005B1910" w:rsidP="009F3E14">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华文行楷">
    <w:panose1 w:val="02010800040101010101"/>
    <w:charset w:val="86"/>
    <w:family w:val="auto"/>
    <w:pitch w:val="variable"/>
    <w:sig w:usb0="00000001" w:usb1="080F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DAF" w:rsidP="00606DAF">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31889290"/>
      <w:docPartObj>
        <w:docPartGallery w:val="Page Numbers (Bottom of Page)"/>
        <w:docPartUnique/>
      </w:docPartObj>
    </w:sdtPr>
    <w:sdtContent>
      <w:p w:rsidR="001F2179" w:rsidP="001F2179">
        <w:pPr>
          <w:pStyle w:val="Footer"/>
          <w:ind w:firstLine="360"/>
          <w:jc w:val="center"/>
        </w:pPr>
        <w:r>
          <w:fldChar w:fldCharType="begin"/>
        </w:r>
        <w:r>
          <w:instrText>PAGE   \* MERGEFORMAT</w:instrText>
        </w:r>
        <w:r>
          <w:fldChar w:fldCharType="separate"/>
        </w:r>
        <w:r w:rsidRPr="00606DAF" w:rsidR="00606DAF">
          <w:rPr>
            <w:noProof/>
            <w:lang w:val="zh-CN"/>
          </w:rPr>
          <w:t>1</w:t>
        </w:r>
        <w:r>
          <w:fldChar w:fldCharType="end"/>
        </w:r>
      </w:p>
    </w:sdtContent>
  </w:sdt>
  <w:p w:rsidR="00A369BD" w:rsidP="00897466">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DAF" w:rsidP="00606DAF">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DAF" w:rsidP="00606DAF">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42788930"/>
      <w:docPartObj>
        <w:docPartGallery w:val="Page Numbers (Bottom of Page)"/>
        <w:docPartUnique/>
      </w:docPartObj>
    </w:sdtPr>
    <w:sdtContent>
      <w:p w:rsidR="001F2179" w:rsidP="001F2179">
        <w:pPr>
          <w:pStyle w:val="Footer"/>
          <w:ind w:firstLine="360"/>
          <w:jc w:val="center"/>
        </w:pPr>
        <w:r>
          <w:fldChar w:fldCharType="begin"/>
        </w:r>
        <w:r>
          <w:instrText>PAGE   \* MERGEFORMAT</w:instrText>
        </w:r>
        <w:r>
          <w:fldChar w:fldCharType="separate"/>
        </w:r>
        <w:r w:rsidRPr="00606DAF" w:rsidR="00606DAF">
          <w:rPr>
            <w:noProof/>
            <w:lang w:val="zh-CN"/>
          </w:rPr>
          <w:t>2</w:t>
        </w:r>
        <w:r>
          <w:fldChar w:fldCharType="end"/>
        </w:r>
      </w:p>
    </w:sdtContent>
  </w:sdt>
  <w:p w:rsidR="001F2179" w:rsidP="00897466">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DAF" w:rsidP="00606DAF">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sidR="005B1910" w:rsidP="009F3E14">
      <w:pPr>
        <w:spacing w:line="240" w:lineRule="auto"/>
        <w:ind w:firstLine="480"/>
      </w:pPr>
      <w:r>
        <w:separator/>
      </w:r>
    </w:p>
  </w:footnote>
  <w:footnote w:type="continuationSeparator" w:id="1">
    <w:p w:rsidR="005B1910" w:rsidP="009F3E14">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DAF" w:rsidP="00606DAF">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DAF" w:rsidP="00606DAF">
    <w:pPr>
      <w:pStyle w:val="Header"/>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DAF" w:rsidP="00606DAF">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DAF" w:rsidP="00606DAF">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DAF" w:rsidP="00606DAF">
    <w:pPr>
      <w:pStyle w:val="Header"/>
      <w:pBdr>
        <w:bottom w:val="none" w:sz="0" w:space="0" w:color="auto"/>
      </w:pBd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DAF" w:rsidP="00606DAF">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5205F49"/>
    <w:multiLevelType w:val="hybridMultilevel"/>
    <w:tmpl w:val="1786BD80"/>
    <w:lvl w:ilvl="0">
      <w:start w:val="1"/>
      <w:numFmt w:val="japaneseCounting"/>
      <w:lvlText w:val="第%1章"/>
      <w:lvlJc w:val="left"/>
      <w:pPr>
        <w:ind w:left="1560" w:hanging="15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
    <w:nsid w:val="14E07C4A"/>
    <w:multiLevelType w:val="multilevel"/>
    <w:tmpl w:val="1786BD80"/>
    <w:lvl w:ilvl="0">
      <w:start w:val="1"/>
      <w:numFmt w:val="japaneseCounting"/>
      <w:lvlText w:val="第%1章"/>
      <w:lvlJc w:val="left"/>
      <w:pPr>
        <w:ind w:left="1560" w:hanging="15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
    <w:nsid w:val="20883923"/>
    <w:multiLevelType w:val="multilevel"/>
    <w:tmpl w:val="7DE2D850"/>
    <w:lvl w:ilvl="0">
      <w:start w:val="1"/>
      <w:numFmt w:val="decimal"/>
      <w:lvlText w:val="%1"/>
      <w:lvlJc w:val="left"/>
      <w:pPr>
        <w:ind w:left="540" w:hanging="540"/>
      </w:pPr>
      <w:rPr>
        <w:rFonts w:hint="default"/>
      </w:rPr>
    </w:lvl>
    <w:lvl w:ilvl="1">
      <w:start w:val="1"/>
      <w:numFmt w:val="decimal"/>
      <w:lvlText w:val="%1.%2"/>
      <w:lvlJc w:val="left"/>
      <w:pPr>
        <w:ind w:left="1140" w:hanging="540"/>
      </w:pPr>
      <w:rPr>
        <w:rFonts w:hint="default"/>
      </w:rPr>
    </w:lvl>
    <w:lvl w:ilvl="2">
      <w:start w:val="1"/>
      <w:numFmt w:val="decimal"/>
      <w:lvlText w:val="%1.%2.%3"/>
      <w:lvlJc w:val="left"/>
      <w:pPr>
        <w:ind w:left="1920" w:hanging="720"/>
      </w:pPr>
      <w:rPr>
        <w:rFonts w:hint="default"/>
      </w:rPr>
    </w:lvl>
    <w:lvl w:ilvl="3">
      <w:start w:val="1"/>
      <w:numFmt w:val="decimal"/>
      <w:lvlText w:val="%1.%2.%3.%4"/>
      <w:lvlJc w:val="left"/>
      <w:pPr>
        <w:ind w:left="2520" w:hanging="720"/>
      </w:pPr>
      <w:rPr>
        <w:rFonts w:hint="default"/>
      </w:rPr>
    </w:lvl>
    <w:lvl w:ilvl="4">
      <w:start w:val="1"/>
      <w:numFmt w:val="decimal"/>
      <w:lvlText w:val="%1.%2.%3.%4.%5"/>
      <w:lvlJc w:val="left"/>
      <w:pPr>
        <w:ind w:left="3480" w:hanging="1080"/>
      </w:pPr>
      <w:rPr>
        <w:rFonts w:hint="default"/>
      </w:rPr>
    </w:lvl>
    <w:lvl w:ilvl="5">
      <w:start w:val="1"/>
      <w:numFmt w:val="decimal"/>
      <w:lvlText w:val="%1.%2.%3.%4.%5.%6"/>
      <w:lvlJc w:val="left"/>
      <w:pPr>
        <w:ind w:left="4080" w:hanging="1080"/>
      </w:pPr>
      <w:rPr>
        <w:rFonts w:hint="default"/>
      </w:rPr>
    </w:lvl>
    <w:lvl w:ilvl="6">
      <w:start w:val="1"/>
      <w:numFmt w:val="decimal"/>
      <w:lvlText w:val="%1.%2.%3.%4.%5.%6.%7"/>
      <w:lvlJc w:val="left"/>
      <w:pPr>
        <w:ind w:left="5040" w:hanging="1440"/>
      </w:pPr>
      <w:rPr>
        <w:rFonts w:hint="default"/>
      </w:rPr>
    </w:lvl>
    <w:lvl w:ilvl="7">
      <w:start w:val="1"/>
      <w:numFmt w:val="decimal"/>
      <w:lvlText w:val="%1.%2.%3.%4.%5.%6.%7.%8"/>
      <w:lvlJc w:val="left"/>
      <w:pPr>
        <w:ind w:left="5640" w:hanging="1440"/>
      </w:pPr>
      <w:rPr>
        <w:rFonts w:hint="default"/>
      </w:rPr>
    </w:lvl>
    <w:lvl w:ilvl="8">
      <w:start w:val="1"/>
      <w:numFmt w:val="decimal"/>
      <w:lvlText w:val="%1.%2.%3.%4.%5.%6.%7.%8.%9"/>
      <w:lvlJc w:val="left"/>
      <w:pPr>
        <w:ind w:left="6600" w:hanging="1800"/>
      </w:pPr>
      <w:rPr>
        <w:rFonts w:hint="default"/>
      </w:rPr>
    </w:lvl>
  </w:abstractNum>
  <w:abstractNum w:abstractNumId="3">
    <w:nsid w:val="2BB86290"/>
    <w:multiLevelType w:val="multilevel"/>
    <w:tmpl w:val="F74A7B68"/>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526F425A"/>
    <w:multiLevelType w:val="hybridMultilevel"/>
    <w:tmpl w:val="63D8B3D8"/>
    <w:lvl w:ilvl="0">
      <w:start w:val="1"/>
      <w:numFmt w:val="japaneseCounting"/>
      <w:lvlText w:val="第%1章"/>
      <w:lvlJc w:val="left"/>
      <w:pPr>
        <w:ind w:left="2456" w:hanging="1575"/>
      </w:pPr>
      <w:rPr>
        <w:rFonts w:hint="default"/>
      </w:rPr>
    </w:lvl>
    <w:lvl w:ilvl="1" w:tentative="1">
      <w:start w:val="1"/>
      <w:numFmt w:val="lowerLetter"/>
      <w:lvlText w:val="%2)"/>
      <w:lvlJc w:val="left"/>
      <w:pPr>
        <w:ind w:left="1721" w:hanging="420"/>
      </w:pPr>
    </w:lvl>
    <w:lvl w:ilvl="2" w:tentative="1">
      <w:start w:val="1"/>
      <w:numFmt w:val="lowerRoman"/>
      <w:lvlText w:val="%3."/>
      <w:lvlJc w:val="right"/>
      <w:pPr>
        <w:ind w:left="2141" w:hanging="420"/>
      </w:pPr>
    </w:lvl>
    <w:lvl w:ilvl="3" w:tentative="1">
      <w:start w:val="1"/>
      <w:numFmt w:val="decimal"/>
      <w:lvlText w:val="%4."/>
      <w:lvlJc w:val="left"/>
      <w:pPr>
        <w:ind w:left="2561" w:hanging="420"/>
      </w:pPr>
    </w:lvl>
    <w:lvl w:ilvl="4" w:tentative="1">
      <w:start w:val="1"/>
      <w:numFmt w:val="lowerLetter"/>
      <w:lvlText w:val="%5)"/>
      <w:lvlJc w:val="left"/>
      <w:pPr>
        <w:ind w:left="2981" w:hanging="420"/>
      </w:pPr>
    </w:lvl>
    <w:lvl w:ilvl="5" w:tentative="1">
      <w:start w:val="1"/>
      <w:numFmt w:val="lowerRoman"/>
      <w:lvlText w:val="%6."/>
      <w:lvlJc w:val="right"/>
      <w:pPr>
        <w:ind w:left="3401" w:hanging="420"/>
      </w:pPr>
    </w:lvl>
    <w:lvl w:ilvl="6" w:tentative="1">
      <w:start w:val="1"/>
      <w:numFmt w:val="decimal"/>
      <w:lvlText w:val="%7."/>
      <w:lvlJc w:val="left"/>
      <w:pPr>
        <w:ind w:left="3821" w:hanging="420"/>
      </w:pPr>
    </w:lvl>
    <w:lvl w:ilvl="7" w:tentative="1">
      <w:start w:val="1"/>
      <w:numFmt w:val="lowerLetter"/>
      <w:lvlText w:val="%8)"/>
      <w:lvlJc w:val="left"/>
      <w:pPr>
        <w:ind w:left="4241" w:hanging="420"/>
      </w:pPr>
    </w:lvl>
    <w:lvl w:ilvl="8" w:tentative="1">
      <w:start w:val="1"/>
      <w:numFmt w:val="lowerRoman"/>
      <w:lvlText w:val="%9."/>
      <w:lvlJc w:val="right"/>
      <w:pPr>
        <w:ind w:left="4661" w:hanging="420"/>
      </w:pPr>
    </w:lvl>
  </w:abstractNum>
  <w:abstractNum w:abstractNumId="5">
    <w:nsid w:val="5AF37719"/>
    <w:multiLevelType w:val="hybridMultilevel"/>
    <w:tmpl w:val="279A978A"/>
    <w:lvl w:ilvl="0">
      <w:start w:val="1"/>
      <w:numFmt w:val="decimal"/>
      <w:lvlText w:val="（%1）"/>
      <w:lvlJc w:val="left"/>
      <w:pPr>
        <w:ind w:left="1440" w:hanging="96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6">
    <w:nsid w:val="6BDB7D84"/>
    <w:multiLevelType w:val="multilevel"/>
    <w:tmpl w:val="1786BD80"/>
    <w:lvl w:ilvl="0">
      <w:start w:val="1"/>
      <w:numFmt w:val="japaneseCounting"/>
      <w:lvlText w:val="第%1章"/>
      <w:lvlJc w:val="left"/>
      <w:pPr>
        <w:ind w:left="1560" w:hanging="15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
    <w:nsid w:val="774441BA"/>
    <w:multiLevelType w:val="hybridMultilevel"/>
    <w:tmpl w:val="8BFEFA8A"/>
    <w:lvl w:ilvl="0">
      <w:start w:val="1"/>
      <w:numFmt w:val="decimalEnclosedCircle"/>
      <w:lvlText w:val="%1"/>
      <w:lvlJc w:val="left"/>
      <w:pPr>
        <w:ind w:left="840" w:hanging="36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8">
    <w:nsid w:val="7CE70EF8"/>
    <w:multiLevelType w:val="multilevel"/>
    <w:tmpl w:val="1786BD80"/>
    <w:lvl w:ilvl="0">
      <w:start w:val="1"/>
      <w:numFmt w:val="japaneseCounting"/>
      <w:lvlText w:val="第%1章"/>
      <w:lvlJc w:val="left"/>
      <w:pPr>
        <w:ind w:left="1560" w:hanging="15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9">
    <w:nsid w:val="7EBF47E0"/>
    <w:multiLevelType w:val="hybridMultilevel"/>
    <w:tmpl w:val="706080B6"/>
    <w:lvl w:ilvl="0">
      <w:start w:val="4"/>
      <w:numFmt w:val="decimal"/>
      <w:lvlText w:val="%1"/>
      <w:lvlJc w:val="left"/>
      <w:pPr>
        <w:ind w:left="900" w:hanging="360"/>
      </w:pPr>
      <w:rPr>
        <w:rFonts w:hint="default"/>
      </w:rPr>
    </w:lvl>
    <w:lvl w:ilvl="1" w:tentative="1">
      <w:start w:val="1"/>
      <w:numFmt w:val="lowerLetter"/>
      <w:lvlText w:val="%2)"/>
      <w:lvlJc w:val="left"/>
      <w:pPr>
        <w:ind w:left="1380" w:hanging="420"/>
      </w:pPr>
    </w:lvl>
    <w:lvl w:ilvl="2" w:tentative="1">
      <w:start w:val="1"/>
      <w:numFmt w:val="lowerRoman"/>
      <w:lvlText w:val="%3."/>
      <w:lvlJc w:val="right"/>
      <w:pPr>
        <w:ind w:left="1800" w:hanging="420"/>
      </w:pPr>
    </w:lvl>
    <w:lvl w:ilvl="3" w:tentative="1">
      <w:start w:val="1"/>
      <w:numFmt w:val="decimal"/>
      <w:lvlText w:val="%4."/>
      <w:lvlJc w:val="left"/>
      <w:pPr>
        <w:ind w:left="2220" w:hanging="420"/>
      </w:pPr>
    </w:lvl>
    <w:lvl w:ilvl="4" w:tentative="1">
      <w:start w:val="1"/>
      <w:numFmt w:val="lowerLetter"/>
      <w:lvlText w:val="%5)"/>
      <w:lvlJc w:val="left"/>
      <w:pPr>
        <w:ind w:left="2640" w:hanging="420"/>
      </w:pPr>
    </w:lvl>
    <w:lvl w:ilvl="5" w:tentative="1">
      <w:start w:val="1"/>
      <w:numFmt w:val="lowerRoman"/>
      <w:lvlText w:val="%6."/>
      <w:lvlJc w:val="right"/>
      <w:pPr>
        <w:ind w:left="3060" w:hanging="420"/>
      </w:pPr>
    </w:lvl>
    <w:lvl w:ilvl="6" w:tentative="1">
      <w:start w:val="1"/>
      <w:numFmt w:val="decimal"/>
      <w:lvlText w:val="%7."/>
      <w:lvlJc w:val="left"/>
      <w:pPr>
        <w:ind w:left="3480" w:hanging="420"/>
      </w:pPr>
    </w:lvl>
    <w:lvl w:ilvl="7" w:tentative="1">
      <w:start w:val="1"/>
      <w:numFmt w:val="lowerLetter"/>
      <w:lvlText w:val="%8)"/>
      <w:lvlJc w:val="left"/>
      <w:pPr>
        <w:ind w:left="3900" w:hanging="420"/>
      </w:pPr>
    </w:lvl>
    <w:lvl w:ilvl="8" w:tentative="1">
      <w:start w:val="1"/>
      <w:numFmt w:val="lowerRoman"/>
      <w:lvlText w:val="%9."/>
      <w:lvlJc w:val="right"/>
      <w:pPr>
        <w:ind w:left="4320" w:hanging="420"/>
      </w:pPr>
    </w:lvl>
  </w:abstractNum>
  <w:num w:numId="1">
    <w:abstractNumId w:val="4"/>
  </w:num>
  <w:num w:numId="2">
    <w:abstractNumId w:val="2"/>
  </w:num>
  <w:num w:numId="3">
    <w:abstractNumId w:val="3"/>
  </w:num>
  <w:num w:numId="4">
    <w:abstractNumId w:val="7"/>
  </w:num>
  <w:num w:numId="5">
    <w:abstractNumId w:val="0"/>
  </w:num>
  <w:num w:numId="6">
    <w:abstractNumId w:val="1"/>
  </w:num>
  <w:num w:numId="7">
    <w:abstractNumId w:val="8"/>
  </w:num>
  <w:num w:numId="8">
    <w:abstractNumId w:val="6"/>
  </w:num>
  <w:num w:numId="9">
    <w:abstractNumId w:val="5"/>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0"/>
    <w:footnote w:id="1"/>
  </w:footnotePr>
  <w:endnotePr>
    <w:numFmt w:val="decimal"/>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5535"/>
    <w:rsid w:val="00006E63"/>
    <w:rsid w:val="00010C91"/>
    <w:rsid w:val="000142AE"/>
    <w:rsid w:val="00037BCD"/>
    <w:rsid w:val="00056AA3"/>
    <w:rsid w:val="000770DB"/>
    <w:rsid w:val="000A7C2A"/>
    <w:rsid w:val="000B0591"/>
    <w:rsid w:val="000B488F"/>
    <w:rsid w:val="000B7229"/>
    <w:rsid w:val="000B7F51"/>
    <w:rsid w:val="000C05C2"/>
    <w:rsid w:val="000C2694"/>
    <w:rsid w:val="000D666A"/>
    <w:rsid w:val="000E1A5B"/>
    <w:rsid w:val="000E20AA"/>
    <w:rsid w:val="00105BD0"/>
    <w:rsid w:val="0010620E"/>
    <w:rsid w:val="001237DE"/>
    <w:rsid w:val="00123962"/>
    <w:rsid w:val="00150216"/>
    <w:rsid w:val="00150EC6"/>
    <w:rsid w:val="001521A4"/>
    <w:rsid w:val="00152308"/>
    <w:rsid w:val="001528B4"/>
    <w:rsid w:val="00160A33"/>
    <w:rsid w:val="00161380"/>
    <w:rsid w:val="001765F4"/>
    <w:rsid w:val="001C440C"/>
    <w:rsid w:val="001D5F75"/>
    <w:rsid w:val="001F2179"/>
    <w:rsid w:val="001F222C"/>
    <w:rsid w:val="001F4618"/>
    <w:rsid w:val="001F60EC"/>
    <w:rsid w:val="00213343"/>
    <w:rsid w:val="00215836"/>
    <w:rsid w:val="00217AD1"/>
    <w:rsid w:val="00233D98"/>
    <w:rsid w:val="002417B1"/>
    <w:rsid w:val="00243445"/>
    <w:rsid w:val="00244549"/>
    <w:rsid w:val="00245631"/>
    <w:rsid w:val="00251D7E"/>
    <w:rsid w:val="00260741"/>
    <w:rsid w:val="00261237"/>
    <w:rsid w:val="00264CF0"/>
    <w:rsid w:val="00270AD5"/>
    <w:rsid w:val="00280E94"/>
    <w:rsid w:val="002810F7"/>
    <w:rsid w:val="0028547A"/>
    <w:rsid w:val="002D402E"/>
    <w:rsid w:val="002E1940"/>
    <w:rsid w:val="002E2FDA"/>
    <w:rsid w:val="002E709D"/>
    <w:rsid w:val="002F06AA"/>
    <w:rsid w:val="002F1BC3"/>
    <w:rsid w:val="002F61EA"/>
    <w:rsid w:val="00322FAE"/>
    <w:rsid w:val="00331972"/>
    <w:rsid w:val="00335343"/>
    <w:rsid w:val="00336B7B"/>
    <w:rsid w:val="003533B2"/>
    <w:rsid w:val="00357471"/>
    <w:rsid w:val="00393756"/>
    <w:rsid w:val="003C51DD"/>
    <w:rsid w:val="003D59F5"/>
    <w:rsid w:val="003E2B3F"/>
    <w:rsid w:val="003E4F2C"/>
    <w:rsid w:val="004042F3"/>
    <w:rsid w:val="0040655A"/>
    <w:rsid w:val="00410792"/>
    <w:rsid w:val="00465434"/>
    <w:rsid w:val="00473C74"/>
    <w:rsid w:val="004C7318"/>
    <w:rsid w:val="004D09FA"/>
    <w:rsid w:val="004D7058"/>
    <w:rsid w:val="004E204D"/>
    <w:rsid w:val="004E4D83"/>
    <w:rsid w:val="004E527B"/>
    <w:rsid w:val="004F3164"/>
    <w:rsid w:val="004F606A"/>
    <w:rsid w:val="00524EA6"/>
    <w:rsid w:val="00530A98"/>
    <w:rsid w:val="00557035"/>
    <w:rsid w:val="0055751C"/>
    <w:rsid w:val="005B1910"/>
    <w:rsid w:val="005D5221"/>
    <w:rsid w:val="00606DAF"/>
    <w:rsid w:val="006147CC"/>
    <w:rsid w:val="006452B7"/>
    <w:rsid w:val="00654B58"/>
    <w:rsid w:val="00674DB0"/>
    <w:rsid w:val="00675C14"/>
    <w:rsid w:val="006A3FFD"/>
    <w:rsid w:val="006A49C4"/>
    <w:rsid w:val="006A5304"/>
    <w:rsid w:val="006B1408"/>
    <w:rsid w:val="006C4C4F"/>
    <w:rsid w:val="006D3F75"/>
    <w:rsid w:val="006E7DC8"/>
    <w:rsid w:val="006F30AF"/>
    <w:rsid w:val="00701F67"/>
    <w:rsid w:val="00702716"/>
    <w:rsid w:val="007068E8"/>
    <w:rsid w:val="007115A4"/>
    <w:rsid w:val="00715670"/>
    <w:rsid w:val="00715AEC"/>
    <w:rsid w:val="0073483A"/>
    <w:rsid w:val="00743148"/>
    <w:rsid w:val="007A0713"/>
    <w:rsid w:val="007A6F9B"/>
    <w:rsid w:val="007B10A3"/>
    <w:rsid w:val="008037C7"/>
    <w:rsid w:val="00816A72"/>
    <w:rsid w:val="0083224B"/>
    <w:rsid w:val="0084120F"/>
    <w:rsid w:val="00873D4E"/>
    <w:rsid w:val="0088766E"/>
    <w:rsid w:val="00890DDE"/>
    <w:rsid w:val="00897466"/>
    <w:rsid w:val="008A76FD"/>
    <w:rsid w:val="008D3466"/>
    <w:rsid w:val="008E3B50"/>
    <w:rsid w:val="0090262B"/>
    <w:rsid w:val="00937708"/>
    <w:rsid w:val="0094091A"/>
    <w:rsid w:val="00946251"/>
    <w:rsid w:val="009520A9"/>
    <w:rsid w:val="009543AB"/>
    <w:rsid w:val="00995B2B"/>
    <w:rsid w:val="009B7039"/>
    <w:rsid w:val="009B7B24"/>
    <w:rsid w:val="009D0772"/>
    <w:rsid w:val="009E077A"/>
    <w:rsid w:val="009E5987"/>
    <w:rsid w:val="009F3E14"/>
    <w:rsid w:val="00A12311"/>
    <w:rsid w:val="00A34137"/>
    <w:rsid w:val="00A369BD"/>
    <w:rsid w:val="00A41D5D"/>
    <w:rsid w:val="00A451E1"/>
    <w:rsid w:val="00A46CE5"/>
    <w:rsid w:val="00A560ED"/>
    <w:rsid w:val="00A87E93"/>
    <w:rsid w:val="00A957B9"/>
    <w:rsid w:val="00AB5C51"/>
    <w:rsid w:val="00AB7B5A"/>
    <w:rsid w:val="00AC2D13"/>
    <w:rsid w:val="00AE1B8F"/>
    <w:rsid w:val="00AF0259"/>
    <w:rsid w:val="00B0539D"/>
    <w:rsid w:val="00B10CEC"/>
    <w:rsid w:val="00B35538"/>
    <w:rsid w:val="00B54469"/>
    <w:rsid w:val="00B561BD"/>
    <w:rsid w:val="00B7541D"/>
    <w:rsid w:val="00B93667"/>
    <w:rsid w:val="00BA2987"/>
    <w:rsid w:val="00BA2D9D"/>
    <w:rsid w:val="00BA38A4"/>
    <w:rsid w:val="00BB192D"/>
    <w:rsid w:val="00BB3243"/>
    <w:rsid w:val="00BB7007"/>
    <w:rsid w:val="00BD1DE8"/>
    <w:rsid w:val="00BF3E5E"/>
    <w:rsid w:val="00BF63FB"/>
    <w:rsid w:val="00C0407C"/>
    <w:rsid w:val="00C051D3"/>
    <w:rsid w:val="00C0697E"/>
    <w:rsid w:val="00C22A24"/>
    <w:rsid w:val="00C24A16"/>
    <w:rsid w:val="00C27440"/>
    <w:rsid w:val="00C33C95"/>
    <w:rsid w:val="00C44CB7"/>
    <w:rsid w:val="00C47077"/>
    <w:rsid w:val="00C472E6"/>
    <w:rsid w:val="00C62681"/>
    <w:rsid w:val="00C72705"/>
    <w:rsid w:val="00C754A3"/>
    <w:rsid w:val="00C90F61"/>
    <w:rsid w:val="00CA78EE"/>
    <w:rsid w:val="00CB7532"/>
    <w:rsid w:val="00CB7777"/>
    <w:rsid w:val="00CD3EEB"/>
    <w:rsid w:val="00CF6E72"/>
    <w:rsid w:val="00D01C2A"/>
    <w:rsid w:val="00D05535"/>
    <w:rsid w:val="00D2239F"/>
    <w:rsid w:val="00D30784"/>
    <w:rsid w:val="00D318AF"/>
    <w:rsid w:val="00D418DF"/>
    <w:rsid w:val="00D43113"/>
    <w:rsid w:val="00D43CA5"/>
    <w:rsid w:val="00D61610"/>
    <w:rsid w:val="00D852B0"/>
    <w:rsid w:val="00D93C26"/>
    <w:rsid w:val="00D93C2C"/>
    <w:rsid w:val="00DB6F6C"/>
    <w:rsid w:val="00E96447"/>
    <w:rsid w:val="00EA3F60"/>
    <w:rsid w:val="00ED1FFF"/>
    <w:rsid w:val="00F31E79"/>
    <w:rsid w:val="00F52360"/>
    <w:rsid w:val="00F61346"/>
    <w:rsid w:val="00F75006"/>
    <w:rsid w:val="00F83FF8"/>
    <w:rsid w:val="00F96F20"/>
    <w:rsid w:val="00FA5149"/>
    <w:rsid w:val="00FB29DC"/>
    <w:rsid w:val="00FC2C4F"/>
    <w:rsid w:val="00FC3454"/>
    <w:rsid w:val="00FC7FE1"/>
    <w:rsid w:val="00FE2280"/>
    <w:rsid w:val="00FE5C17"/>
    <w:rsid w:val="00FF4DAC"/>
    <w:rsid w:val="00FF74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8EE"/>
    <w:pPr>
      <w:widowControl w:val="0"/>
      <w:spacing w:line="360" w:lineRule="auto"/>
      <w:ind w:firstLine="200" w:firstLineChars="200"/>
      <w:jc w:val="both"/>
    </w:pPr>
    <w:rPr>
      <w:rFonts w:ascii="Times New Roman" w:hAnsi="Times New Roman"/>
      <w:sz w:val="24"/>
    </w:rPr>
  </w:style>
  <w:style w:type="paragraph" w:styleId="Heading1">
    <w:name w:val="heading 1"/>
    <w:basedOn w:val="Normal"/>
    <w:next w:val="Normal"/>
    <w:link w:val="1Char"/>
    <w:uiPriority w:val="9"/>
    <w:qFormat/>
    <w:rsid w:val="001F2179"/>
    <w:pPr>
      <w:keepNext/>
      <w:keepLines/>
      <w:spacing w:before="300" w:beforeLines="300" w:after="200" w:afterLines="200"/>
      <w:ind w:firstLine="0" w:firstLineChars="0"/>
      <w:jc w:val="center"/>
      <w:outlineLvl w:val="0"/>
    </w:pPr>
    <w:rPr>
      <w:rFonts w:eastAsia="华文中宋"/>
      <w:b/>
      <w:bCs/>
      <w:kern w:val="44"/>
      <w:sz w:val="44"/>
      <w:szCs w:val="44"/>
    </w:rPr>
  </w:style>
  <w:style w:type="paragraph" w:styleId="Heading2">
    <w:name w:val="heading 2"/>
    <w:basedOn w:val="Normal"/>
    <w:next w:val="Normal"/>
    <w:link w:val="2Char"/>
    <w:uiPriority w:val="9"/>
    <w:unhideWhenUsed/>
    <w:qFormat/>
    <w:rsid w:val="001F2179"/>
    <w:pPr>
      <w:keepNext/>
      <w:keepLines/>
      <w:spacing w:before="100" w:beforeLines="100" w:after="100" w:afterLines="100"/>
      <w:ind w:firstLine="0" w:firstLineChars="0"/>
      <w:outlineLvl w:val="1"/>
    </w:pPr>
    <w:rPr>
      <w:rFonts w:eastAsia="黑体" w:asciiTheme="majorHAnsi" w:hAnsiTheme="majorHAnsi" w:cstheme="majorBidi"/>
      <w:bCs/>
      <w:sz w:val="30"/>
      <w:szCs w:val="32"/>
    </w:rPr>
  </w:style>
  <w:style w:type="paragraph" w:styleId="Heading3">
    <w:name w:val="heading 3"/>
    <w:basedOn w:val="Normal"/>
    <w:next w:val="Normal"/>
    <w:link w:val="3Char0"/>
    <w:uiPriority w:val="9"/>
    <w:unhideWhenUsed/>
    <w:rsid w:val="00B561BD"/>
    <w:pPr>
      <w:keepNext/>
      <w:keepLines/>
      <w:spacing w:before="260" w:after="260" w:line="416" w:lineRule="auto"/>
      <w:outlineLvl w:val="2"/>
    </w:pPr>
    <w:rPr>
      <w:b/>
      <w:bCs/>
      <w:sz w:val="32"/>
      <w:szCs w:val="32"/>
    </w:rPr>
  </w:style>
  <w:style w:type="paragraph" w:styleId="Heading4">
    <w:name w:val="heading 4"/>
    <w:basedOn w:val="Normal"/>
    <w:next w:val="Normal"/>
    <w:link w:val="4Char"/>
    <w:uiPriority w:val="9"/>
    <w:semiHidden/>
    <w:unhideWhenUsed/>
    <w:rsid w:val="001765F4"/>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F2179"/>
    <w:rPr>
      <w:rFonts w:ascii="Times New Roman" w:eastAsia="华文中宋" w:hAnsi="Times New Roman"/>
      <w:b/>
      <w:bCs/>
      <w:kern w:val="44"/>
      <w:sz w:val="44"/>
      <w:szCs w:val="44"/>
    </w:rPr>
  </w:style>
  <w:style w:type="character" w:customStyle="1" w:styleId="2Char">
    <w:name w:val="标题 2 Char"/>
    <w:basedOn w:val="DefaultParagraphFont"/>
    <w:link w:val="Heading2"/>
    <w:uiPriority w:val="9"/>
    <w:rsid w:val="001F2179"/>
    <w:rPr>
      <w:rFonts w:eastAsia="黑体" w:asciiTheme="majorHAnsi" w:hAnsiTheme="majorHAnsi" w:cstheme="majorBidi"/>
      <w:bCs/>
      <w:sz w:val="30"/>
      <w:szCs w:val="32"/>
    </w:rPr>
  </w:style>
  <w:style w:type="paragraph" w:styleId="Title">
    <w:name w:val="Title"/>
    <w:aliases w:val="标题3"/>
    <w:basedOn w:val="Normal"/>
    <w:next w:val="Normal"/>
    <w:link w:val="Char"/>
    <w:uiPriority w:val="10"/>
    <w:qFormat/>
    <w:rsid w:val="001F2179"/>
    <w:pPr>
      <w:spacing w:before="100" w:beforeLines="100" w:after="100" w:afterLines="100"/>
      <w:ind w:firstLine="0" w:firstLineChars="0"/>
      <w:jc w:val="left"/>
      <w:outlineLvl w:val="0"/>
    </w:pPr>
    <w:rPr>
      <w:rFonts w:eastAsia="黑体" w:asciiTheme="majorHAnsi" w:hAnsiTheme="majorHAnsi" w:cstheme="majorBidi"/>
      <w:bCs/>
      <w:szCs w:val="32"/>
    </w:rPr>
  </w:style>
  <w:style w:type="character" w:customStyle="1" w:styleId="Char">
    <w:name w:val="标题 Char"/>
    <w:aliases w:val="标题3 Char"/>
    <w:basedOn w:val="DefaultParagraphFont"/>
    <w:link w:val="Title"/>
    <w:uiPriority w:val="10"/>
    <w:rsid w:val="001F2179"/>
    <w:rPr>
      <w:rFonts w:eastAsia="黑体" w:asciiTheme="majorHAnsi" w:hAnsiTheme="majorHAnsi" w:cstheme="majorBidi"/>
      <w:bCs/>
      <w:sz w:val="24"/>
      <w:szCs w:val="32"/>
    </w:rPr>
  </w:style>
  <w:style w:type="paragraph" w:styleId="ListParagraph">
    <w:name w:val="List Paragraph"/>
    <w:basedOn w:val="Normal"/>
    <w:uiPriority w:val="34"/>
    <w:qFormat/>
    <w:rsid w:val="006A5304"/>
    <w:pPr>
      <w:ind w:firstLine="420"/>
    </w:pPr>
  </w:style>
  <w:style w:type="character" w:customStyle="1" w:styleId="3Char0">
    <w:name w:val="标题 3 Char"/>
    <w:basedOn w:val="DefaultParagraphFont"/>
    <w:link w:val="Heading3"/>
    <w:uiPriority w:val="9"/>
    <w:rsid w:val="00B561BD"/>
    <w:rPr>
      <w:b/>
      <w:bCs/>
      <w:sz w:val="32"/>
      <w:szCs w:val="32"/>
    </w:rPr>
  </w:style>
  <w:style w:type="paragraph" w:styleId="EndnoteText">
    <w:name w:val="endnote text"/>
    <w:basedOn w:val="Normal"/>
    <w:link w:val="Char0"/>
    <w:uiPriority w:val="99"/>
    <w:semiHidden/>
    <w:unhideWhenUsed/>
    <w:rsid w:val="009F3E14"/>
    <w:pPr>
      <w:snapToGrid w:val="0"/>
      <w:jc w:val="left"/>
    </w:pPr>
  </w:style>
  <w:style w:type="character" w:customStyle="1" w:styleId="Char0">
    <w:name w:val="尾注文本 Char"/>
    <w:basedOn w:val="DefaultParagraphFont"/>
    <w:link w:val="EndnoteText"/>
    <w:uiPriority w:val="99"/>
    <w:semiHidden/>
    <w:rsid w:val="009F3E14"/>
    <w:rPr>
      <w:rFonts w:ascii="Times New Roman" w:hAnsi="Times New Roman"/>
      <w:sz w:val="24"/>
    </w:rPr>
  </w:style>
  <w:style w:type="character" w:styleId="EndnoteReference">
    <w:name w:val="endnote reference"/>
    <w:basedOn w:val="DefaultParagraphFont"/>
    <w:uiPriority w:val="99"/>
    <w:semiHidden/>
    <w:unhideWhenUsed/>
    <w:rsid w:val="009F3E14"/>
    <w:rPr>
      <w:vertAlign w:val="superscript"/>
    </w:rPr>
  </w:style>
  <w:style w:type="table" w:styleId="LightShading">
    <w:name w:val="Light Shading"/>
    <w:basedOn w:val="TableNormal"/>
    <w:uiPriority w:val="60"/>
    <w:rsid w:val="001D5F75"/>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BalloonText">
    <w:name w:val="Balloon Text"/>
    <w:basedOn w:val="Normal"/>
    <w:link w:val="Char1"/>
    <w:uiPriority w:val="99"/>
    <w:semiHidden/>
    <w:unhideWhenUsed/>
    <w:rsid w:val="00CB7532"/>
    <w:pPr>
      <w:spacing w:line="240" w:lineRule="auto"/>
    </w:pPr>
    <w:rPr>
      <w:sz w:val="18"/>
      <w:szCs w:val="18"/>
    </w:rPr>
  </w:style>
  <w:style w:type="character" w:customStyle="1" w:styleId="Char1">
    <w:name w:val="批注框文本 Char"/>
    <w:basedOn w:val="DefaultParagraphFont"/>
    <w:link w:val="BalloonText"/>
    <w:uiPriority w:val="99"/>
    <w:semiHidden/>
    <w:rsid w:val="00CB7532"/>
    <w:rPr>
      <w:rFonts w:ascii="Times New Roman" w:hAnsi="Times New Roman"/>
      <w:sz w:val="18"/>
      <w:szCs w:val="18"/>
    </w:rPr>
  </w:style>
  <w:style w:type="character" w:styleId="PlaceholderText">
    <w:name w:val="Placeholder Text"/>
    <w:basedOn w:val="DefaultParagraphFont"/>
    <w:uiPriority w:val="99"/>
    <w:semiHidden/>
    <w:rsid w:val="00A12311"/>
    <w:rPr>
      <w:color w:val="808080"/>
    </w:rPr>
  </w:style>
  <w:style w:type="table" w:styleId="TableGrid">
    <w:name w:val="Table Grid"/>
    <w:basedOn w:val="TableNormal"/>
    <w:uiPriority w:val="59"/>
    <w:rsid w:val="006D3F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aliases w:val="图表标题"/>
    <w:basedOn w:val="Normal"/>
    <w:next w:val="Normal"/>
    <w:link w:val="Char2"/>
    <w:uiPriority w:val="11"/>
    <w:qFormat/>
    <w:rsid w:val="00AC2D13"/>
    <w:pPr>
      <w:spacing w:before="50" w:beforeLines="50" w:after="50" w:afterLines="50" w:line="240" w:lineRule="auto"/>
      <w:ind w:firstLine="0" w:firstLineChars="0"/>
      <w:jc w:val="center"/>
      <w:outlineLvl w:val="1"/>
    </w:pPr>
    <w:rPr>
      <w:rFonts w:eastAsia="黑体" w:cstheme="majorBidi"/>
      <w:b/>
      <w:bCs/>
      <w:kern w:val="28"/>
      <w:sz w:val="21"/>
      <w:szCs w:val="32"/>
    </w:rPr>
  </w:style>
  <w:style w:type="character" w:customStyle="1" w:styleId="Char2">
    <w:name w:val="副标题 Char"/>
    <w:aliases w:val="图表标题 Char"/>
    <w:basedOn w:val="DefaultParagraphFont"/>
    <w:link w:val="Subtitle"/>
    <w:uiPriority w:val="11"/>
    <w:rsid w:val="00AC2D13"/>
    <w:rPr>
      <w:rFonts w:ascii="Times New Roman" w:eastAsia="黑体" w:hAnsi="Times New Roman" w:cstheme="majorBidi"/>
      <w:b/>
      <w:bCs/>
      <w:kern w:val="28"/>
      <w:szCs w:val="32"/>
    </w:rPr>
  </w:style>
  <w:style w:type="paragraph" w:styleId="Header">
    <w:name w:val="header"/>
    <w:basedOn w:val="Normal"/>
    <w:link w:val="Char4"/>
    <w:uiPriority w:val="99"/>
    <w:unhideWhenUsed/>
    <w:rsid w:val="00897466"/>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4">
    <w:name w:val="页眉 Char"/>
    <w:basedOn w:val="DefaultParagraphFont"/>
    <w:link w:val="Header"/>
    <w:uiPriority w:val="99"/>
    <w:rsid w:val="00897466"/>
    <w:rPr>
      <w:rFonts w:ascii="Times New Roman" w:hAnsi="Times New Roman"/>
      <w:sz w:val="18"/>
      <w:szCs w:val="18"/>
    </w:rPr>
  </w:style>
  <w:style w:type="paragraph" w:styleId="Footer">
    <w:name w:val="footer"/>
    <w:basedOn w:val="Normal"/>
    <w:link w:val="Char5"/>
    <w:uiPriority w:val="99"/>
    <w:unhideWhenUsed/>
    <w:rsid w:val="00897466"/>
    <w:pPr>
      <w:tabs>
        <w:tab w:val="center" w:pos="4153"/>
        <w:tab w:val="right" w:pos="8306"/>
      </w:tabs>
      <w:snapToGrid w:val="0"/>
      <w:spacing w:line="240" w:lineRule="auto"/>
      <w:jc w:val="left"/>
    </w:pPr>
    <w:rPr>
      <w:sz w:val="18"/>
      <w:szCs w:val="18"/>
    </w:rPr>
  </w:style>
  <w:style w:type="character" w:customStyle="1" w:styleId="Char5">
    <w:name w:val="页脚 Char"/>
    <w:basedOn w:val="DefaultParagraphFont"/>
    <w:link w:val="Footer"/>
    <w:uiPriority w:val="99"/>
    <w:rsid w:val="00897466"/>
    <w:rPr>
      <w:rFonts w:ascii="Times New Roman" w:hAnsi="Times New Roman"/>
      <w:sz w:val="18"/>
      <w:szCs w:val="18"/>
    </w:rPr>
  </w:style>
  <w:style w:type="paragraph" w:styleId="TOCHeading">
    <w:name w:val="TOC Heading"/>
    <w:basedOn w:val="Heading1"/>
    <w:next w:val="Normal"/>
    <w:uiPriority w:val="39"/>
    <w:semiHidden/>
    <w:unhideWhenUsed/>
    <w:qFormat/>
    <w:rsid w:val="00897466"/>
    <w:pPr>
      <w:widowControl/>
      <w:spacing w:before="480" w:beforeLines="0" w:after="0" w:afterLines="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TOC1">
    <w:name w:val="toc 1"/>
    <w:basedOn w:val="Normal"/>
    <w:next w:val="Normal"/>
    <w:autoRedefine/>
    <w:uiPriority w:val="39"/>
    <w:unhideWhenUsed/>
    <w:qFormat/>
    <w:rsid w:val="00897466"/>
  </w:style>
  <w:style w:type="paragraph" w:styleId="TOC2">
    <w:name w:val="toc 2"/>
    <w:basedOn w:val="Normal"/>
    <w:next w:val="Normal"/>
    <w:autoRedefine/>
    <w:uiPriority w:val="39"/>
    <w:unhideWhenUsed/>
    <w:qFormat/>
    <w:rsid w:val="000A7C2A"/>
    <w:pPr>
      <w:tabs>
        <w:tab w:val="left" w:pos="1680"/>
        <w:tab w:val="right" w:leader="dot" w:pos="8494"/>
      </w:tabs>
      <w:ind w:left="480" w:firstLine="480" w:leftChars="200"/>
    </w:pPr>
  </w:style>
  <w:style w:type="character" w:styleId="Hyperlink">
    <w:name w:val="Hyperlink"/>
    <w:basedOn w:val="DefaultParagraphFont"/>
    <w:uiPriority w:val="99"/>
    <w:unhideWhenUsed/>
    <w:rsid w:val="00897466"/>
    <w:rPr>
      <w:color w:val="0000FF" w:themeColor="hyperlink"/>
      <w:u w:val="single"/>
    </w:rPr>
  </w:style>
  <w:style w:type="paragraph" w:styleId="TOC3">
    <w:name w:val="toc 3"/>
    <w:basedOn w:val="Normal"/>
    <w:next w:val="Normal"/>
    <w:autoRedefine/>
    <w:uiPriority w:val="39"/>
    <w:unhideWhenUsed/>
    <w:qFormat/>
    <w:rsid w:val="001765F4"/>
    <w:pPr>
      <w:widowControl/>
      <w:spacing w:after="100" w:line="276" w:lineRule="auto"/>
      <w:ind w:left="440" w:firstLine="0" w:firstLineChars="0"/>
      <w:jc w:val="left"/>
    </w:pPr>
    <w:rPr>
      <w:rFonts w:asciiTheme="minorHAnsi" w:hAnsiTheme="minorHAnsi"/>
      <w:kern w:val="0"/>
    </w:rPr>
  </w:style>
  <w:style w:type="character" w:customStyle="1" w:styleId="4Char">
    <w:name w:val="标题 4 Char"/>
    <w:basedOn w:val="DefaultParagraphFont"/>
    <w:link w:val="Heading4"/>
    <w:uiPriority w:val="9"/>
    <w:semiHidden/>
    <w:rsid w:val="001765F4"/>
    <w:rPr>
      <w:rFonts w:asciiTheme="majorHAnsi" w:eastAsiaTheme="majorEastAsia" w:hAnsiTheme="majorHAnsi" w:cstheme="majorBid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yperlink" Target="https://d.book118.com/127052032156006031" TargetMode="External"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FA54F3-CAE8-4EE2-A12A-456A74A610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1453</TotalTime>
  <Pages>3</Pages>
  <Words>2125</Words>
  <Characters>12118</Characters>
  <Application>Microsoft Office Word</Application>
  <DocSecurity>0</DocSecurity>
  <Lines>100</Lines>
  <Paragraphs>28</Paragraphs>
  <ScaleCrop>false</ScaleCrop>
  <Company/>
  <LinksUpToDate>false</LinksUpToDate>
  <CharactersWithSpaces>14215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jmz</dc:creator>
  <cp:lastModifiedBy>jmz</cp:lastModifiedBy>
  <cp:revision>30</cp:revision>
  <cp:lastPrinted>2020-03-24T03:01:00Z</cp:lastPrinted>
  <dcterms:created xsi:type="dcterms:W3CDTF">2020-01-05T14:24:00Z</dcterms:created>
  <dcterms:modified xsi:type="dcterms:W3CDTF">2020-04-01T08:22:00Z</dcterms:modified>
</cp:coreProperties>
</file>