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3"/>
        <w:ind w:left="0" w:firstLine="0"/>
        <w:rPr>
          <w:rFonts w:ascii="Times New Roman"/>
          <w:sz w:val="22"/>
        </w:rPr>
      </w:pPr>
    </w:p>
    <w:p>
      <w:pPr>
        <w:pStyle w:val="Title"/>
      </w:pPr>
      <w:bookmarkStart w:id="0" w:name="_GoBack"/>
      <w:r>
        <w:t>2023世界信息技术前沿发展报告</w:t>
      </w:r>
      <w:bookmarkEnd w:id="0"/>
    </w:p>
    <w:p>
      <w:pPr>
        <w:spacing w:after="0"/>
        <w:sectPr>
          <w:type w:val="continuous"/>
          <w:pgSz w:w="12240" w:h="15840"/>
          <w:pgMar w:top="1500" w:right="1320" w:bottom="280" w:left="1340" w:header="720" w:footer="720" w:gutter="0"/>
          <w:cols w:num="1" w:space="720"/>
        </w:sectPr>
      </w:pPr>
    </w:p>
    <w:sdt>
      <w:sdtPr>
        <w:rPr>
          <w:rFonts w:ascii="宋体" w:eastAsia="宋体" w:hAnsi="宋体" w:cs="微软雅黑"/>
          <w:sz w:val="21"/>
          <w:szCs w:val="22"/>
          <w:lang w:val="zh-CN" w:eastAsia="zh-CN" w:bidi="zh-CN"/>
        </w:rPr>
        <w:id w:val="147475745"/>
        <w:docPartObj>
          <w:docPartGallery w:val="Table of Contents"/>
          <w:docPartUnique/>
        </w:docPartObj>
        <w15:color w:val="DBDBDB"/>
      </w:sdtPr>
      <w:sdtEndPr>
        <w:rPr>
          <w:rFonts w:ascii="微软雅黑" w:eastAsia="微软雅黑" w:hAnsi="微软雅黑" w:cs="微软雅黑"/>
          <w:sz w:val="24"/>
          <w:szCs w:val="24"/>
          <w:lang w:val="zh-CN" w:eastAsia="zh-CN" w:bidi="zh-CN"/>
        </w:rPr>
      </w:sdtEndPr>
      <w:sdtContent>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WPSOffice2"/>
            <w:tabs>
              <w:tab w:val="right" w:leader="dot" w:pos="9580"/>
            </w:tabs>
          </w:pPr>
          <w:r>
            <w:rPr>
              <w:b/>
              <w:sz w:val="20"/>
            </w:rPr>
            <w:fldChar w:fldCharType="begin"/>
          </w:r>
          <w:r>
            <w:rPr>
              <w:b/>
              <w:sz w:val="20"/>
            </w:rPr>
            <w:instrText xml:space="preserve">TOC \o "1-2" \h \u </w:instrText>
          </w:r>
          <w:r>
            <w:rPr>
              <w:b/>
              <w:sz w:val="20"/>
            </w:rPr>
            <w:fldChar w:fldCharType="separate"/>
          </w:r>
          <w:hyperlink w:anchor="_Toc7036" w:history="1">
            <w:r>
              <w:rPr>
                <w:rFonts w:ascii="微软雅黑" w:eastAsia="微软雅黑" w:hAnsi="微软雅黑" w:cs="微软雅黑" w:hint="default"/>
                <w:bCs/>
                <w:w w:val="101"/>
                <w:szCs w:val="39"/>
                <w:lang w:val="zh-CN" w:eastAsia="zh-CN" w:bidi="zh-CN"/>
              </w:rPr>
              <w:t xml:space="preserve">一 </w:t>
            </w:r>
            <w:r>
              <w:t>世界信息技术及产业发展重要动向</w:t>
            </w:r>
            <w:r>
              <w:tab/>
            </w:r>
            <w:r>
              <w:fldChar w:fldCharType="begin"/>
            </w:r>
            <w:r>
              <w:instrText xml:space="preserve"> PAGEREF _Toc7036 \h </w:instrText>
            </w:r>
            <w:r>
              <w:fldChar w:fldCharType="separate"/>
            </w:r>
            <w:r>
              <w:t>4</w:t>
            </w:r>
            <w:r>
              <w:fldChar w:fldCharType="end"/>
            </w:r>
          </w:hyperlink>
        </w:p>
        <w:p>
          <w:pPr>
            <w:pStyle w:val="WPSOffice2"/>
            <w:tabs>
              <w:tab w:val="right" w:leader="dot" w:pos="9580"/>
            </w:tabs>
          </w:pPr>
          <w:hyperlink w:anchor="_Toc17643" w:history="1">
            <w:r>
              <w:t>（一）半导体技术水平持续进步，行业内部开始新一轮调整</w:t>
            </w:r>
            <w:r>
              <w:tab/>
            </w:r>
            <w:r>
              <w:fldChar w:fldCharType="begin"/>
            </w:r>
            <w:r>
              <w:instrText xml:space="preserve"> PAGEREF _Toc17643 \h </w:instrText>
            </w:r>
            <w:r>
              <w:fldChar w:fldCharType="separate"/>
            </w:r>
            <w:r>
              <w:t>4</w:t>
            </w:r>
            <w:r>
              <w:fldChar w:fldCharType="end"/>
            </w:r>
          </w:hyperlink>
        </w:p>
        <w:p>
          <w:pPr>
            <w:pStyle w:val="WPSOffice2"/>
            <w:tabs>
              <w:tab w:val="right" w:leader="dot" w:pos="9580"/>
            </w:tabs>
          </w:pPr>
          <w:hyperlink w:anchor="_Toc28542" w:history="1">
            <w:r>
              <w:t>（二）人工智能大模型加速行业变革，传统场景应用风险不可小觑</w:t>
            </w:r>
            <w:r>
              <w:tab/>
            </w:r>
            <w:r>
              <w:fldChar w:fldCharType="begin"/>
            </w:r>
            <w:r>
              <w:instrText xml:space="preserve"> PAGEREF _Toc28542 \h </w:instrText>
            </w:r>
            <w:r>
              <w:fldChar w:fldCharType="separate"/>
            </w:r>
            <w:r>
              <w:t>7</w:t>
            </w:r>
            <w:r>
              <w:fldChar w:fldCharType="end"/>
            </w:r>
          </w:hyperlink>
        </w:p>
        <w:p>
          <w:pPr>
            <w:pStyle w:val="WPSOffice2"/>
            <w:tabs>
              <w:tab w:val="right" w:leader="dot" w:pos="9580"/>
            </w:tabs>
          </w:pPr>
          <w:hyperlink w:anchor="_Toc4114" w:history="1">
            <w:r>
              <w:t>（三）网络安全政策聚焦关键基础设施网络防御，“零信任”安全框架受到高度重视</w:t>
            </w:r>
            <w:r>
              <w:tab/>
            </w:r>
            <w:r>
              <w:fldChar w:fldCharType="begin"/>
            </w:r>
            <w:r>
              <w:instrText xml:space="preserve"> PAGEREF _Toc4114 \h </w:instrText>
            </w:r>
            <w:r>
              <w:fldChar w:fldCharType="separate"/>
            </w:r>
            <w:r>
              <w:t>8</w:t>
            </w:r>
            <w:r>
              <w:fldChar w:fldCharType="end"/>
            </w:r>
          </w:hyperlink>
        </w:p>
        <w:p>
          <w:pPr>
            <w:pStyle w:val="WPSOffice2"/>
            <w:tabs>
              <w:tab w:val="right" w:leader="dot" w:pos="9580"/>
            </w:tabs>
          </w:pPr>
          <w:hyperlink w:anchor="_Toc20124" w:history="1">
            <w:r>
              <w:t>（四）量子技术热度与日俱增，抗量子加密算法呼之欲出</w:t>
            </w:r>
            <w:r>
              <w:tab/>
            </w:r>
            <w:r>
              <w:fldChar w:fldCharType="begin"/>
            </w:r>
            <w:r>
              <w:instrText xml:space="preserve"> PAGEREF _Toc20124 \h </w:instrText>
            </w:r>
            <w:r>
              <w:fldChar w:fldCharType="separate"/>
            </w:r>
            <w:r>
              <w:t>10</w:t>
            </w:r>
            <w:r>
              <w:fldChar w:fldCharType="end"/>
            </w:r>
          </w:hyperlink>
        </w:p>
        <w:p>
          <w:pPr>
            <w:pStyle w:val="WPSOffice2"/>
            <w:tabs>
              <w:tab w:val="right" w:leader="dot" w:pos="9580"/>
            </w:tabs>
          </w:pPr>
          <w:hyperlink w:anchor="_Toc28319" w:history="1">
            <w:r>
              <w:t>（五）先进计算赋能算力增长，呈现多元融合发展态势</w:t>
            </w:r>
            <w:r>
              <w:tab/>
            </w:r>
            <w:r>
              <w:fldChar w:fldCharType="begin"/>
            </w:r>
            <w:r>
              <w:instrText xml:space="preserve"> PAGEREF _Toc28319 \h </w:instrText>
            </w:r>
            <w:r>
              <w:fldChar w:fldCharType="separate"/>
            </w:r>
            <w:r>
              <w:t>14</w:t>
            </w:r>
            <w:r>
              <w:fldChar w:fldCharType="end"/>
            </w:r>
          </w:hyperlink>
        </w:p>
        <w:p>
          <w:pPr>
            <w:pStyle w:val="WPSOffice2"/>
            <w:tabs>
              <w:tab w:val="right" w:leader="dot" w:pos="9580"/>
            </w:tabs>
          </w:pPr>
          <w:hyperlink w:anchor="_Toc1631" w:history="1">
            <w:r>
              <w:t>（六）各国加强加密市场监管，并探索数字资产创新</w:t>
            </w:r>
            <w:r>
              <w:tab/>
            </w:r>
            <w:r>
              <w:fldChar w:fldCharType="begin"/>
            </w:r>
            <w:r>
              <w:instrText xml:space="preserve"> PAGEREF _Toc1631 \h </w:instrText>
            </w:r>
            <w:r>
              <w:fldChar w:fldCharType="separate"/>
            </w:r>
            <w:r>
              <w:t>15</w:t>
            </w:r>
            <w:r>
              <w:fldChar w:fldCharType="end"/>
            </w:r>
          </w:hyperlink>
        </w:p>
        <w:p>
          <w:pPr>
            <w:pStyle w:val="WPSOffice2"/>
            <w:tabs>
              <w:tab w:val="right" w:leader="dot" w:pos="9580"/>
            </w:tabs>
          </w:pPr>
          <w:hyperlink w:anchor="_Toc30649" w:history="1">
            <w:r>
              <w:t>二 人工智能技术</w:t>
            </w:r>
            <w:r>
              <w:tab/>
            </w:r>
            <w:r>
              <w:fldChar w:fldCharType="begin"/>
            </w:r>
            <w:r>
              <w:instrText xml:space="preserve"> PAGEREF _Toc30649 \h </w:instrText>
            </w:r>
            <w:r>
              <w:fldChar w:fldCharType="separate"/>
            </w:r>
            <w:r>
              <w:t>18</w:t>
            </w:r>
            <w:r>
              <w:fldChar w:fldCharType="end"/>
            </w:r>
          </w:hyperlink>
        </w:p>
        <w:p>
          <w:pPr>
            <w:pStyle w:val="WPSOffice2"/>
            <w:tabs>
              <w:tab w:val="right" w:leader="dot" w:pos="9580"/>
            </w:tabs>
          </w:pPr>
          <w:hyperlink w:anchor="_Toc23051" w:history="1">
            <w:r>
              <w:t>（一）基础研究</w:t>
            </w:r>
            <w:r>
              <w:tab/>
            </w:r>
            <w:r>
              <w:fldChar w:fldCharType="begin"/>
            </w:r>
            <w:r>
              <w:instrText xml:space="preserve"> PAGEREF _Toc23051 \h </w:instrText>
            </w:r>
            <w:r>
              <w:fldChar w:fldCharType="separate"/>
            </w:r>
            <w:r>
              <w:t>18</w:t>
            </w:r>
            <w:r>
              <w:fldChar w:fldCharType="end"/>
            </w:r>
          </w:hyperlink>
        </w:p>
        <w:p>
          <w:pPr>
            <w:pStyle w:val="WPSOffice2"/>
            <w:tabs>
              <w:tab w:val="right" w:leader="dot" w:pos="9580"/>
            </w:tabs>
          </w:pPr>
          <w:hyperlink w:anchor="_Toc12131" w:history="1">
            <w:r>
              <w:t>（二）模式识别</w:t>
            </w:r>
            <w:r>
              <w:tab/>
            </w:r>
            <w:r>
              <w:fldChar w:fldCharType="begin"/>
            </w:r>
            <w:r>
              <w:instrText xml:space="preserve"> PAGEREF _Toc12131 \h </w:instrText>
            </w:r>
            <w:r>
              <w:fldChar w:fldCharType="separate"/>
            </w:r>
            <w:r>
              <w:t>20</w:t>
            </w:r>
            <w:r>
              <w:fldChar w:fldCharType="end"/>
            </w:r>
          </w:hyperlink>
        </w:p>
        <w:p>
          <w:pPr>
            <w:pStyle w:val="WPSOffice2"/>
            <w:tabs>
              <w:tab w:val="right" w:leader="dot" w:pos="9580"/>
            </w:tabs>
          </w:pPr>
          <w:hyperlink w:anchor="_Toc7204" w:history="1">
            <w:r>
              <w:t>（三）复杂系统控制与智能信息处理</w:t>
            </w:r>
            <w:r>
              <w:tab/>
            </w:r>
            <w:r>
              <w:fldChar w:fldCharType="begin"/>
            </w:r>
            <w:r>
              <w:instrText xml:space="preserve"> PAGEREF _Toc7204 \h </w:instrText>
            </w:r>
            <w:r>
              <w:fldChar w:fldCharType="separate"/>
            </w:r>
            <w:r>
              <w:t>21</w:t>
            </w:r>
            <w:r>
              <w:fldChar w:fldCharType="end"/>
            </w:r>
          </w:hyperlink>
        </w:p>
        <w:p>
          <w:pPr>
            <w:pStyle w:val="WPSOffice2"/>
            <w:tabs>
              <w:tab w:val="right" w:leader="dot" w:pos="9580"/>
            </w:tabs>
          </w:pPr>
          <w:hyperlink w:anchor="_Toc10867" w:history="1">
            <w:r>
              <w:t>三 量子信息技术</w:t>
            </w:r>
            <w:r>
              <w:tab/>
            </w:r>
            <w:r>
              <w:fldChar w:fldCharType="begin"/>
            </w:r>
            <w:r>
              <w:instrText xml:space="preserve"> PAGEREF _Toc10867 \h </w:instrText>
            </w:r>
            <w:r>
              <w:fldChar w:fldCharType="separate"/>
            </w:r>
            <w:r>
              <w:t>23</w:t>
            </w:r>
            <w:r>
              <w:fldChar w:fldCharType="end"/>
            </w:r>
          </w:hyperlink>
        </w:p>
        <w:p>
          <w:pPr>
            <w:pStyle w:val="WPSOffice2"/>
            <w:tabs>
              <w:tab w:val="right" w:leader="dot" w:pos="9580"/>
            </w:tabs>
          </w:pPr>
          <w:hyperlink w:anchor="_Toc28928" w:history="1">
            <w:r>
              <w:t>（一）量子计算</w:t>
            </w:r>
            <w:r>
              <w:tab/>
            </w:r>
            <w:r>
              <w:fldChar w:fldCharType="begin"/>
            </w:r>
            <w:r>
              <w:instrText xml:space="preserve"> PAGEREF _Toc28928 \h </w:instrText>
            </w:r>
            <w:r>
              <w:fldChar w:fldCharType="separate"/>
            </w:r>
            <w:r>
              <w:t>23</w:t>
            </w:r>
            <w:r>
              <w:fldChar w:fldCharType="end"/>
            </w:r>
          </w:hyperlink>
        </w:p>
        <w:p>
          <w:pPr>
            <w:pStyle w:val="WPSOffice2"/>
            <w:tabs>
              <w:tab w:val="right" w:leader="dot" w:pos="9580"/>
            </w:tabs>
          </w:pPr>
          <w:hyperlink w:anchor="_Toc15196" w:history="1">
            <w:r>
              <w:t>（二）量子通信</w:t>
            </w:r>
            <w:r>
              <w:tab/>
            </w:r>
            <w:r>
              <w:fldChar w:fldCharType="begin"/>
            </w:r>
            <w:r>
              <w:instrText xml:space="preserve"> PAGEREF _Toc15196 \h </w:instrText>
            </w:r>
            <w:r>
              <w:fldChar w:fldCharType="separate"/>
            </w:r>
            <w:r>
              <w:t>24</w:t>
            </w:r>
            <w:r>
              <w:fldChar w:fldCharType="end"/>
            </w:r>
          </w:hyperlink>
        </w:p>
        <w:p>
          <w:pPr>
            <w:pStyle w:val="WPSOffice2"/>
            <w:tabs>
              <w:tab w:val="right" w:leader="dot" w:pos="9580"/>
            </w:tabs>
          </w:pPr>
          <w:hyperlink w:anchor="_Toc27377" w:history="1">
            <w:r>
              <w:t>（三）量子传感</w:t>
            </w:r>
            <w:r>
              <w:tab/>
            </w:r>
            <w:r>
              <w:fldChar w:fldCharType="begin"/>
            </w:r>
            <w:r>
              <w:instrText xml:space="preserve"> PAGEREF _Toc27377 \h </w:instrText>
            </w:r>
            <w:r>
              <w:fldChar w:fldCharType="separate"/>
            </w:r>
            <w:r>
              <w:t>25</w:t>
            </w:r>
            <w:r>
              <w:fldChar w:fldCharType="end"/>
            </w:r>
          </w:hyperlink>
        </w:p>
        <w:p>
          <w:pPr>
            <w:pStyle w:val="WPSOffice2"/>
            <w:tabs>
              <w:tab w:val="right" w:leader="dot" w:pos="9580"/>
            </w:tabs>
          </w:pPr>
          <w:hyperlink w:anchor="_Toc13862" w:history="1">
            <w:r>
              <w:t>四 电子信息技术</w:t>
            </w:r>
            <w:r>
              <w:tab/>
            </w:r>
            <w:r>
              <w:fldChar w:fldCharType="begin"/>
            </w:r>
            <w:r>
              <w:instrText xml:space="preserve"> PAGEREF _Toc13862 \h </w:instrText>
            </w:r>
            <w:r>
              <w:fldChar w:fldCharType="separate"/>
            </w:r>
            <w:r>
              <w:t>28</w:t>
            </w:r>
            <w:r>
              <w:fldChar w:fldCharType="end"/>
            </w:r>
          </w:hyperlink>
        </w:p>
        <w:p>
          <w:pPr>
            <w:pStyle w:val="WPSOffice2"/>
            <w:tabs>
              <w:tab w:val="right" w:leader="dot" w:pos="9580"/>
            </w:tabs>
          </w:pPr>
          <w:hyperlink w:anchor="_Toc29910" w:history="1">
            <w:r>
              <w:t>（一）微电子技术</w:t>
            </w:r>
            <w:r>
              <w:tab/>
            </w:r>
            <w:r>
              <w:fldChar w:fldCharType="begin"/>
            </w:r>
            <w:r>
              <w:instrText xml:space="preserve"> PAGEREF _Toc29910 \h </w:instrText>
            </w:r>
            <w:r>
              <w:fldChar w:fldCharType="separate"/>
            </w:r>
            <w:r>
              <w:t>28</w:t>
            </w:r>
            <w:r>
              <w:fldChar w:fldCharType="end"/>
            </w:r>
          </w:hyperlink>
        </w:p>
        <w:p>
          <w:pPr>
            <w:pStyle w:val="WPSOffice2"/>
            <w:tabs>
              <w:tab w:val="right" w:leader="dot" w:pos="9580"/>
            </w:tabs>
          </w:pPr>
          <w:hyperlink w:anchor="_Toc3404" w:history="1">
            <w:r>
              <w:t>（二）光电子技术</w:t>
            </w:r>
            <w:r>
              <w:tab/>
            </w:r>
            <w:r>
              <w:fldChar w:fldCharType="begin"/>
            </w:r>
            <w:r>
              <w:instrText xml:space="preserve"> PAGEREF _Toc3404 \h </w:instrText>
            </w:r>
            <w:r>
              <w:fldChar w:fldCharType="separate"/>
            </w:r>
            <w:r>
              <w:t>32</w:t>
            </w:r>
            <w:r>
              <w:fldChar w:fldCharType="end"/>
            </w:r>
          </w:hyperlink>
        </w:p>
        <w:p>
          <w:pPr>
            <w:pStyle w:val="WPSOffice2"/>
            <w:tabs>
              <w:tab w:val="right" w:leader="dot" w:pos="9580"/>
            </w:tabs>
          </w:pPr>
          <w:hyperlink w:anchor="_Toc26123" w:history="1">
            <w:r>
              <w:t>五 先进计算技术</w:t>
            </w:r>
            <w:r>
              <w:tab/>
            </w:r>
            <w:r>
              <w:fldChar w:fldCharType="begin"/>
            </w:r>
            <w:r>
              <w:instrText xml:space="preserve"> PAGEREF _Toc26123 \h </w:instrText>
            </w:r>
            <w:r>
              <w:fldChar w:fldCharType="separate"/>
            </w:r>
            <w:r>
              <w:t>35</w:t>
            </w:r>
            <w:r>
              <w:fldChar w:fldCharType="end"/>
            </w:r>
          </w:hyperlink>
        </w:p>
        <w:p>
          <w:pPr>
            <w:pStyle w:val="WPSOffice2"/>
            <w:tabs>
              <w:tab w:val="right" w:leader="dot" w:pos="9580"/>
            </w:tabs>
          </w:pPr>
          <w:hyperlink w:anchor="_Toc22100" w:history="1">
            <w:r>
              <w:t>（一）超级计算机</w:t>
            </w:r>
            <w:r>
              <w:tab/>
            </w:r>
            <w:r>
              <w:fldChar w:fldCharType="begin"/>
            </w:r>
            <w:r>
              <w:instrText xml:space="preserve"> PAGEREF _Toc22100 \h </w:instrText>
            </w:r>
            <w:r>
              <w:fldChar w:fldCharType="separate"/>
            </w:r>
            <w:r>
              <w:t>35</w:t>
            </w:r>
            <w:r>
              <w:fldChar w:fldCharType="end"/>
            </w:r>
          </w:hyperlink>
        </w:p>
        <w:p>
          <w:pPr>
            <w:pStyle w:val="WPSOffice2"/>
            <w:tabs>
              <w:tab w:val="right" w:leader="dot" w:pos="9580"/>
            </w:tabs>
          </w:pPr>
          <w:hyperlink w:anchor="_Toc13081" w:history="1">
            <w:r>
              <w:t>（二）新型计算技术</w:t>
            </w:r>
            <w:r>
              <w:tab/>
            </w:r>
            <w:r>
              <w:fldChar w:fldCharType="begin"/>
            </w:r>
            <w:r>
              <w:instrText xml:space="preserve"> PAGEREF _Toc13081 \h </w:instrText>
            </w:r>
            <w:r>
              <w:fldChar w:fldCharType="separate"/>
            </w:r>
            <w:r>
              <w:t>36</w:t>
            </w:r>
            <w:r>
              <w:fldChar w:fldCharType="end"/>
            </w:r>
          </w:hyperlink>
        </w:p>
        <w:p>
          <w:pPr>
            <w:pStyle w:val="WPSOffice2"/>
            <w:tabs>
              <w:tab w:val="right" w:leader="dot" w:pos="9580"/>
            </w:tabs>
          </w:pPr>
          <w:hyperlink w:anchor="_Toc31836" w:history="1">
            <w:r>
              <w:t>六 网络与通信技术</w:t>
            </w:r>
            <w:r>
              <w:tab/>
            </w:r>
            <w:r>
              <w:fldChar w:fldCharType="begin"/>
            </w:r>
            <w:r>
              <w:instrText xml:space="preserve"> PAGEREF _Toc31836 \h </w:instrText>
            </w:r>
            <w:r>
              <w:fldChar w:fldCharType="separate"/>
            </w:r>
            <w:r>
              <w:t>38</w:t>
            </w:r>
            <w:r>
              <w:fldChar w:fldCharType="end"/>
            </w:r>
          </w:hyperlink>
        </w:p>
        <w:p>
          <w:pPr>
            <w:pStyle w:val="WPSOffice2"/>
            <w:tabs>
              <w:tab w:val="right" w:leader="dot" w:pos="9580"/>
            </w:tabs>
          </w:pPr>
          <w:hyperlink w:anchor="_Toc2190" w:history="1">
            <w:r>
              <w:t>（一）5G与光通信</w:t>
            </w:r>
            <w:r>
              <w:tab/>
            </w:r>
            <w:r>
              <w:fldChar w:fldCharType="begin"/>
            </w:r>
            <w:r>
              <w:instrText xml:space="preserve"> PAGEREF _Toc2190 \h </w:instrText>
            </w:r>
            <w:r>
              <w:fldChar w:fldCharType="separate"/>
            </w:r>
            <w:r>
              <w:t>38</w:t>
            </w:r>
            <w:r>
              <w:fldChar w:fldCharType="end"/>
            </w:r>
          </w:hyperlink>
        </w:p>
        <w:p>
          <w:pPr>
            <w:pStyle w:val="WPSOffice2"/>
            <w:tabs>
              <w:tab w:val="right" w:leader="dot" w:pos="9580"/>
            </w:tabs>
          </w:pPr>
          <w:hyperlink w:anchor="_Toc22522" w:history="1">
            <w:r>
              <w:t>（二）6G技术</w:t>
            </w:r>
            <w:r>
              <w:tab/>
            </w:r>
            <w:r>
              <w:fldChar w:fldCharType="begin"/>
            </w:r>
            <w:r>
              <w:instrText xml:space="preserve"> PAGEREF _Toc22522 \h </w:instrText>
            </w:r>
            <w:r>
              <w:fldChar w:fldCharType="separate"/>
            </w:r>
            <w:r>
              <w:t>39</w:t>
            </w:r>
            <w:r>
              <w:fldChar w:fldCharType="end"/>
            </w:r>
          </w:hyperlink>
        </w:p>
        <w:p>
          <w:pPr>
            <w:pStyle w:val="WPSOffice2"/>
            <w:tabs>
              <w:tab w:val="right" w:leader="dot" w:pos="9580"/>
            </w:tabs>
          </w:pPr>
          <w:hyperlink w:anchor="_Toc18913" w:history="1">
            <w:r>
              <w:t>七 网络与信息安全技术</w:t>
            </w:r>
            <w:r>
              <w:tab/>
            </w:r>
            <w:r>
              <w:fldChar w:fldCharType="begin"/>
            </w:r>
            <w:r>
              <w:instrText xml:space="preserve"> PAGEREF _Toc18913 \h </w:instrText>
            </w:r>
            <w:r>
              <w:fldChar w:fldCharType="separate"/>
            </w:r>
            <w:r>
              <w:t>41</w:t>
            </w:r>
            <w:r>
              <w:fldChar w:fldCharType="end"/>
            </w:r>
          </w:hyperlink>
        </w:p>
        <w:p>
          <w:pPr>
            <w:pStyle w:val="WPSOffice2"/>
            <w:tabs>
              <w:tab w:val="right" w:leader="dot" w:pos="9580"/>
            </w:tabs>
          </w:pPr>
          <w:hyperlink w:anchor="_Toc24345" w:history="1">
            <w:r>
              <w:t>（一）网络安全关键技术</w:t>
            </w:r>
            <w:r>
              <w:tab/>
            </w:r>
            <w:r>
              <w:fldChar w:fldCharType="begin"/>
            </w:r>
            <w:r>
              <w:instrText xml:space="preserve"> PAGEREF _Toc24345 \h </w:instrText>
            </w:r>
            <w:r>
              <w:fldChar w:fldCharType="separate"/>
            </w:r>
            <w:r>
              <w:t>41</w:t>
            </w:r>
            <w:r>
              <w:fldChar w:fldCharType="end"/>
            </w:r>
          </w:hyperlink>
        </w:p>
        <w:p>
          <w:pPr>
            <w:pStyle w:val="WPSOffice2"/>
            <w:tabs>
              <w:tab w:val="right" w:leader="dot" w:pos="9580"/>
            </w:tabs>
          </w:pPr>
          <w:hyperlink w:anchor="_Toc31838" w:history="1">
            <w:r>
              <w:t>（二）数据安全关键技术</w:t>
            </w:r>
            <w:r>
              <w:tab/>
            </w:r>
            <w:r>
              <w:fldChar w:fldCharType="begin"/>
            </w:r>
            <w:r>
              <w:instrText xml:space="preserve"> PAGEREF _Toc31838 \h </w:instrText>
            </w:r>
            <w:r>
              <w:fldChar w:fldCharType="separate"/>
            </w:r>
            <w:r>
              <w:t>42</w:t>
            </w:r>
            <w:r>
              <w:fldChar w:fldCharType="end"/>
            </w:r>
          </w:hyperlink>
        </w:p>
        <w:p>
          <w:pPr>
            <w:pStyle w:val="WPSOffice2"/>
            <w:tabs>
              <w:tab w:val="right" w:leader="dot" w:pos="9580"/>
            </w:tabs>
          </w:pPr>
          <w:hyperlink w:anchor="_Toc29880" w:history="1">
            <w:r>
              <w:t>（三）量子密码技术</w:t>
            </w:r>
            <w:r>
              <w:tab/>
            </w:r>
            <w:r>
              <w:fldChar w:fldCharType="begin"/>
            </w:r>
            <w:r>
              <w:instrText xml:space="preserve"> PAGEREF _Toc29880 \h </w:instrText>
            </w:r>
            <w:r>
              <w:fldChar w:fldCharType="separate"/>
            </w:r>
            <w:r>
              <w:t>43</w:t>
            </w:r>
            <w:r>
              <w:fldChar w:fldCharType="end"/>
            </w:r>
          </w:hyperlink>
        </w:p>
        <w:p>
          <w:pPr>
            <w:pStyle w:val="BodyText"/>
            <w:spacing w:before="0"/>
            <w:ind w:left="0" w:firstLine="0"/>
            <w:rPr>
              <w:b/>
              <w:sz w:val="20"/>
            </w:rPr>
          </w:pPr>
          <w:r>
            <w:fldChar w:fldCharType="end"/>
          </w:r>
        </w:p>
      </w:sdtContent>
    </w:sdt>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sectPr>
          <w:pgSz w:w="12240" w:h="15840"/>
          <w:pgMar w:top="1500" w:right="1320" w:bottom="280" w:left="1340" w:header="720" w:footer="720" w:gutter="0"/>
          <w:pgNumType w:start="2"/>
          <w:cols w:num="1" w:space="720"/>
        </w:sect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0"/>
        <w:ind w:left="0" w:firstLine="0"/>
        <w:rPr>
          <w:b/>
          <w:sz w:val="20"/>
        </w:rPr>
      </w:pPr>
    </w:p>
    <w:p>
      <w:pPr>
        <w:pStyle w:val="BodyText"/>
        <w:spacing w:before="8"/>
        <w:ind w:left="0" w:firstLine="0"/>
        <w:rPr>
          <w:b/>
          <w:sz w:val="23"/>
        </w:rPr>
      </w:pPr>
    </w:p>
    <w:p>
      <w:pPr>
        <w:pStyle w:val="BodyText"/>
        <w:spacing w:before="130" w:line="170" w:lineRule="auto"/>
        <w:ind w:right="119"/>
      </w:pPr>
      <w:r>
        <w:t>2022年，全球信息技术与产业保持高速发展，同时，各国开始突出强调安全和发展的双重重要性。一方面，信息化进入加快数字化发展、建设数字化社会的新阶段，技术进步、产业扩张仍是数字经济发展的主旋律。美国、欧洲分别出台芯片法案，鼓励半导体研发与扩产；超级对话人工智能模型ChatGPT走红，人工智能大模型在生成式人工智能领域落地应用；高频通信技术成果涌现，全球6G研发与合作进一步展开；量子计算与量子通信日趋实用化，商业化运行雏形初显；数字资产在推动金融创新、激发市场活力中发挥重要作用。另一方面，技术进步不可避免地对经济社会和国际关系产生负面溢出效应，数字空间成为国家利益的交汇点和国家冲突新的策源地，大国围绕信息和网络安全的博弈日趋激烈，各国对全球产业链供应链关注的重心从“效率”转向“安全”。在此背景下，安全成为数字经济稳健发展的压舱石，各国越发重视科技治理，加码网络安全、数据安全、人工智能和数字金融等方面的监管。在世界各国相继出台的各类法案、政策中，无一不将网络与信息安全置于战略地位。</w:t>
      </w:r>
    </w:p>
    <w:p>
      <w:pPr>
        <w:spacing w:after="0" w:line="170" w:lineRule="auto"/>
        <w:sectPr>
          <w:type w:val="nextPage"/>
          <w:pgSz w:w="12240" w:h="15840"/>
          <w:pgMar w:top="1500" w:right="1320" w:bottom="280" w:left="1340" w:header="720" w:footer="720" w:gutter="0"/>
          <w:pgNumType w:start="3"/>
          <w:cols w:num="1" w:space="720"/>
          <w:titlePg w:val="0"/>
        </w:sectPr>
      </w:pPr>
    </w:p>
    <w:p>
      <w:pPr>
        <w:pStyle w:val="BodyText"/>
        <w:spacing w:before="11"/>
        <w:ind w:left="0" w:firstLine="0"/>
        <w:rPr>
          <w:sz w:val="7"/>
        </w:rPr>
      </w:pPr>
    </w:p>
    <w:p>
      <w:pPr>
        <w:pStyle w:val="Heading1"/>
        <w:numPr>
          <w:ilvl w:val="0"/>
          <w:numId w:val="1"/>
        </w:numPr>
        <w:tabs>
          <w:tab w:val="left" w:pos="614"/>
        </w:tabs>
        <w:spacing w:before="5" w:after="0" w:line="240" w:lineRule="auto"/>
        <w:ind w:left="613" w:right="0" w:hanging="514"/>
        <w:jc w:val="left"/>
      </w:pPr>
      <w:bookmarkStart w:id="1" w:name="_Toc7036"/>
      <w:r>
        <w:t>世界信息技术及产业发展重要动向</w:t>
      </w:r>
      <w:bookmarkEnd w:id="1"/>
    </w:p>
    <w:p>
      <w:pPr>
        <w:pStyle w:val="BodyText"/>
        <w:spacing w:before="183" w:line="170" w:lineRule="auto"/>
        <w:ind w:right="119"/>
      </w:pPr>
      <w:r>
        <w:t>2022年，俄乌冲突、大国博弈、疫情冲击加速百年变局的演进。国际格局激烈动荡</w:t>
      </w:r>
      <w:r>
        <w:rPr>
          <w:spacing w:val="-1"/>
        </w:rPr>
        <w:t>加剧了国家间的竞争，信息技术作为新一轮科技革命和产业变革的关键力量，已成为世界主要经济体争夺的高地。人工智能、半导体、量子信息技术、通信、高性能计算等高新技术的不断进步，不仅推动着科技创新和产业升级，也为人类社会的创新发展注入了持续的动力。这些技术的广泛应用，将变革生产生活方式，促进人类社会繁荣发展。信息技术的</w:t>
      </w:r>
      <w:r>
        <w:t>持续创新，将成为促进经济社会发展、推动社会进步、增进人类福祉的重要力量。</w:t>
      </w:r>
    </w:p>
    <w:p>
      <w:pPr>
        <w:pStyle w:val="Heading2"/>
        <w:spacing w:before="197"/>
      </w:pPr>
      <w:bookmarkStart w:id="2" w:name="_Toc17643"/>
      <w:r>
        <w:t>（一）半导体技术水平持续进步，行业内部开始新一轮调整</w:t>
      </w:r>
      <w:bookmarkEnd w:id="2"/>
    </w:p>
    <w:p>
      <w:pPr>
        <w:pStyle w:val="BodyText"/>
        <w:spacing w:before="154" w:line="170" w:lineRule="auto"/>
        <w:ind w:right="119"/>
      </w:pPr>
      <w:r>
        <w:t>半导体产业是21世纪人类科技领域的皇冠，其中芯片产业更是被誉为“皇冠上的明珠”。半导体产业的发展关乎汽车、消费电子乃至国防军工等行业的兴衰。2022年，技术领域越发成为各国战略竞争的“角斗场”，促使半导体行业发生重要的变化。美国、欧盟等经济体出台刺激性法案促进行业增长；先进制程技术持续发展，延续“摩尔定律”； 先进封装工艺热度高涨，推动半导体后道工艺价值链升级。半导体产业整体蓬勃发展，但不同类型半导体供需关系出现两极分化：车用半导体供应持续紧张，厂商营收稳定增长； 消费电子需求疲软，头部企业营收滑坡。不过，长期来看，先进技术进步和市场自我调节将不断推动行业在调整中发展。</w:t>
      </w:r>
    </w:p>
    <w:p>
      <w:pPr>
        <w:pStyle w:val="ListParagraph"/>
        <w:numPr>
          <w:ilvl w:val="1"/>
          <w:numId w:val="1"/>
        </w:numPr>
        <w:tabs>
          <w:tab w:val="left" w:pos="780"/>
        </w:tabs>
        <w:spacing w:before="131" w:after="0" w:line="240" w:lineRule="auto"/>
        <w:ind w:left="779" w:right="0" w:hanging="200"/>
        <w:jc w:val="left"/>
        <w:rPr>
          <w:sz w:val="24"/>
        </w:rPr>
      </w:pPr>
      <w:r>
        <w:rPr>
          <w:sz w:val="24"/>
        </w:rPr>
        <w:t>全球主要经济体加强半导体技术能力建设，推动厂商扩产</w:t>
      </w:r>
    </w:p>
    <w:p>
      <w:pPr>
        <w:pStyle w:val="BodyText"/>
        <w:spacing w:before="202" w:line="170" w:lineRule="auto"/>
        <w:ind w:right="119"/>
        <w:jc w:val="both"/>
      </w:pPr>
      <w:r>
        <w:t>为应对新一轮产业与技术竞争，提高国家和地区科技实力，全球主要经济体加大对半导体行业的补贴与投入，强化半导体行业的引领作用。美国为巩固半导体产业优势地位、加强自身能力建设，补贴本土研发制造并推进盟国合作。美国总统拜登正式签署《芯片与科学法案》，拨款527亿美元用于芯片生产与研发创新，并授权对美国本土芯片产业提供巨额补贴和减税优惠。同时，美国主导组建由日本、韩国与中国台湾地区共同参与的“芯片四方联盟”，加强对全球半导体供应链的控制。欧盟公布《欧洲芯片法案》，提供430 亿欧元补贴以增进欧洲芯片产能。该法案通过制定欧洲芯片计划、设立芯片基金等方式， 全面提升欧盟在芯片研发、设计、生产、封装等关键环节的能力，同时呼吁欧盟各成员国之间建立完善的芯片供应链预警机制，以降低芯片供应短缺的风险。日本政府加大对半导体企业的补贴，以重振半导体产业：为台积电设在日本的晶圆厂建设补贴4760亿日元</w:t>
      </w:r>
    </w:p>
    <w:p>
      <w:pPr>
        <w:pStyle w:val="BodyText"/>
        <w:spacing w:before="0" w:line="264" w:lineRule="exact"/>
        <w:ind w:firstLine="0"/>
      </w:pPr>
      <w:r>
        <w:t>（约合37.1亿美元）；补贴日本铠侠公司(KIOXIA)和美国西部数据公司(Western</w:t>
      </w:r>
    </w:p>
    <w:p>
      <w:pPr>
        <w:pStyle w:val="BodyText"/>
        <w:spacing w:before="27" w:line="170" w:lineRule="auto"/>
        <w:ind w:right="306" w:firstLine="0"/>
        <w:jc w:val="both"/>
      </w:pPr>
      <w:r>
        <w:t>Digital)的合资企业929亿日元（约合7.09亿美元），用于提高该合资公司在日本工厂的闪存芯片产量；为美国美光公司(Micron)广岛工厂补贴465亿日元（约合3.2亿美元）， 支持其扩大产能。</w:t>
      </w:r>
    </w:p>
    <w:p>
      <w:pPr>
        <w:pStyle w:val="BodyText"/>
        <w:spacing w:before="233" w:line="170" w:lineRule="auto"/>
        <w:ind w:right="119"/>
        <w:jc w:val="both"/>
      </w:pPr>
      <w:r>
        <w:t>在各国政府的推动下，全球厂商扩大研发与生产规模。日本索尼公司在熊本市投资数千亿日元建设半导体工厂，拟于2025年投产；美国思科公司(Cisco)宣布获得欧盟补贴， 将在西班牙巴塞罗那设立新的芯片设计中心；中国台积电在美国的首家工厂举办移机仪</w:t>
      </w:r>
    </w:p>
    <w:p>
      <w:pPr>
        <w:spacing w:after="0" w:line="170" w:lineRule="auto"/>
        <w:jc w:val="both"/>
        <w:sectPr>
          <w:pgSz w:w="12240" w:h="15840"/>
          <w:pgMar w:top="1500" w:right="1320" w:bottom="280" w:left="1340" w:header="720" w:footer="720" w:gutter="0"/>
          <w:pgNumType w:start="4"/>
          <w:cols w:num="1" w:space="720"/>
        </w:sectPr>
      </w:pPr>
    </w:p>
    <w:p>
      <w:pPr>
        <w:pStyle w:val="BodyText"/>
        <w:spacing w:before="103" w:line="170" w:lineRule="auto"/>
        <w:ind w:right="151" w:firstLine="0"/>
      </w:pPr>
      <w:r>
        <w:t>式，预计将于2024年开始生产4纳米制程芯片、2026年开始生产3纳米制程芯片，建成后年营收将达100亿美元，终端产品价值超过400亿美元。</w:t>
      </w:r>
    </w:p>
    <w:p>
      <w:pPr>
        <w:pStyle w:val="ListParagraph"/>
        <w:numPr>
          <w:ilvl w:val="1"/>
          <w:numId w:val="25"/>
        </w:numPr>
        <w:tabs>
          <w:tab w:val="left" w:pos="780"/>
        </w:tabs>
        <w:spacing w:before="148" w:after="0" w:line="240" w:lineRule="auto"/>
        <w:ind w:left="779" w:right="0" w:hanging="200"/>
        <w:jc w:val="left"/>
        <w:rPr>
          <w:sz w:val="24"/>
        </w:rPr>
      </w:pPr>
      <w:r>
        <w:rPr>
          <w:sz w:val="24"/>
        </w:rPr>
        <w:t>先进制程技术持续发展，先进封装技术崭露头角</w:t>
      </w:r>
    </w:p>
    <w:p>
      <w:pPr>
        <w:pStyle w:val="BodyText"/>
        <w:spacing w:line="170" w:lineRule="auto"/>
        <w:ind w:right="233"/>
      </w:pPr>
      <w:r>
        <w:t>先进制程仍在进一步发展，但随着尺寸微缩进一步逼近物理极限，研发进度有所放缓。台积电、三星等企业进军3纳米及以下制程，挑战物理极限。2022年6</w:t>
      </w:r>
      <w:r>
        <w:rPr>
          <w:spacing w:val="-2"/>
        </w:rPr>
        <w:t>月，韩国三星</w:t>
      </w:r>
      <w:r>
        <w:t>公司首次基于全环绕栅极晶体管技术正式量产3纳米制程工艺芯片，成为全球首家量产3 纳米芯片的代工厂。与5纳米芯片相比，3纳米芯片的性能提高了23%、功耗降低了 45%、芯片面积减少了16%。2022年8月，日本丰田汽车、索尼、NTT等公司成立高端芯片公司Rapidus，与美国IBM公司合作开发用于人工智能与超级计算机的2纳米芯片，</w:t>
      </w:r>
    </w:p>
    <w:p>
      <w:pPr>
        <w:pStyle w:val="BodyText"/>
        <w:spacing w:before="0" w:line="170" w:lineRule="auto"/>
        <w:ind w:right="209" w:firstLine="0"/>
        <w:jc w:val="both"/>
      </w:pPr>
      <w:r>
        <w:t>拟于2025年投产。2022年12月，台积电在其晶圆18厂正式启动3纳米制程芯片的商业化量产，且良品率与5纳米量产同期相当。台积电称，2纳米制程技术最早将于2025年在新竹与中部科学园区工厂量产。</w:t>
      </w:r>
    </w:p>
    <w:p>
      <w:pPr>
        <w:pStyle w:val="BodyText"/>
        <w:tabs>
          <w:tab w:val="left" w:pos="8740"/>
        </w:tabs>
        <w:spacing w:before="221" w:line="170" w:lineRule="auto"/>
        <w:ind w:right="119"/>
      </w:pPr>
      <w:r>
        <w:t>先进封装技术在2022年迎来爆发，以小芯片互连(Chiplet)、3D封装、背面布线技术等为代表的先进封装技术有望提高芯片的集成度，促进设备小型化与性能提高。先进封</w:t>
      </w:r>
      <w:r>
        <w:rPr>
          <w:spacing w:val="-19"/>
        </w:rPr>
        <w:t>装</w:t>
      </w:r>
      <w:r>
        <w:t>工艺提高了半导体后道工艺的附加值，将带动芯片测试技术升级，推动组装与封装供应</w:t>
      </w:r>
      <w:r>
        <w:rPr>
          <w:spacing w:val="-19"/>
        </w:rPr>
        <w:t>链</w:t>
      </w:r>
      <w:r>
        <w:t>逐渐融合，促使设备转向专业化、自动化。预计到2024年先进封装市场产值将达到482 亿美元，占封装市场总产值的50%。主要国家与地区持续关注这一新兴领域，展开激烈竞争。2022年3月，英特尔、微软(Microsoft)和台积电等头部企业宣布成立小芯片互连(Universal</w:t>
      </w:r>
      <w:r>
        <w:rPr>
          <w:spacing w:val="5"/>
        </w:rPr>
        <w:t xml:space="preserve"> </w:t>
      </w:r>
      <w:r>
        <w:t>Chiplet</w:t>
      </w:r>
      <w:r>
        <w:rPr>
          <w:spacing w:val="6"/>
        </w:rPr>
        <w:t xml:space="preserve"> </w:t>
      </w:r>
      <w:r>
        <w:t>Interconnect</w:t>
      </w:r>
      <w:r>
        <w:rPr>
          <w:spacing w:val="5"/>
        </w:rPr>
        <w:t xml:space="preserve"> </w:t>
      </w:r>
      <w:r>
        <w:t>Express,</w:t>
      </w:r>
      <w:r>
        <w:rPr>
          <w:spacing w:val="6"/>
        </w:rPr>
        <w:t xml:space="preserve"> </w:t>
      </w:r>
      <w:r>
        <w:t>UCIe)联盟，以建立小芯片生态系统、制定行业规范，这将有助于行业厂商实现高性能、低功耗的芯片设计。2022年6月，美国安全与新兴技术中心(Center</w:t>
      </w:r>
      <w:r>
        <w:rPr>
          <w:spacing w:val="17"/>
        </w:rPr>
        <w:t xml:space="preserve"> </w:t>
      </w:r>
      <w:r>
        <w:t>for</w:t>
      </w:r>
      <w:r>
        <w:rPr>
          <w:spacing w:val="17"/>
        </w:rPr>
        <w:t xml:space="preserve"> </w:t>
      </w:r>
      <w:r>
        <w:t>Security</w:t>
      </w:r>
      <w:r>
        <w:rPr>
          <w:spacing w:val="17"/>
        </w:rPr>
        <w:t xml:space="preserve"> </w:t>
      </w:r>
      <w:r>
        <w:t>and</w:t>
      </w:r>
      <w:r>
        <w:rPr>
          <w:spacing w:val="17"/>
        </w:rPr>
        <w:t xml:space="preserve"> </w:t>
      </w:r>
      <w:r>
        <w:t>Emerging</w:t>
      </w:r>
      <w:r>
        <w:rPr>
          <w:spacing w:val="17"/>
        </w:rPr>
        <w:t xml:space="preserve"> </w:t>
      </w:r>
      <w:r>
        <w:t>Technology,</w:t>
      </w:r>
      <w:r>
        <w:rPr>
          <w:spacing w:val="17"/>
        </w:rPr>
        <w:t xml:space="preserve"> </w:t>
      </w:r>
      <w:r>
        <w:t>CSET)发布《先进半导体封装回流——维护美国半导体工业创新、供应链安全和领先地位》(Re-Shoring Advanced Semiductor Packing-Innovation, Supply Chain Security, and U. S. Leadership</w:t>
      </w:r>
      <w:r>
        <w:rPr>
          <w:spacing w:val="30"/>
        </w:rPr>
        <w:t xml:space="preserve"> </w:t>
      </w:r>
      <w:r>
        <w:t>in</w:t>
      </w:r>
      <w:r>
        <w:rPr>
          <w:spacing w:val="31"/>
        </w:rPr>
        <w:t xml:space="preserve"> </w:t>
      </w:r>
      <w:r>
        <w:t>the</w:t>
      </w:r>
      <w:r>
        <w:rPr>
          <w:spacing w:val="30"/>
        </w:rPr>
        <w:t xml:space="preserve"> </w:t>
      </w:r>
      <w:r>
        <w:t>Semiconductor</w:t>
      </w:r>
      <w:r>
        <w:rPr>
          <w:spacing w:val="31"/>
        </w:rPr>
        <w:t xml:space="preserve"> </w:t>
      </w:r>
      <w:r>
        <w:t>Industry)报告，建言美国政府大力加强先进封装技术研究与产业化。2022年6月，英特尔公司开发出新型全集成电压控制器，可有效改善芯片3D封装，优化小芯片互连设计。2022年10月，日本东京工业大学研究团队设计出小芯片硅桥互连结构，通过精细的“微柱”实现芯片之间的宽带通信，可有效降低芯片集成</w:t>
      </w:r>
      <w:r>
        <w:rPr>
          <w:spacing w:val="-19"/>
        </w:rPr>
        <w:t>复</w:t>
      </w:r>
      <w:r>
        <w:t>杂度。2022年10月，韩国三星公司提出使用背面供电网络技术(Backside</w:t>
      </w:r>
      <w:r>
        <w:tab/>
      </w:r>
      <w:r>
        <w:rPr>
          <w:spacing w:val="-4"/>
        </w:rPr>
        <w:t xml:space="preserve">Power </w:t>
      </w:r>
      <w:r>
        <w:t>Delivery</w:t>
      </w:r>
      <w:r>
        <w:rPr>
          <w:spacing w:val="21"/>
        </w:rPr>
        <w:t xml:space="preserve"> </w:t>
      </w:r>
      <w:r>
        <w:t>Network,</w:t>
      </w:r>
      <w:r>
        <w:rPr>
          <w:spacing w:val="21"/>
        </w:rPr>
        <w:t xml:space="preserve"> </w:t>
      </w:r>
      <w:r>
        <w:t>BSPDN)研发2纳米芯片，通过在芯片背面布置电源线的方式提高芯片的晶体管集成度与密度。2022年12月，中国首个由集成电路企业和专家共同主导制定的《小芯片接口总线技术要求》团体标准正式通过中国电子工业标准化技术协会的审定</w:t>
      </w:r>
      <w:r>
        <w:rPr>
          <w:spacing w:val="-19"/>
        </w:rPr>
        <w:t>并</w:t>
      </w:r>
      <w:r>
        <w:t>发布。这是中国首个原生小芯片技术标准，描述了中央处理器(Central</w:t>
      </w:r>
      <w:r>
        <w:rPr>
          <w:spacing w:val="20"/>
        </w:rPr>
        <w:t xml:space="preserve"> </w:t>
      </w:r>
      <w:r>
        <w:t>Processing</w:t>
      </w:r>
      <w:r>
        <w:rPr>
          <w:spacing w:val="20"/>
        </w:rPr>
        <w:t xml:space="preserve"> </w:t>
      </w:r>
      <w:r>
        <w:t>Unit, CPU)、图形处理器(Graphics</w:t>
      </w:r>
      <w:r>
        <w:rPr>
          <w:spacing w:val="22"/>
        </w:rPr>
        <w:t xml:space="preserve"> </w:t>
      </w:r>
      <w:r>
        <w:t>Processing</w:t>
      </w:r>
      <w:r>
        <w:rPr>
          <w:spacing w:val="22"/>
        </w:rPr>
        <w:t xml:space="preserve"> </w:t>
      </w:r>
      <w:r>
        <w:t>Unit,</w:t>
      </w:r>
      <w:r>
        <w:rPr>
          <w:spacing w:val="23"/>
        </w:rPr>
        <w:t xml:space="preserve"> </w:t>
      </w:r>
      <w:r>
        <w:t>GPU)、人工智能芯片、网络处理器和网络交换芯片等应用场景的小芯片接口总线技术要求，包括总体概述、接口要求、链路层</w:t>
      </w:r>
      <w:r>
        <w:rPr>
          <w:spacing w:val="-19"/>
        </w:rPr>
        <w:t>、</w:t>
      </w:r>
      <w:r>
        <w:t>适配层、物理层和封装要求等。</w:t>
      </w:r>
    </w:p>
    <w:p>
      <w:pPr>
        <w:pStyle w:val="ListParagraph"/>
        <w:numPr>
          <w:ilvl w:val="1"/>
          <w:numId w:val="25"/>
        </w:numPr>
        <w:tabs>
          <w:tab w:val="left" w:pos="780"/>
        </w:tabs>
        <w:spacing w:before="100" w:after="0" w:line="240" w:lineRule="auto"/>
        <w:ind w:left="779" w:right="0" w:hanging="200"/>
        <w:jc w:val="left"/>
        <w:rPr>
          <w:sz w:val="24"/>
        </w:rPr>
      </w:pPr>
      <w:r>
        <w:rPr>
          <w:sz w:val="24"/>
        </w:rPr>
        <w:t>消费电子半导体下行周期初显，车用半导体结构性缺芯仍存</w:t>
      </w:r>
    </w:p>
    <w:p>
      <w:pPr>
        <w:pStyle w:val="BodyText"/>
        <w:spacing w:before="110"/>
        <w:ind w:left="580" w:firstLine="0"/>
      </w:pPr>
      <w:r>
        <w:t>2022年，芯片产能逐步恢复与扩张，然而受地缘冲突、疫情反复等不确定因素</w:t>
      </w:r>
    </w:p>
    <w:p>
      <w:pPr>
        <w:spacing w:after="0"/>
        <w:sectPr>
          <w:pgSz w:w="12240" w:h="15840"/>
          <w:pgMar w:top="1360" w:right="1320" w:bottom="280" w:left="1340" w:header="720" w:footer="720" w:gutter="0"/>
          <w:pgNumType w:start="5"/>
          <w:cols w:num="1" w:space="720"/>
        </w:sectPr>
      </w:pPr>
    </w:p>
    <w:p>
      <w:pPr>
        <w:pStyle w:val="BodyText"/>
        <w:tabs>
          <w:tab w:val="left" w:pos="5373"/>
        </w:tabs>
        <w:spacing w:before="107" w:line="170" w:lineRule="auto"/>
        <w:ind w:right="119" w:firstLine="0"/>
      </w:pPr>
      <w:r>
        <w:t>影响，全球范围内通胀飙升、利率走高，导致消费者和企业收紧支出，对消费电子产品</w:t>
      </w:r>
      <w:r>
        <w:rPr>
          <w:spacing w:val="-19"/>
        </w:rPr>
        <w:t>的</w:t>
      </w:r>
      <w:r>
        <w:t>需求急剧减弱，进而影响消费电子行业公司营收。美国英特尔、英伟达、超微半导体(Advanced</w:t>
      </w:r>
      <w:r>
        <w:rPr>
          <w:spacing w:val="62"/>
        </w:rPr>
        <w:t xml:space="preserve"> </w:t>
      </w:r>
      <w:r>
        <w:t>Micro</w:t>
      </w:r>
      <w:r>
        <w:rPr>
          <w:spacing w:val="62"/>
        </w:rPr>
        <w:t xml:space="preserve"> </w:t>
      </w:r>
      <w:r>
        <w:t>Devices,</w:t>
      </w:r>
      <w:r>
        <w:rPr>
          <w:spacing w:val="63"/>
        </w:rPr>
        <w:t xml:space="preserve"> </w:t>
      </w:r>
      <w:r>
        <w:t>AMD)、美光等公司在2022年年中时下调财务预期。2022 年10月，韩国存储芯片制造商SK海力士公司(SK</w:t>
      </w:r>
      <w:r>
        <w:tab/>
      </w:r>
      <w:r>
        <w:t>Hynix)警告称，存储芯片需求出现“</w:t>
      </w:r>
      <w:r>
        <w:rPr>
          <w:spacing w:val="-14"/>
        </w:rPr>
        <w:t>前</w:t>
      </w:r>
      <w:r>
        <w:t>所未有”的恶化，表示拟将2023年的投资削减50%以上，并暂缓清州工厂的扩产投资。根据美国英特尔公司公布的财报，该公司2022年全年营收为631亿美元，与2021年的790亿美元相比下降20%；全年净利润为80亿美元，与2021年的199亿美元相比下降</w:t>
      </w:r>
    </w:p>
    <w:p>
      <w:pPr>
        <w:pStyle w:val="BodyText"/>
        <w:spacing w:before="0" w:line="170" w:lineRule="auto"/>
        <w:ind w:right="128" w:firstLine="0"/>
        <w:jc w:val="both"/>
      </w:pPr>
      <w:r>
        <w:t>60%。美国苹果公司(Apple)发布的财报显示，该公司截至2022年12月31日的2023财年首季度收入为1172亿美元，同比下降5%，并承认主要是受供应链和经济环境的影响。美国高通公司(Qualcomm)公布截至2022年12月25日的2023财年首季度财报显示，该季度营收为94.63亿美元，同比下降12%；净利润为22.35亿美元，同比下降34%。</w:t>
      </w:r>
    </w:p>
    <w:p>
      <w:pPr>
        <w:pStyle w:val="BodyText"/>
        <w:spacing w:before="217" w:line="170" w:lineRule="auto"/>
        <w:ind w:right="119"/>
        <w:jc w:val="both"/>
      </w:pPr>
      <w:r>
        <w:t>与消费电子行业厂商不同，智能汽车、数据中心等需求逐渐回暖，芯片代工商及车用半导体制造商的收入实现逆势增长。2022年，台积电、格芯(Global Foundries)和联华电子等公司发布的季度财务报表中均报告了营收增长，这得益于高性能计算和强劲的汽车与工业应用需求。德国车用半导体大厂英飞凌公司(Infineon)2022财年（截至2022年9月30日）营收达142.18亿欧元，同比增长29%；营业利润达33.78亿欧元，同比增长</w:t>
      </w:r>
    </w:p>
    <w:p>
      <w:pPr>
        <w:pStyle w:val="BodyText"/>
        <w:spacing w:before="0" w:line="170" w:lineRule="auto"/>
        <w:ind w:right="149" w:firstLine="0"/>
      </w:pPr>
      <w:r>
        <w:t>63%。欧洲芯片制造商意法半导体(STMicroelectronics)2022年营收达到161.3亿美元， 同比增长26.4%；营业利润达44.39亿美元，同比增长83.5%。</w:t>
      </w:r>
    </w:p>
    <w:p>
      <w:pPr>
        <w:pStyle w:val="BodyText"/>
        <w:tabs>
          <w:tab w:val="left" w:pos="1993"/>
          <w:tab w:val="left" w:pos="5596"/>
          <w:tab w:val="left" w:pos="7403"/>
          <w:tab w:val="left" w:pos="8396"/>
          <w:tab w:val="left" w:pos="9035"/>
        </w:tabs>
        <w:spacing w:before="225" w:line="170" w:lineRule="auto"/>
        <w:ind w:right="119"/>
      </w:pPr>
      <w:r>
        <w:t>随着先进制程产能的进一步释放，芯片代工商将实现营收继续增长。从生产端视角 看，根据国际半导体产业协会(Semiconductor</w:t>
      </w:r>
      <w:r>
        <w:tab/>
      </w:r>
      <w:r>
        <w:t>Equipment</w:t>
      </w:r>
      <w:r>
        <w:tab/>
      </w:r>
      <w:r>
        <w:t>and</w:t>
      </w:r>
      <w:r>
        <w:tab/>
      </w:r>
      <w:r>
        <w:t>Materials International,</w:t>
      </w:r>
      <w:r>
        <w:tab/>
      </w:r>
      <w:r>
        <w:t>SEMI)发布的《至2025年的200毫米晶圆厂展望报告》(200mm</w:t>
      </w:r>
      <w:r>
        <w:tab/>
      </w:r>
      <w:r>
        <w:t>Fab Outlook</w:t>
      </w:r>
      <w:r>
        <w:rPr>
          <w:spacing w:val="10"/>
        </w:rPr>
        <w:t xml:space="preserve"> </w:t>
      </w:r>
      <w:r>
        <w:t>Report</w:t>
      </w:r>
      <w:r>
        <w:rPr>
          <w:spacing w:val="10"/>
        </w:rPr>
        <w:t xml:space="preserve"> </w:t>
      </w:r>
      <w:r>
        <w:t>to</w:t>
      </w:r>
      <w:r>
        <w:rPr>
          <w:spacing w:val="11"/>
        </w:rPr>
        <w:t xml:space="preserve"> </w:t>
      </w:r>
      <w:r>
        <w:t>2025)，预计从2021年至2025年，全球200毫米（8英寸）晶圆厂产能有望提高20%，超过每月700万片，从而缓解部分行业的供需失衡。同时，SEMI还测算，2022年全球晶圆厂设备支出同比增长约20%，达到1090亿美元，2023年则基本持平。这标志着在总体需求放缓的情况下，前端设备的投资也将趋于平稳，但依旧有很高</w:t>
      </w:r>
      <w:r>
        <w:rPr>
          <w:spacing w:val="-19"/>
        </w:rPr>
        <w:t>的</w:t>
      </w:r>
      <w:r>
        <w:t>需求。</w:t>
      </w:r>
    </w:p>
    <w:p>
      <w:pPr>
        <w:pStyle w:val="ListParagraph"/>
        <w:numPr>
          <w:ilvl w:val="1"/>
          <w:numId w:val="1"/>
        </w:numPr>
        <w:tabs>
          <w:tab w:val="left" w:pos="780"/>
        </w:tabs>
        <w:spacing w:before="132" w:after="0" w:line="240" w:lineRule="auto"/>
        <w:ind w:left="779" w:right="0" w:hanging="200"/>
        <w:jc w:val="left"/>
        <w:rPr>
          <w:sz w:val="24"/>
        </w:rPr>
      </w:pPr>
      <w:r>
        <w:rPr>
          <w:sz w:val="24"/>
        </w:rPr>
        <w:t>对中国的影响与启示</w:t>
      </w:r>
    </w:p>
    <w:p>
      <w:pPr>
        <w:pStyle w:val="BodyText"/>
        <w:spacing w:line="170" w:lineRule="auto"/>
        <w:ind w:right="119"/>
      </w:pPr>
      <w:r>
        <w:t xml:space="preserve">半导体行业是一个强周期性行业，特别是在不确定的外部冲击下，行业周期正在缩 </w:t>
      </w:r>
      <w:r>
        <w:rPr>
          <w:spacing w:val="-1"/>
        </w:rPr>
        <w:t>短。短期来看，供需关系变化影响了消费电子领域的芯片库存和价格。而长期来看，人工</w:t>
      </w:r>
      <w:r>
        <w:t xml:space="preserve">智能、电动汽车和云计算等行业对芯片的需求仍在提升；加上出于供应链安全的政治考 </w:t>
      </w:r>
      <w:r>
        <w:rPr>
          <w:spacing w:val="-1"/>
        </w:rPr>
        <w:t>虑，各国倾向于鼓励芯片本土生产。因此，主要国家、厂商规划的产能将在未来几年逐渐释放，主要国家处于设备更新的高峰期，会产生较多固定资产投资，从而带动经济增长。</w:t>
      </w:r>
      <w:r>
        <w:t>芯片技术的创新，也将促进科技行业繁荣发展。</w:t>
      </w:r>
    </w:p>
    <w:p>
      <w:pPr>
        <w:pStyle w:val="BodyText"/>
        <w:spacing w:before="227" w:line="170" w:lineRule="auto"/>
        <w:ind w:right="119"/>
        <w:jc w:val="both"/>
      </w:pPr>
      <w:r>
        <w:t>自特朗普上台后，中国半导体行业持续面临美国的围追堵截，到拜登上台后打压力度更是只增不减。2022年10月，美国商务部工业与安全局(Bureau of Industry and Security, BIS)发布一系列出口管制措施，通过扩大实体清单，对先进计算芯片、超算和半导体生产设备等先进技术实施点对点封杀，以及禁止美国国籍人士参与中国半导体研发</w:t>
      </w:r>
    </w:p>
    <w:p>
      <w:pPr>
        <w:spacing w:after="0" w:line="170" w:lineRule="auto"/>
        <w:jc w:val="both"/>
        <w:sectPr>
          <w:pgSz w:w="12240" w:h="15840"/>
          <w:pgMar w:top="1360" w:right="1320" w:bottom="280" w:left="1340" w:header="720" w:footer="720" w:gutter="0"/>
          <w:pgNumType w:start="6"/>
          <w:cols w:num="1" w:space="720"/>
        </w:sectPr>
      </w:pPr>
    </w:p>
    <w:p>
      <w:pPr>
        <w:pStyle w:val="BodyText"/>
        <w:spacing w:before="107" w:line="170" w:lineRule="auto"/>
        <w:ind w:right="119" w:firstLine="0"/>
        <w:jc w:val="both"/>
      </w:pPr>
      <w:r>
        <w:t>制造等方式，对中国半导体行业全面施压。美国政府正笼络国内外力量，提升精准制裁能力，从资本、原材料、人才、工具等源头入手实施系统性制裁，阻断中国获取创新要素的渠道。</w:t>
      </w:r>
    </w:p>
    <w:p>
      <w:pPr>
        <w:pStyle w:val="BodyText"/>
        <w:spacing w:before="234" w:line="170" w:lineRule="auto"/>
        <w:ind w:right="119"/>
        <w:jc w:val="both"/>
      </w:pPr>
      <w:r>
        <w:t>就半导体行业而言，这一领域关键环节仍被美国企业控制。面对半导体产业光明的长期发展前景，以及破除外部发展阻碍的现实需求，中国应加强技术攻关、充分开展合作， 以增强半导体产业韧性，加速产业高端化进程。中国先进半导体设计制造面临的主要困难在于软件、设备和工艺被封锁。一方面，中国应发力高端制造装备与元器件的开发，加大半导体相关技术的研发投入、技术攻关和生产应用，尽快实现材料、设备和芯片设计及软件的国产替代。其中，应把握先进封装工艺发展的契机，扩大研发及标准制定的优势，塑造竞争力。另一方面，坚决反对将科技问题政治化、武器化和意识形态化，继续致力于深度参与全球半导体产业链，共同推进全球半导体产业发展。</w:t>
      </w:r>
    </w:p>
    <w:p>
      <w:pPr>
        <w:pStyle w:val="BodyText"/>
        <w:spacing w:before="13"/>
        <w:ind w:left="0" w:firstLine="0"/>
        <w:rPr>
          <w:sz w:val="18"/>
        </w:rPr>
      </w:pPr>
    </w:p>
    <w:p>
      <w:pPr>
        <w:pStyle w:val="Heading2"/>
        <w:spacing w:before="0" w:line="156" w:lineRule="auto"/>
        <w:ind w:right="407"/>
      </w:pPr>
      <w:bookmarkStart w:id="3" w:name="_Toc28542"/>
      <w:r>
        <w:t>（二）人工智能大模型加速行业变革，传统场景应用风险不可小觑</w:t>
      </w:r>
      <w:bookmarkEnd w:id="3"/>
    </w:p>
    <w:p>
      <w:pPr>
        <w:pStyle w:val="BodyText"/>
        <w:spacing w:before="215" w:line="170" w:lineRule="auto"/>
        <w:ind w:right="119"/>
      </w:pPr>
      <w:r>
        <w:t>2022年，人工智能多模态预训练大模型迅速崛起，加速渗入传统场景，引导行业变革，正不断展现出可观的商业价值和巨大的发展潜力。人工智能作为新一代产业变革的核心驱动力之一，其发展已从“大炼模型”逐步迈向“炼大模型”的阶段，同时也为相关行业注入了新的活力。但是，随着大模型在传统场景的加速部署，人工智能在落地应用过程中出现的数据、隐私、知识产权和技术伦理等风险和挑战，引发了政界、业界和学界的高度关注。</w:t>
      </w:r>
    </w:p>
    <w:p>
      <w:pPr>
        <w:pStyle w:val="ListParagraph"/>
        <w:numPr>
          <w:ilvl w:val="0"/>
          <w:numId w:val="2"/>
        </w:numPr>
        <w:tabs>
          <w:tab w:val="left" w:pos="780"/>
        </w:tabs>
        <w:spacing w:before="136" w:after="0" w:line="240" w:lineRule="auto"/>
        <w:ind w:left="779" w:right="0" w:hanging="200"/>
        <w:jc w:val="left"/>
        <w:rPr>
          <w:sz w:val="24"/>
        </w:rPr>
      </w:pPr>
      <w:r>
        <w:rPr>
          <w:sz w:val="24"/>
        </w:rPr>
        <w:t>人工智能大模型快速崛起，多模态应用加速落地</w:t>
      </w:r>
    </w:p>
    <w:p>
      <w:pPr>
        <w:pStyle w:val="BodyText"/>
        <w:spacing w:line="170" w:lineRule="auto"/>
        <w:ind w:right="119"/>
      </w:pPr>
      <w:r>
        <w:t>2022年，人工智能大模型技术迅猛发展，并迅速激发了市场热度，其背后所代表的是人工智能大模型进入了一个新的技术范式。同时，这也是第三波人工智能浪潮经过十几年发展之后一个非常重要的拐点。2022年4月，美国谷歌公司发布大型语言模型PaLM， 该模型在语言和推理类的测评中超过了人类。2022年9月，美国英伟达公司发布大型语言模型NVIDIA NeMo，以帮助开发者定制人工智能应用程序，可用于内容生成、聊天机器人、蛋白质结构和生物分子特性预测等。2022年11月，美国人工智能研究实验室OpenAI推出超级对话模型ChatGPT，可完成代码开发、修改代码错误、翻译文献等一系列常见文本输出型任务。ChatGPT一经推出，在两个月内就积累了1亿用户，并引发全球科技企业跟进研发。2022年12月，美国Meta公司发布多模态人工智能框架data2vec 2.0，可实现更快、更高效的视觉、语音和文本的自监督学习。作为算力驱动下典型的重大创新，人工智能大模型被认为是“通用智能”的雏形，是探索实现普惠人工智能的重要途径之一。随着人工智能迈向多模态、自监督学习的大模型时代，人工智能部署也将朝着多场景化、规模化、融合化等高应用阶段方向发展。</w:t>
      </w:r>
    </w:p>
    <w:p>
      <w:pPr>
        <w:pStyle w:val="BodyText"/>
        <w:spacing w:before="213" w:line="170" w:lineRule="auto"/>
        <w:ind w:right="119"/>
        <w:jc w:val="both"/>
      </w:pPr>
      <w:r>
        <w:t>人工智能大模型技术具有广阔的应用前景，不断推动人工智能部署迈入高应用阶段， 同时也为传统产业带来深刻的变革。人工智能大模型有望演化为类似于电网的基础设施， 赋能产业体系。未来，人工智能将从以参数量和数据集的规模为研发重点，转向深度融合</w:t>
      </w:r>
    </w:p>
    <w:p>
      <w:pPr>
        <w:spacing w:after="0" w:line="170" w:lineRule="auto"/>
        <w:jc w:val="both"/>
        <w:sectPr>
          <w:pgSz w:w="12240" w:h="15840"/>
          <w:pgMar w:top="1360" w:right="1320" w:bottom="280" w:left="1340" w:header="720" w:footer="720" w:gutter="0"/>
          <w:pgNumType w:start="7"/>
          <w:cols w:num="1" w:space="720"/>
        </w:sectPr>
      </w:pPr>
    </w:p>
    <w:p>
      <w:pPr>
        <w:pStyle w:val="BodyText"/>
        <w:spacing w:before="11"/>
        <w:ind w:firstLine="0"/>
      </w:pPr>
      <w:r>
        <w:t>应用场景，聚焦大模型产业化。</w:t>
      </w:r>
    </w:p>
    <w:p>
      <w:pPr>
        <w:pStyle w:val="ListParagraph"/>
        <w:numPr>
          <w:ilvl w:val="0"/>
          <w:numId w:val="26"/>
        </w:numPr>
        <w:tabs>
          <w:tab w:val="left" w:pos="780"/>
        </w:tabs>
        <w:spacing w:before="114" w:after="0" w:line="240" w:lineRule="auto"/>
        <w:ind w:left="779" w:right="0" w:hanging="200"/>
        <w:jc w:val="left"/>
        <w:rPr>
          <w:sz w:val="24"/>
        </w:rPr>
      </w:pPr>
      <w:r>
        <w:rPr>
          <w:sz w:val="24"/>
        </w:rPr>
        <w:t>人工智能加速嵌入传统应用场景，潜在安全风险问题陡增</w:t>
      </w:r>
    </w:p>
    <w:p>
      <w:pPr>
        <w:pStyle w:val="BodyText"/>
        <w:tabs>
          <w:tab w:val="left" w:pos="5191"/>
          <w:tab w:val="left" w:pos="6990"/>
          <w:tab w:val="left" w:pos="7923"/>
        </w:tabs>
        <w:spacing w:line="170" w:lineRule="auto"/>
        <w:ind w:right="119"/>
      </w:pPr>
      <w:r>
        <w:t>人工智能正在快速走向场景化、实用化，以人工智能大模型为代表的多模态人工智</w:t>
      </w:r>
      <w:r>
        <w:rPr>
          <w:spacing w:val="-19"/>
        </w:rPr>
        <w:t>能</w:t>
      </w:r>
      <w:r>
        <w:t>技术更是在传统场景应用中迈入新阶段。人工智能应用场景的日趋广泛，使得潜在风险</w:t>
      </w:r>
      <w:r>
        <w:rPr>
          <w:spacing w:val="-19"/>
        </w:rPr>
        <w:t>会</w:t>
      </w:r>
      <w:r>
        <w:t>随着应用深度的增加而不断扩大、加剧。2022年8月，美国国家标准与技术研究院(NIST) 发布了《人工智能风险管理框架》(Artificial</w:t>
      </w:r>
      <w:r>
        <w:tab/>
      </w:r>
      <w:r>
        <w:t>Intelligence</w:t>
      </w:r>
      <w:r>
        <w:tab/>
      </w:r>
      <w:r>
        <w:t>Risk</w:t>
      </w:r>
      <w:r>
        <w:tab/>
      </w:r>
      <w:r>
        <w:rPr>
          <w:spacing w:val="-1"/>
        </w:rPr>
        <w:t xml:space="preserve">Management </w:t>
      </w:r>
      <w:r>
        <w:t>Framework)草案，旨在提高将可信性考虑因素纳入人工智能产品、服务及系统的设计、开发、使用及评估各阶段的能力。NIST同时指出，人工智能系统有可能会延续或加剧不公平的结果。目前，驱动人工智能系统行为的数据交互数学表示尚不完全可知，这使目</w:t>
      </w:r>
      <w:r>
        <w:rPr>
          <w:spacing w:val="-19"/>
        </w:rPr>
        <w:t>前</w:t>
      </w:r>
      <w:r>
        <w:t>衡量风险和驾驭风险收益权衡的方法不足。而在人工智能技术的部署过程中，也已经暴</w:t>
      </w:r>
      <w:r>
        <w:rPr>
          <w:spacing w:val="-19"/>
        </w:rPr>
        <w:t>露</w:t>
      </w:r>
      <w:r>
        <w:t>出数据垄断、隐私损害、偏见和侵犯知识产权等风险。</w:t>
      </w:r>
    </w:p>
    <w:p>
      <w:pPr>
        <w:pStyle w:val="ListParagraph"/>
        <w:numPr>
          <w:ilvl w:val="0"/>
          <w:numId w:val="26"/>
        </w:numPr>
        <w:tabs>
          <w:tab w:val="left" w:pos="780"/>
        </w:tabs>
        <w:spacing w:before="129" w:after="0" w:line="240" w:lineRule="auto"/>
        <w:ind w:left="779" w:right="0" w:hanging="200"/>
        <w:jc w:val="left"/>
        <w:rPr>
          <w:sz w:val="24"/>
        </w:rPr>
      </w:pPr>
      <w:r>
        <w:rPr>
          <w:sz w:val="24"/>
        </w:rPr>
        <w:t>对中国的影响与启示</w:t>
      </w:r>
    </w:p>
    <w:p>
      <w:pPr>
        <w:pStyle w:val="BodyText"/>
        <w:spacing w:before="202" w:line="170" w:lineRule="auto"/>
        <w:ind w:right="119"/>
      </w:pPr>
      <w:r>
        <w:rPr>
          <w:spacing w:val="-1"/>
        </w:rPr>
        <w:t>中国人工智能产业在政策和技术的双重驱动下呈现出高速发展的态势，在一些领域不断取得重大进展，人工智能领域的技术创新能力位居世界前列。荷兰学术信息企业爱思唯</w:t>
      </w:r>
      <w:r>
        <w:t>尔(Elsevier)进行的一项调查显示，中国在人工智能研究论文领域已成为全球领导者，在数量和质量上都已超过了美国。然而，在国际竞争日益激烈和国际封锁日趋加剧的背景 下，中国人工智能的产业发展面临前所未有的复杂形势。</w:t>
      </w:r>
    </w:p>
    <w:p>
      <w:pPr>
        <w:pStyle w:val="BodyText"/>
        <w:spacing w:before="229" w:line="170" w:lineRule="auto"/>
        <w:ind w:right="119"/>
      </w:pPr>
      <w:r>
        <w:t>当前，中国正面临着经济转型升级过程中的产业智能化机遇：在人工智能与经济社会的融合发展过程中，跨产业和跨学科技术元素的重组和融合趋势不断增强；多元技术元素在不同应用场景中的重组和融合，引发了一系列互补性创新和专用性技术体系积累；在产业智能化的背景下，人工智能大模型、区块链、5G等技术加速融合和应用，正在掀起新一轮人工智能技术创新潮，特别是以ChatGPT等为代表的人工智能大模型智能体相继面世，人工智能大模型应用方兴未艾。</w:t>
      </w:r>
    </w:p>
    <w:p>
      <w:pPr>
        <w:pStyle w:val="BodyText"/>
        <w:spacing w:before="228" w:line="170" w:lineRule="auto"/>
        <w:ind w:right="119"/>
      </w:pPr>
      <w:r>
        <w:rPr>
          <w:spacing w:val="-1"/>
        </w:rPr>
        <w:t>同时，全球人工智能产业环境正在发生深刻的变化，国际竞争进一步加剧，美西方国</w:t>
      </w:r>
      <w:r>
        <w:t xml:space="preserve">家对中国的技术封锁持续升级。这些变化正对中国人工智能产业发展产生深远影响。对 </w:t>
      </w:r>
      <w:r>
        <w:rPr>
          <w:spacing w:val="-1"/>
        </w:rPr>
        <w:t>此，中国应按算力、算法和数据三大核心要素对中国人工智能产业进行全谱摸排，切实抓住短板，找出堵点，精准施策，全面掌握人工智能领域产业链分工上游位置的关键技术， 确保政策、资本、人才、技术等创新要素的有效供给和产业聚集。中国要以系统思维加快构建自主可控和开放协作的人工智能产业生态，加速形成新的全球产业生态系统，提升人工智能产业国际竞争力。面临新的竞争格局，中国应加强顶层设计，施行包容审慎监管， 优化人工智能产业发展环境，提高原始创新能力，突破核心技术的堵点、卡点，实现高水</w:t>
      </w:r>
      <w:r>
        <w:t>平科技自立自强。</w:t>
      </w:r>
    </w:p>
    <w:p>
      <w:pPr>
        <w:pStyle w:val="BodyText"/>
        <w:spacing w:before="11"/>
        <w:ind w:left="0" w:firstLine="0"/>
        <w:rPr>
          <w:sz w:val="18"/>
        </w:rPr>
      </w:pPr>
    </w:p>
    <w:p>
      <w:pPr>
        <w:pStyle w:val="Heading2"/>
        <w:spacing w:before="0" w:line="156" w:lineRule="auto"/>
        <w:ind w:right="1079"/>
      </w:pPr>
      <w:bookmarkStart w:id="4" w:name="_Toc4114"/>
      <w:r>
        <w:t>（三）网络安全政策聚焦关键基础设施网络防御，“零信任”安全框架受到高度重视</w:t>
      </w:r>
      <w:bookmarkEnd w:id="4"/>
    </w:p>
    <w:p>
      <w:pPr>
        <w:spacing w:after="0" w:line="156" w:lineRule="auto"/>
        <w:sectPr>
          <w:pgSz w:w="12240" w:h="15840"/>
          <w:pgMar w:top="1360" w:right="1320" w:bottom="280" w:left="1340" w:header="720" w:footer="720" w:gutter="0"/>
          <w:pgNumType w:start="8"/>
          <w:cols w:num="1" w:space="720"/>
        </w:sectPr>
      </w:pPr>
    </w:p>
    <w:p>
      <w:pPr>
        <w:pStyle w:val="BodyText"/>
        <w:spacing w:before="107" w:line="170" w:lineRule="auto"/>
        <w:ind w:right="119"/>
      </w:pPr>
      <w:r>
        <w:t>随着数字化、网络化进程加快，5G、云计算、数据中心、人工智能、物联网、区块链等网络基础设施日益发展，经济社会数字化转型步伐持续加速，互联网及基于网络技术应用创造的网络空间已经与现实空间深度整合、“泛在”存在。同时，互联网技术及其应用已从最初单纯的“技术问题”不断演进为具有高度整体性与独立性的安全问题，关键数字基础设施、政府平台、工业控制系统和金融信息系统等成为网络攻击的重点目标。主要国家为应对当今网络安全面临的新变化和日益复杂的网络威胁环境，聚焦关键基础设施， 积极进行网络防御，推动零信任安全架构部署。</w:t>
      </w:r>
    </w:p>
    <w:p>
      <w:pPr>
        <w:pStyle w:val="ListParagraph"/>
        <w:numPr>
          <w:ilvl w:val="0"/>
          <w:numId w:val="3"/>
        </w:numPr>
        <w:tabs>
          <w:tab w:val="left" w:pos="780"/>
        </w:tabs>
        <w:spacing w:before="133" w:after="0" w:line="240" w:lineRule="auto"/>
        <w:ind w:left="779" w:right="0" w:hanging="200"/>
        <w:jc w:val="left"/>
        <w:rPr>
          <w:sz w:val="24"/>
        </w:rPr>
      </w:pPr>
      <w:r>
        <w:rPr>
          <w:sz w:val="24"/>
        </w:rPr>
        <w:t>全球各国聚焦关键基础设施网络防御，增强跨部门协作能力</w:t>
      </w:r>
    </w:p>
    <w:p>
      <w:pPr>
        <w:pStyle w:val="BodyText"/>
        <w:tabs>
          <w:tab w:val="left" w:pos="1036"/>
          <w:tab w:val="left" w:pos="2738"/>
          <w:tab w:val="left" w:pos="3368"/>
          <w:tab w:val="left" w:pos="4480"/>
          <w:tab w:val="left" w:pos="5428"/>
          <w:tab w:val="left" w:pos="6637"/>
          <w:tab w:val="left" w:pos="8060"/>
          <w:tab w:val="left" w:pos="8578"/>
          <w:tab w:val="left" w:pos="8667"/>
        </w:tabs>
        <w:spacing w:before="202" w:line="170" w:lineRule="auto"/>
        <w:ind w:right="119"/>
      </w:pPr>
      <w:r>
        <w:t>关键基础设施是经济社会运行的神经中枢，发挥着基础性、全局性、支撑性作用，</w:t>
      </w:r>
      <w:r>
        <w:rPr>
          <w:spacing w:val="-19"/>
        </w:rPr>
        <w:t>因</w:t>
      </w:r>
      <w:r>
        <w:t>此保护关键基础设施也成为各国网络安全建设的重中之重。2022年3月，美国《2022年关键基础设施网络事件报告法案》(The</w:t>
      </w:r>
      <w:r>
        <w:tab/>
      </w:r>
      <w:r>
        <w:t>Cyber</w:t>
      </w:r>
      <w:r>
        <w:tab/>
      </w:r>
      <w:r>
        <w:t>Incident</w:t>
      </w:r>
      <w:r>
        <w:tab/>
      </w:r>
      <w:r>
        <w:t>Reporting</w:t>
      </w:r>
      <w:r>
        <w:tab/>
      </w:r>
      <w:r>
        <w:t>for</w:t>
      </w:r>
      <w:r>
        <w:tab/>
      </w:r>
      <w:r>
        <w:tab/>
      </w:r>
      <w:r>
        <w:t>Critical Infrastructure</w:t>
      </w:r>
      <w:r>
        <w:rPr>
          <w:spacing w:val="24"/>
        </w:rPr>
        <w:t xml:space="preserve"> </w:t>
      </w:r>
      <w:r>
        <w:t>Act</w:t>
      </w:r>
      <w:r>
        <w:rPr>
          <w:spacing w:val="25"/>
        </w:rPr>
        <w:t xml:space="preserve"> </w:t>
      </w:r>
      <w:r>
        <w:t>of</w:t>
      </w:r>
      <w:r>
        <w:rPr>
          <w:spacing w:val="24"/>
        </w:rPr>
        <w:t xml:space="preserve"> </w:t>
      </w:r>
      <w:r>
        <w:t>2022)正式生效，该法案要求关键基础设施相关公司在发生网络事件后必须向美国国土安全部(Department</w:t>
      </w:r>
      <w:r>
        <w:rPr>
          <w:spacing w:val="10"/>
        </w:rPr>
        <w:t xml:space="preserve"> </w:t>
      </w:r>
      <w:r>
        <w:t>of</w:t>
      </w:r>
      <w:r>
        <w:rPr>
          <w:spacing w:val="10"/>
        </w:rPr>
        <w:t xml:space="preserve"> </w:t>
      </w:r>
      <w:r>
        <w:t>Homeland</w:t>
      </w:r>
      <w:r>
        <w:rPr>
          <w:spacing w:val="10"/>
        </w:rPr>
        <w:t xml:space="preserve"> </w:t>
      </w:r>
      <w:r>
        <w:t>Security,</w:t>
      </w:r>
      <w:r>
        <w:rPr>
          <w:spacing w:val="10"/>
        </w:rPr>
        <w:t xml:space="preserve"> </w:t>
      </w:r>
      <w:r>
        <w:t>DHS)上报。2022年7 月，美国司法部(Department</w:t>
      </w:r>
      <w:r>
        <w:rPr>
          <w:spacing w:val="21"/>
        </w:rPr>
        <w:t xml:space="preserve"> </w:t>
      </w:r>
      <w:r>
        <w:t>of</w:t>
      </w:r>
      <w:r>
        <w:rPr>
          <w:spacing w:val="21"/>
        </w:rPr>
        <w:t xml:space="preserve"> </w:t>
      </w:r>
      <w:r>
        <w:t>Justice,</w:t>
      </w:r>
      <w:r>
        <w:rPr>
          <w:spacing w:val="21"/>
        </w:rPr>
        <w:t xml:space="preserve"> </w:t>
      </w:r>
      <w:r>
        <w:t>DOJ)发布《2022—2026年战略规划》(2022- 2026</w:t>
      </w:r>
      <w:r>
        <w:rPr>
          <w:spacing w:val="45"/>
        </w:rPr>
        <w:t xml:space="preserve"> </w:t>
      </w:r>
      <w:r>
        <w:t>Strategic</w:t>
      </w:r>
      <w:r>
        <w:rPr>
          <w:spacing w:val="46"/>
        </w:rPr>
        <w:t xml:space="preserve"> </w:t>
      </w:r>
      <w:r>
        <w:t>Plan)，旨在将提升美国网络安全和打击勒索软件作为保护美国国家安全的战略目标。2022年9月，美国网络安全与基础设施安全局(CISA)发布《2023—2025年战略规划》(2023-2025</w:t>
      </w:r>
      <w:r>
        <w:rPr>
          <w:spacing w:val="31"/>
        </w:rPr>
        <w:t xml:space="preserve"> </w:t>
      </w:r>
      <w:r>
        <w:t>Strategic</w:t>
      </w:r>
      <w:r>
        <w:rPr>
          <w:spacing w:val="31"/>
        </w:rPr>
        <w:t xml:space="preserve"> </w:t>
      </w:r>
      <w:r>
        <w:t>Plan)，其中确定了网络防御、减少风险和增强韧性、业务协作、统一机构四个网络安全目标，以及确保CISA实施该战略规划的组织地位。2022年10月31日至11月1日，美国、澳大利亚、日本等37个国家和地区在美国首都华盛顿共同召开第二届国际反勒索软件倡议(Counter-Ransomware</w:t>
      </w:r>
      <w:r>
        <w:rPr>
          <w:spacing w:val="27"/>
        </w:rPr>
        <w:t xml:space="preserve"> </w:t>
      </w:r>
      <w:r>
        <w:t>Initiative,</w:t>
      </w:r>
      <w:r>
        <w:rPr>
          <w:spacing w:val="27"/>
        </w:rPr>
        <w:t xml:space="preserve"> </w:t>
      </w:r>
      <w:r>
        <w:t>CRI)峰会。与会各方同意组建国际反勒索软件特别工作组(International</w:t>
      </w:r>
      <w:r>
        <w:rPr>
          <w:spacing w:val="29"/>
        </w:rPr>
        <w:t xml:space="preserve"> </w:t>
      </w:r>
      <w:r>
        <w:t>Counter</w:t>
      </w:r>
      <w:r>
        <w:rPr>
          <w:spacing w:val="30"/>
        </w:rPr>
        <w:t xml:space="preserve"> </w:t>
      </w:r>
      <w:r>
        <w:t>Ransomware</w:t>
      </w:r>
      <w:r>
        <w:rPr>
          <w:spacing w:val="30"/>
        </w:rPr>
        <w:t xml:space="preserve"> </w:t>
      </w:r>
      <w:r>
        <w:t>Task Force,</w:t>
      </w:r>
      <w:r>
        <w:tab/>
      </w:r>
      <w:r>
        <w:t>ICRTF)来打击勒索软件犯罪活动，进行信息和能力共享，以及在建立韧性、抗击非法金融活动等涉勒索软件威胁的所有要素上持续开展联合行动和国际合作。2022年11 月，七国集团(Group</w:t>
      </w:r>
      <w:r>
        <w:tab/>
      </w:r>
      <w:r>
        <w:t>of</w:t>
      </w:r>
      <w:r>
        <w:tab/>
      </w:r>
      <w:r>
        <w:t>Seven,</w:t>
      </w:r>
      <w:r>
        <w:tab/>
      </w:r>
      <w:r>
        <w:t>G7)发布《七国集团外长声明》(G7</w:t>
      </w:r>
      <w:r>
        <w:tab/>
      </w:r>
      <w:r>
        <w:t>Foreign Ministers'Statement)，指出G7国家将加强在基础设施网络安全方面的配合与防御，共同打击混合威胁、外国信息操纵和干扰，阻止外国的恶意投资和收购等。</w:t>
      </w:r>
    </w:p>
    <w:p>
      <w:pPr>
        <w:pStyle w:val="ListParagraph"/>
        <w:numPr>
          <w:ilvl w:val="0"/>
          <w:numId w:val="3"/>
        </w:numPr>
        <w:tabs>
          <w:tab w:val="left" w:pos="780"/>
        </w:tabs>
        <w:spacing w:before="110" w:after="0" w:line="240" w:lineRule="auto"/>
        <w:ind w:left="779" w:right="0" w:hanging="200"/>
        <w:jc w:val="left"/>
        <w:rPr>
          <w:sz w:val="24"/>
        </w:rPr>
      </w:pPr>
      <w:r>
        <w:rPr>
          <w:sz w:val="24"/>
        </w:rPr>
        <w:t>推动网络安全现代化建设，“零信任”安全框架受到各国重视</w:t>
      </w:r>
    </w:p>
    <w:p>
      <w:pPr>
        <w:pStyle w:val="BodyText"/>
        <w:spacing w:before="202" w:line="170" w:lineRule="auto"/>
        <w:ind w:right="119"/>
        <w:jc w:val="both"/>
      </w:pPr>
      <w:r>
        <w:rPr>
          <w:spacing w:val="-1"/>
        </w:rPr>
        <w:t>在网络攻击的数量和复杂性持续加剧，关键资产运营模式上云的背景下，零信任安全架构在风险管理中正发挥关键作用，受到各国重视。零信任是在云计算、大数据等新型网络技术发展背景下诞生的新型安全架构，以“永不信任，始终验证”为核心思想，一旦部</w:t>
      </w:r>
      <w:r>
        <w:t>署成功，将大幅提高网络防御能力与安全水平。2022年1月，美国白宫发布《联邦零信任战略》(Federal Zero Trust</w:t>
      </w:r>
      <w:r>
        <w:rPr>
          <w:spacing w:val="12"/>
        </w:rPr>
        <w:t xml:space="preserve">  </w:t>
      </w:r>
      <w:r>
        <w:t>Strategy)，要求美国政府在未来两年内逐步采用零信任架</w:t>
      </w:r>
      <w:r>
        <w:rPr>
          <w:spacing w:val="-1"/>
        </w:rPr>
        <w:t>构，满足必要网络安全标准，实现零信任防护体系，抵御现有威胁并增强整个政府层面的</w:t>
      </w:r>
      <w:r>
        <w:t>网络防御能力。2022年11月，欧盟理事会(Council of the European Union)通过《关于在欧盟全境实现高度统一网络安全措施的指令》(Directive on Measures for a High Common level of Cybersecurity across the Union</w:t>
      </w:r>
      <w:r>
        <w:rPr>
          <w:spacing w:val="-2"/>
        </w:rPr>
        <w:t xml:space="preserve">, </w:t>
      </w:r>
      <w:r>
        <w:t>NIS2 Directive)，该指令将零信任</w:t>
      </w:r>
      <w:r>
        <w:rPr>
          <w:spacing w:val="-1"/>
        </w:rPr>
        <w:t>作为其基本要求，旨在进一步提高公共和私营部门以及整个欧盟的网络安全、韧性及事件</w:t>
      </w:r>
      <w:r>
        <w:t>响应能力。2022年11月，美国国防部公布《零信任战略》(Zero</w:t>
      </w:r>
      <w:r>
        <w:rPr>
          <w:spacing w:val="60"/>
        </w:rPr>
        <w:t xml:space="preserve"> </w:t>
      </w:r>
      <w:r>
        <w:t>Trust</w:t>
      </w:r>
      <w:r>
        <w:rPr>
          <w:spacing w:val="61"/>
        </w:rPr>
        <w:t xml:space="preserve"> </w:t>
      </w:r>
      <w:r>
        <w:t>Strategy)，概述</w:t>
      </w:r>
    </w:p>
    <w:p>
      <w:pPr>
        <w:spacing w:after="0" w:line="170" w:lineRule="auto"/>
        <w:jc w:val="both"/>
        <w:sectPr>
          <w:pgSz w:w="12240" w:h="15840"/>
          <w:pgMar w:top="1360" w:right="1320" w:bottom="280" w:left="1340" w:header="720" w:footer="720" w:gutter="0"/>
          <w:pgNumType w:start="9"/>
          <w:cols w:num="1" w:space="720"/>
        </w:sectPr>
      </w:pPr>
    </w:p>
    <w:p>
      <w:pPr>
        <w:pStyle w:val="BodyText"/>
        <w:spacing w:before="15" w:line="300" w:lineRule="auto"/>
        <w:ind w:left="580" w:right="2435" w:hanging="480"/>
      </w:pPr>
      <w:r>
        <w:t>了2027财年前美国国防部全面实施零信任架构的规划及推进路径。3.对中国的影响与启示</w:t>
      </w:r>
    </w:p>
    <w:p>
      <w:pPr>
        <w:pStyle w:val="BodyText"/>
        <w:spacing w:before="90" w:line="170" w:lineRule="auto"/>
        <w:ind w:right="119"/>
        <w:jc w:val="both"/>
      </w:pPr>
      <w:r>
        <w:t>在世界格局加剧动荡的大背景下，大国在网络空间话语权的竞争更加激烈，加强网络安全成为维护国家安全的重要基石。随着网络安全形势的复杂化，网络空间安全正从概念上的主权化阶段过渡到军事化和国家安全化背景下实质性的主权化阶段，这不仅加剧了各方在网络空间的博弈，而且正在重新塑造网络空间秩序的未来。</w:t>
      </w:r>
    </w:p>
    <w:p>
      <w:pPr>
        <w:pStyle w:val="BodyText"/>
        <w:spacing w:before="231" w:line="170" w:lineRule="auto"/>
        <w:ind w:right="119"/>
        <w:jc w:val="both"/>
      </w:pPr>
      <w:r>
        <w:t>网络空间军事化进程加快，网络安全在国家战略中的重要性凸显。伴随着地缘政治竞争和大国博弈的加剧，网络空间军事化进程明显加快。在俄乌冲突中，网络战从暗处走向台前，俄乌双方均遭受不同程度的网络攻击，一些国家更是公开招募网络雇佣军，使非国家行为体深度参与到冲突之中。具有国家背景的黑客活动陆续“浮出水面”，黑客组织发起的攻击活动由原有的利益驱动转向综合了政治、经济、军事、宗教等多个因素的复杂性网络攻击，带来了更多威胁。</w:t>
      </w:r>
    </w:p>
    <w:p>
      <w:pPr>
        <w:pStyle w:val="BodyText"/>
        <w:spacing w:before="228" w:line="170" w:lineRule="auto"/>
        <w:ind w:right="119"/>
        <w:jc w:val="both"/>
      </w:pPr>
      <w:r>
        <w:t>新一代技术创新应用所引发的潜在网络安全风险上升。伴随着传统互联网应用和服务逐步向云端转移，以人工智能、量子技术和Web3.0等为代表的新一代技术正在引领科技创新，成为维护国家网络安全的关键技术力量。然而，由于一些颠覆性技术理论尚不完善或技术本身存在安全缺陷，在应用过程中很容易引发新的安全风险，特别是当其被应用于军事领域时，其所蕴含的巨大破坏力必然会对人类的生存和发展带来新威胁。</w:t>
      </w:r>
    </w:p>
    <w:p>
      <w:pPr>
        <w:pStyle w:val="BodyText"/>
        <w:spacing w:before="229" w:line="170" w:lineRule="auto"/>
        <w:ind w:right="119"/>
      </w:pPr>
      <w:r>
        <w:rPr>
          <w:spacing w:val="-1"/>
        </w:rPr>
        <w:t>在当前网络安全形势复杂多变的时代背景下，网络安全成为国家安全中的重要一环， 中国应全面统筹网络安全工作，助力网络强国建设。于内，为了有效防范网络攻击、保护网络信息安全，中国需要从全局的视野出发，采取一系列措施。首先，应在网络安全法律法规制定方面下大力气，建立健全相关法律体系，强化网络安全监管和执法力度；其次， 应紧跟技术与应用发展新动向，不断加大对网络安全技术和人才的投入，切实提升网络防御和应对能力；最后，应加强网络安全基础设施建设，完善网络安全保障体系，加强网络</w:t>
      </w:r>
      <w:r>
        <w:t>安全监测和预警体系建设。于外，中国应加强国际合作，参与国际网络安全规范标准制 定，合理借鉴他国有益经验与措施。</w:t>
      </w:r>
    </w:p>
    <w:p>
      <w:pPr>
        <w:pStyle w:val="Heading2"/>
        <w:spacing w:before="193"/>
      </w:pPr>
      <w:bookmarkStart w:id="5" w:name="_Toc20124"/>
      <w:r>
        <w:t>（四）量子技术热度与日俱增，抗量子加密算法呼之欲出</w:t>
      </w:r>
      <w:bookmarkEnd w:id="5"/>
    </w:p>
    <w:p>
      <w:pPr>
        <w:pStyle w:val="BodyText"/>
        <w:tabs>
          <w:tab w:val="left" w:pos="5009"/>
          <w:tab w:val="left" w:pos="5277"/>
        </w:tabs>
        <w:spacing w:before="154" w:line="170" w:lineRule="auto"/>
        <w:ind w:right="119"/>
      </w:pPr>
      <w:r>
        <w:t>量子技术在前沿科技中的热度日渐提升，也不断曝光于公众视野。2022年诺贝尔物理学奖颁发给法国科学家阿兰·阿斯佩(Alain</w:t>
      </w:r>
      <w:r>
        <w:tab/>
      </w:r>
      <w:r>
        <w:tab/>
      </w:r>
      <w:r>
        <w:rPr>
          <w:spacing w:val="-1"/>
        </w:rPr>
        <w:t>Aspect)</w:t>
      </w:r>
      <w:r>
        <w:t>、美国科学家约翰·克劳泽(John Clauser)和奥地利科学家安东·蔡林格(Anton</w:t>
      </w:r>
      <w:r>
        <w:tab/>
      </w:r>
      <w:r>
        <w:t>Zeilinger)，以表彰他们在纠缠光子实验、证伪贝尔不等式和开创量子信息科学方面作出的贡献。这是国际科学界对量子信息科学</w:t>
      </w:r>
      <w:r>
        <w:rPr>
          <w:spacing w:val="-19"/>
        </w:rPr>
        <w:t>的</w:t>
      </w:r>
      <w:r>
        <w:t>认可，也将鼓舞全球研究机构进一步深入探究。随着研究的不断深入，量子计算、量子</w:t>
      </w:r>
      <w:r>
        <w:rPr>
          <w:spacing w:val="-19"/>
        </w:rPr>
        <w:t>通</w:t>
      </w:r>
      <w:r>
        <w:t>信和量子传感等技术将逐步实用化，为科学技术发展注入新的动能，也成为各国科技竞</w:t>
      </w:r>
      <w:r>
        <w:rPr>
          <w:spacing w:val="-19"/>
        </w:rPr>
        <w:t>争</w:t>
      </w:r>
      <w:r>
        <w:t>的新焦点。</w:t>
      </w:r>
    </w:p>
    <w:p>
      <w:pPr>
        <w:pStyle w:val="ListParagraph"/>
        <w:numPr>
          <w:ilvl w:val="0"/>
          <w:numId w:val="4"/>
        </w:numPr>
        <w:tabs>
          <w:tab w:val="left" w:pos="780"/>
        </w:tabs>
        <w:spacing w:before="134" w:after="0" w:line="240" w:lineRule="auto"/>
        <w:ind w:left="779" w:right="0" w:hanging="200"/>
        <w:jc w:val="left"/>
        <w:rPr>
          <w:sz w:val="24"/>
        </w:rPr>
      </w:pPr>
      <w:r>
        <w:rPr>
          <w:sz w:val="24"/>
        </w:rPr>
        <w:t>各国不断加大量子技术政策扶持力度并加强研发合作</w:t>
      </w:r>
    </w:p>
    <w:p>
      <w:pPr>
        <w:spacing w:after="0" w:line="240" w:lineRule="auto"/>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https://d.book118.com/127053024024006043</w:t>
        </w:r>
      </w:hyperlink>
    </w:p>
    <w:p>
      <w:pPr>
        <w:spacing w:after="0" w:line="240" w:lineRule="auto"/>
        <w:jc w:val="left"/>
        <w:rPr>
          <w:sz w:val="24"/>
        </w:rPr>
      </w:pPr>
    </w:p>
    <w:sectPr>
      <w:pgSz w:w="12240" w:h="15840"/>
      <w:pgMar w:top="1360" w:right="1320" w:bottom="280" w:left="1340" w:header="720" w:footer="720" w:gutter="0"/>
      <w:pgNumType w:start="1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39341B"/>
    <w:multiLevelType w:val="multilevel"/>
    <w:tmpl w:val="9239341B"/>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1">
    <w:nsid w:val="9C8AC8EF"/>
    <w:multiLevelType w:val="multilevel"/>
    <w:tmpl w:val="9C8AC8EF"/>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2">
    <w:nsid w:val="B0F1ACD9"/>
    <w:multiLevelType w:val="multilevel"/>
    <w:tmpl w:val="B0F1ACD9"/>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3">
    <w:nsid w:val="B5E306ED"/>
    <w:multiLevelType w:val="multilevel"/>
    <w:tmpl w:val="B5E306ED"/>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4">
    <w:nsid w:val="BF205925"/>
    <w:multiLevelType w:val="multilevel"/>
    <w:tmpl w:val="BF205925"/>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5">
    <w:nsid w:val="C8879AEF"/>
    <w:multiLevelType w:val="multilevel"/>
    <w:tmpl w:val="C8879AEF"/>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6">
    <w:nsid w:val="CF092B84"/>
    <w:multiLevelType w:val="multilevel"/>
    <w:tmpl w:val="CF092B84"/>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7">
    <w:nsid w:val="D7F9FE59"/>
    <w:multiLevelType w:val="multilevel"/>
    <w:tmpl w:val="D7F9FE59"/>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8">
    <w:nsid w:val="DCBA6B53"/>
    <w:multiLevelType w:val="multilevel"/>
    <w:tmpl w:val="DCBA6B53"/>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9">
    <w:nsid w:val="F4B5D9F5"/>
    <w:multiLevelType w:val="multilevel"/>
    <w:tmpl w:val="F4B5D9F5"/>
    <w:lvl w:ilvl="0">
      <w:start w:val="1"/>
      <w:numFmt w:val="decimal"/>
      <w:lvlText w:val="%1）"/>
      <w:lvlJc w:val="left"/>
      <w:pPr>
        <w:ind w:left="961" w:hanging="38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822" w:hanging="382"/>
      </w:pPr>
      <w:rPr>
        <w:rFonts w:hint="default"/>
        <w:lang w:val="zh-CN" w:eastAsia="zh-CN" w:bidi="zh-CN"/>
      </w:rPr>
    </w:lvl>
    <w:lvl w:ilvl="2">
      <w:start w:val="0"/>
      <w:numFmt w:val="bullet"/>
      <w:lvlText w:val="•"/>
      <w:lvlJc w:val="left"/>
      <w:pPr>
        <w:ind w:left="2684" w:hanging="382"/>
      </w:pPr>
      <w:rPr>
        <w:rFonts w:hint="default"/>
        <w:lang w:val="zh-CN" w:eastAsia="zh-CN" w:bidi="zh-CN"/>
      </w:rPr>
    </w:lvl>
    <w:lvl w:ilvl="3">
      <w:start w:val="0"/>
      <w:numFmt w:val="bullet"/>
      <w:lvlText w:val="•"/>
      <w:lvlJc w:val="left"/>
      <w:pPr>
        <w:ind w:left="3546" w:hanging="382"/>
      </w:pPr>
      <w:rPr>
        <w:rFonts w:hint="default"/>
        <w:lang w:val="zh-CN" w:eastAsia="zh-CN" w:bidi="zh-CN"/>
      </w:rPr>
    </w:lvl>
    <w:lvl w:ilvl="4">
      <w:start w:val="0"/>
      <w:numFmt w:val="bullet"/>
      <w:lvlText w:val="•"/>
      <w:lvlJc w:val="left"/>
      <w:pPr>
        <w:ind w:left="4408" w:hanging="382"/>
      </w:pPr>
      <w:rPr>
        <w:rFonts w:hint="default"/>
        <w:lang w:val="zh-CN" w:eastAsia="zh-CN" w:bidi="zh-CN"/>
      </w:rPr>
    </w:lvl>
    <w:lvl w:ilvl="5">
      <w:start w:val="0"/>
      <w:numFmt w:val="bullet"/>
      <w:lvlText w:val="•"/>
      <w:lvlJc w:val="left"/>
      <w:pPr>
        <w:ind w:left="5270" w:hanging="382"/>
      </w:pPr>
      <w:rPr>
        <w:rFonts w:hint="default"/>
        <w:lang w:val="zh-CN" w:eastAsia="zh-CN" w:bidi="zh-CN"/>
      </w:rPr>
    </w:lvl>
    <w:lvl w:ilvl="6">
      <w:start w:val="0"/>
      <w:numFmt w:val="bullet"/>
      <w:lvlText w:val="•"/>
      <w:lvlJc w:val="left"/>
      <w:pPr>
        <w:ind w:left="6132" w:hanging="382"/>
      </w:pPr>
      <w:rPr>
        <w:rFonts w:hint="default"/>
        <w:lang w:val="zh-CN" w:eastAsia="zh-CN" w:bidi="zh-CN"/>
      </w:rPr>
    </w:lvl>
    <w:lvl w:ilvl="7">
      <w:start w:val="0"/>
      <w:numFmt w:val="bullet"/>
      <w:lvlText w:val="•"/>
      <w:lvlJc w:val="left"/>
      <w:pPr>
        <w:ind w:left="6994" w:hanging="382"/>
      </w:pPr>
      <w:rPr>
        <w:rFonts w:hint="default"/>
        <w:lang w:val="zh-CN" w:eastAsia="zh-CN" w:bidi="zh-CN"/>
      </w:rPr>
    </w:lvl>
    <w:lvl w:ilvl="8">
      <w:start w:val="0"/>
      <w:numFmt w:val="bullet"/>
      <w:lvlText w:val="•"/>
      <w:lvlJc w:val="left"/>
      <w:pPr>
        <w:ind w:left="7856" w:hanging="382"/>
      </w:pPr>
      <w:rPr>
        <w:rFonts w:hint="default"/>
        <w:lang w:val="zh-CN" w:eastAsia="zh-CN" w:bidi="zh-CN"/>
      </w:rPr>
    </w:lvl>
  </w:abstractNum>
  <w:abstractNum w:abstractNumId="10">
    <w:nsid w:val="0053208E"/>
    <w:multiLevelType w:val="multilevel"/>
    <w:tmpl w:val="0053208E"/>
    <w:lvl w:ilvl="0">
      <w:start w:val="0"/>
      <w:numFmt w:val="bullet"/>
      <w:lvlText w:val="一"/>
      <w:lvlJc w:val="left"/>
      <w:pPr>
        <w:ind w:left="613" w:hanging="514"/>
      </w:pPr>
      <w:rPr>
        <w:rFonts w:ascii="微软雅黑" w:eastAsia="微软雅黑" w:hAnsi="微软雅黑" w:cs="微软雅黑" w:hint="default"/>
        <w:b/>
        <w:bCs/>
        <w:w w:val="101"/>
        <w:sz w:val="39"/>
        <w:szCs w:val="39"/>
        <w:lang w:val="zh-CN" w:eastAsia="zh-CN" w:bidi="zh-CN"/>
      </w:rPr>
    </w:lvl>
    <w:lvl w:ilvl="1">
      <w:start w:val="1"/>
      <w:numFmt w:val="decimal"/>
      <w:lvlText w:val="%2."/>
      <w:lvlJc w:val="left"/>
      <w:pPr>
        <w:ind w:left="779" w:hanging="200"/>
        <w:jc w:val="left"/>
      </w:pPr>
      <w:rPr>
        <w:rFonts w:ascii="微软雅黑" w:eastAsia="微软雅黑" w:hAnsi="微软雅黑" w:cs="微软雅黑" w:hint="default"/>
        <w:spacing w:val="-1"/>
        <w:w w:val="100"/>
        <w:sz w:val="22"/>
        <w:szCs w:val="22"/>
        <w:lang w:val="zh-CN" w:eastAsia="zh-CN" w:bidi="zh-CN"/>
      </w:rPr>
    </w:lvl>
    <w:lvl w:ilvl="2">
      <w:start w:val="0"/>
      <w:numFmt w:val="bullet"/>
      <w:lvlText w:val="•"/>
      <w:lvlJc w:val="left"/>
      <w:pPr>
        <w:ind w:left="1757" w:hanging="200"/>
      </w:pPr>
      <w:rPr>
        <w:rFonts w:hint="default"/>
        <w:lang w:val="zh-CN" w:eastAsia="zh-CN" w:bidi="zh-CN"/>
      </w:rPr>
    </w:lvl>
    <w:lvl w:ilvl="3">
      <w:start w:val="0"/>
      <w:numFmt w:val="bullet"/>
      <w:lvlText w:val="•"/>
      <w:lvlJc w:val="left"/>
      <w:pPr>
        <w:ind w:left="2735" w:hanging="200"/>
      </w:pPr>
      <w:rPr>
        <w:rFonts w:hint="default"/>
        <w:lang w:val="zh-CN" w:eastAsia="zh-CN" w:bidi="zh-CN"/>
      </w:rPr>
    </w:lvl>
    <w:lvl w:ilvl="4">
      <w:start w:val="0"/>
      <w:numFmt w:val="bullet"/>
      <w:lvlText w:val="•"/>
      <w:lvlJc w:val="left"/>
      <w:pPr>
        <w:ind w:left="3713" w:hanging="200"/>
      </w:pPr>
      <w:rPr>
        <w:rFonts w:hint="default"/>
        <w:lang w:val="zh-CN" w:eastAsia="zh-CN" w:bidi="zh-CN"/>
      </w:rPr>
    </w:lvl>
    <w:lvl w:ilvl="5">
      <w:start w:val="0"/>
      <w:numFmt w:val="bullet"/>
      <w:lvlText w:val="•"/>
      <w:lvlJc w:val="left"/>
      <w:pPr>
        <w:ind w:left="4691" w:hanging="200"/>
      </w:pPr>
      <w:rPr>
        <w:rFonts w:hint="default"/>
        <w:lang w:val="zh-CN" w:eastAsia="zh-CN" w:bidi="zh-CN"/>
      </w:rPr>
    </w:lvl>
    <w:lvl w:ilvl="6">
      <w:start w:val="0"/>
      <w:numFmt w:val="bullet"/>
      <w:lvlText w:val="•"/>
      <w:lvlJc w:val="left"/>
      <w:pPr>
        <w:ind w:left="5668" w:hanging="200"/>
      </w:pPr>
      <w:rPr>
        <w:rFonts w:hint="default"/>
        <w:lang w:val="zh-CN" w:eastAsia="zh-CN" w:bidi="zh-CN"/>
      </w:rPr>
    </w:lvl>
    <w:lvl w:ilvl="7">
      <w:start w:val="0"/>
      <w:numFmt w:val="bullet"/>
      <w:lvlText w:val="•"/>
      <w:lvlJc w:val="left"/>
      <w:pPr>
        <w:ind w:left="6646" w:hanging="200"/>
      </w:pPr>
      <w:rPr>
        <w:rFonts w:hint="default"/>
        <w:lang w:val="zh-CN" w:eastAsia="zh-CN" w:bidi="zh-CN"/>
      </w:rPr>
    </w:lvl>
    <w:lvl w:ilvl="8">
      <w:start w:val="0"/>
      <w:numFmt w:val="bullet"/>
      <w:lvlText w:val="•"/>
      <w:lvlJc w:val="left"/>
      <w:pPr>
        <w:ind w:left="7624" w:hanging="200"/>
      </w:pPr>
      <w:rPr>
        <w:rFonts w:hint="default"/>
        <w:lang w:val="zh-CN" w:eastAsia="zh-CN" w:bidi="zh-CN"/>
      </w:rPr>
    </w:lvl>
  </w:abstractNum>
  <w:abstractNum w:abstractNumId="11">
    <w:nsid w:val="0248C179"/>
    <w:multiLevelType w:val="multilevel"/>
    <w:tmpl w:val="0248C179"/>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12">
    <w:nsid w:val="03D62ECE"/>
    <w:multiLevelType w:val="multilevel"/>
    <w:tmpl w:val="03D62ECE"/>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13">
    <w:nsid w:val="0E640482"/>
    <w:multiLevelType w:val="multilevel"/>
    <w:tmpl w:val="0E640482"/>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14">
    <w:nsid w:val="181F3903"/>
    <w:multiLevelType w:val="multilevel"/>
    <w:tmpl w:val="CF092B84"/>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15">
    <w:nsid w:val="2470EC97"/>
    <w:multiLevelType w:val="multilevel"/>
    <w:tmpl w:val="2470EC97"/>
    <w:lvl w:ilvl="0">
      <w:start w:val="1"/>
      <w:numFmt w:val="decimal"/>
      <w:lvlText w:val="%1）"/>
      <w:lvlJc w:val="left"/>
      <w:pPr>
        <w:ind w:left="961" w:hanging="38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822" w:hanging="382"/>
      </w:pPr>
      <w:rPr>
        <w:rFonts w:hint="default"/>
        <w:lang w:val="zh-CN" w:eastAsia="zh-CN" w:bidi="zh-CN"/>
      </w:rPr>
    </w:lvl>
    <w:lvl w:ilvl="2">
      <w:start w:val="0"/>
      <w:numFmt w:val="bullet"/>
      <w:lvlText w:val="•"/>
      <w:lvlJc w:val="left"/>
      <w:pPr>
        <w:ind w:left="2684" w:hanging="382"/>
      </w:pPr>
      <w:rPr>
        <w:rFonts w:hint="default"/>
        <w:lang w:val="zh-CN" w:eastAsia="zh-CN" w:bidi="zh-CN"/>
      </w:rPr>
    </w:lvl>
    <w:lvl w:ilvl="3">
      <w:start w:val="0"/>
      <w:numFmt w:val="bullet"/>
      <w:lvlText w:val="•"/>
      <w:lvlJc w:val="left"/>
      <w:pPr>
        <w:ind w:left="3546" w:hanging="382"/>
      </w:pPr>
      <w:rPr>
        <w:rFonts w:hint="default"/>
        <w:lang w:val="zh-CN" w:eastAsia="zh-CN" w:bidi="zh-CN"/>
      </w:rPr>
    </w:lvl>
    <w:lvl w:ilvl="4">
      <w:start w:val="0"/>
      <w:numFmt w:val="bullet"/>
      <w:lvlText w:val="•"/>
      <w:lvlJc w:val="left"/>
      <w:pPr>
        <w:ind w:left="4408" w:hanging="382"/>
      </w:pPr>
      <w:rPr>
        <w:rFonts w:hint="default"/>
        <w:lang w:val="zh-CN" w:eastAsia="zh-CN" w:bidi="zh-CN"/>
      </w:rPr>
    </w:lvl>
    <w:lvl w:ilvl="5">
      <w:start w:val="0"/>
      <w:numFmt w:val="bullet"/>
      <w:lvlText w:val="•"/>
      <w:lvlJc w:val="left"/>
      <w:pPr>
        <w:ind w:left="5270" w:hanging="382"/>
      </w:pPr>
      <w:rPr>
        <w:rFonts w:hint="default"/>
        <w:lang w:val="zh-CN" w:eastAsia="zh-CN" w:bidi="zh-CN"/>
      </w:rPr>
    </w:lvl>
    <w:lvl w:ilvl="6">
      <w:start w:val="0"/>
      <w:numFmt w:val="bullet"/>
      <w:lvlText w:val="•"/>
      <w:lvlJc w:val="left"/>
      <w:pPr>
        <w:ind w:left="6132" w:hanging="382"/>
      </w:pPr>
      <w:rPr>
        <w:rFonts w:hint="default"/>
        <w:lang w:val="zh-CN" w:eastAsia="zh-CN" w:bidi="zh-CN"/>
      </w:rPr>
    </w:lvl>
    <w:lvl w:ilvl="7">
      <w:start w:val="0"/>
      <w:numFmt w:val="bullet"/>
      <w:lvlText w:val="•"/>
      <w:lvlJc w:val="left"/>
      <w:pPr>
        <w:ind w:left="6994" w:hanging="382"/>
      </w:pPr>
      <w:rPr>
        <w:rFonts w:hint="default"/>
        <w:lang w:val="zh-CN" w:eastAsia="zh-CN" w:bidi="zh-CN"/>
      </w:rPr>
    </w:lvl>
    <w:lvl w:ilvl="8">
      <w:start w:val="0"/>
      <w:numFmt w:val="bullet"/>
      <w:lvlText w:val="•"/>
      <w:lvlJc w:val="left"/>
      <w:pPr>
        <w:ind w:left="7856" w:hanging="382"/>
      </w:pPr>
      <w:rPr>
        <w:rFonts w:hint="default"/>
        <w:lang w:val="zh-CN" w:eastAsia="zh-CN" w:bidi="zh-CN"/>
      </w:rPr>
    </w:lvl>
  </w:abstractNum>
  <w:abstractNum w:abstractNumId="16">
    <w:nsid w:val="25B654F3"/>
    <w:multiLevelType w:val="multilevel"/>
    <w:tmpl w:val="25B654F3"/>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17">
    <w:nsid w:val="2A8F537B"/>
    <w:multiLevelType w:val="multilevel"/>
    <w:tmpl w:val="2A8F537B"/>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18">
    <w:nsid w:val="46A08BB8"/>
    <w:multiLevelType w:val="multilevel"/>
    <w:tmpl w:val="46A08BB8"/>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19">
    <w:nsid w:val="4C1BAE26"/>
    <w:multiLevelType w:val="multilevel"/>
    <w:tmpl w:val="4C1BAE26"/>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20">
    <w:nsid w:val="4D4DC07F"/>
    <w:multiLevelType w:val="multilevel"/>
    <w:tmpl w:val="4D4DC07F"/>
    <w:lvl w:ilvl="0">
      <w:start w:val="1"/>
      <w:numFmt w:val="decimal"/>
      <w:lvlText w:val="%1）"/>
      <w:lvlJc w:val="left"/>
      <w:pPr>
        <w:ind w:left="961" w:hanging="38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822" w:hanging="382"/>
      </w:pPr>
      <w:rPr>
        <w:rFonts w:hint="default"/>
        <w:lang w:val="zh-CN" w:eastAsia="zh-CN" w:bidi="zh-CN"/>
      </w:rPr>
    </w:lvl>
    <w:lvl w:ilvl="2">
      <w:start w:val="0"/>
      <w:numFmt w:val="bullet"/>
      <w:lvlText w:val="•"/>
      <w:lvlJc w:val="left"/>
      <w:pPr>
        <w:ind w:left="2684" w:hanging="382"/>
      </w:pPr>
      <w:rPr>
        <w:rFonts w:hint="default"/>
        <w:lang w:val="zh-CN" w:eastAsia="zh-CN" w:bidi="zh-CN"/>
      </w:rPr>
    </w:lvl>
    <w:lvl w:ilvl="3">
      <w:start w:val="0"/>
      <w:numFmt w:val="bullet"/>
      <w:lvlText w:val="•"/>
      <w:lvlJc w:val="left"/>
      <w:pPr>
        <w:ind w:left="3546" w:hanging="382"/>
      </w:pPr>
      <w:rPr>
        <w:rFonts w:hint="default"/>
        <w:lang w:val="zh-CN" w:eastAsia="zh-CN" w:bidi="zh-CN"/>
      </w:rPr>
    </w:lvl>
    <w:lvl w:ilvl="4">
      <w:start w:val="0"/>
      <w:numFmt w:val="bullet"/>
      <w:lvlText w:val="•"/>
      <w:lvlJc w:val="left"/>
      <w:pPr>
        <w:ind w:left="4408" w:hanging="382"/>
      </w:pPr>
      <w:rPr>
        <w:rFonts w:hint="default"/>
        <w:lang w:val="zh-CN" w:eastAsia="zh-CN" w:bidi="zh-CN"/>
      </w:rPr>
    </w:lvl>
    <w:lvl w:ilvl="5">
      <w:start w:val="0"/>
      <w:numFmt w:val="bullet"/>
      <w:lvlText w:val="•"/>
      <w:lvlJc w:val="left"/>
      <w:pPr>
        <w:ind w:left="5270" w:hanging="382"/>
      </w:pPr>
      <w:rPr>
        <w:rFonts w:hint="default"/>
        <w:lang w:val="zh-CN" w:eastAsia="zh-CN" w:bidi="zh-CN"/>
      </w:rPr>
    </w:lvl>
    <w:lvl w:ilvl="6">
      <w:start w:val="0"/>
      <w:numFmt w:val="bullet"/>
      <w:lvlText w:val="•"/>
      <w:lvlJc w:val="left"/>
      <w:pPr>
        <w:ind w:left="6132" w:hanging="382"/>
      </w:pPr>
      <w:rPr>
        <w:rFonts w:hint="default"/>
        <w:lang w:val="zh-CN" w:eastAsia="zh-CN" w:bidi="zh-CN"/>
      </w:rPr>
    </w:lvl>
    <w:lvl w:ilvl="7">
      <w:start w:val="0"/>
      <w:numFmt w:val="bullet"/>
      <w:lvlText w:val="•"/>
      <w:lvlJc w:val="left"/>
      <w:pPr>
        <w:ind w:left="6994" w:hanging="382"/>
      </w:pPr>
      <w:rPr>
        <w:rFonts w:hint="default"/>
        <w:lang w:val="zh-CN" w:eastAsia="zh-CN" w:bidi="zh-CN"/>
      </w:rPr>
    </w:lvl>
    <w:lvl w:ilvl="8">
      <w:start w:val="0"/>
      <w:numFmt w:val="bullet"/>
      <w:lvlText w:val="•"/>
      <w:lvlJc w:val="left"/>
      <w:pPr>
        <w:ind w:left="7856" w:hanging="382"/>
      </w:pPr>
      <w:rPr>
        <w:rFonts w:hint="default"/>
        <w:lang w:val="zh-CN" w:eastAsia="zh-CN" w:bidi="zh-CN"/>
      </w:rPr>
    </w:lvl>
  </w:abstractNum>
  <w:abstractNum w:abstractNumId="21">
    <w:nsid w:val="59ADCABA"/>
    <w:multiLevelType w:val="multilevel"/>
    <w:tmpl w:val="59ADCABA"/>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22">
    <w:nsid w:val="5A241D34"/>
    <w:multiLevelType w:val="multilevel"/>
    <w:tmpl w:val="5A241D34"/>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23">
    <w:nsid w:val="60382F6E"/>
    <w:multiLevelType w:val="multilevel"/>
    <w:tmpl w:val="60382F6E"/>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abstractNum w:abstractNumId="24">
    <w:nsid w:val="6128A645"/>
    <w:multiLevelType w:val="multilevel"/>
    <w:tmpl w:val="0053208E"/>
    <w:lvl w:ilvl="0">
      <w:start w:val="0"/>
      <w:numFmt w:val="bullet"/>
      <w:lvlText w:val="一"/>
      <w:lvlJc w:val="left"/>
      <w:pPr>
        <w:ind w:left="613" w:hanging="514"/>
      </w:pPr>
      <w:rPr>
        <w:rFonts w:ascii="微软雅黑" w:eastAsia="微软雅黑" w:hAnsi="微软雅黑" w:cs="微软雅黑" w:hint="default"/>
        <w:b/>
        <w:bCs/>
        <w:w w:val="101"/>
        <w:sz w:val="39"/>
        <w:szCs w:val="39"/>
        <w:lang w:val="zh-CN" w:eastAsia="zh-CN" w:bidi="zh-CN"/>
      </w:rPr>
    </w:lvl>
    <w:lvl w:ilvl="1">
      <w:start w:val="1"/>
      <w:numFmt w:val="decimal"/>
      <w:lvlText w:val="%2."/>
      <w:lvlJc w:val="left"/>
      <w:pPr>
        <w:ind w:left="779" w:hanging="200"/>
        <w:jc w:val="left"/>
      </w:pPr>
      <w:rPr>
        <w:rFonts w:ascii="微软雅黑" w:eastAsia="微软雅黑" w:hAnsi="微软雅黑" w:cs="微软雅黑" w:hint="default"/>
        <w:spacing w:val="-1"/>
        <w:w w:val="100"/>
        <w:sz w:val="22"/>
        <w:szCs w:val="22"/>
        <w:lang w:val="zh-CN" w:eastAsia="zh-CN" w:bidi="zh-CN"/>
      </w:rPr>
    </w:lvl>
    <w:lvl w:ilvl="2">
      <w:start w:val="0"/>
      <w:numFmt w:val="bullet"/>
      <w:lvlText w:val="•"/>
      <w:lvlJc w:val="left"/>
      <w:pPr>
        <w:ind w:left="1757" w:hanging="200"/>
      </w:pPr>
      <w:rPr>
        <w:rFonts w:hint="default"/>
        <w:lang w:val="zh-CN" w:eastAsia="zh-CN" w:bidi="zh-CN"/>
      </w:rPr>
    </w:lvl>
    <w:lvl w:ilvl="3">
      <w:start w:val="0"/>
      <w:numFmt w:val="bullet"/>
      <w:lvlText w:val="•"/>
      <w:lvlJc w:val="left"/>
      <w:pPr>
        <w:ind w:left="2735" w:hanging="200"/>
      </w:pPr>
      <w:rPr>
        <w:rFonts w:hint="default"/>
        <w:lang w:val="zh-CN" w:eastAsia="zh-CN" w:bidi="zh-CN"/>
      </w:rPr>
    </w:lvl>
    <w:lvl w:ilvl="4">
      <w:start w:val="0"/>
      <w:numFmt w:val="bullet"/>
      <w:lvlText w:val="•"/>
      <w:lvlJc w:val="left"/>
      <w:pPr>
        <w:ind w:left="3713" w:hanging="200"/>
      </w:pPr>
      <w:rPr>
        <w:rFonts w:hint="default"/>
        <w:lang w:val="zh-CN" w:eastAsia="zh-CN" w:bidi="zh-CN"/>
      </w:rPr>
    </w:lvl>
    <w:lvl w:ilvl="5">
      <w:start w:val="0"/>
      <w:numFmt w:val="bullet"/>
      <w:lvlText w:val="•"/>
      <w:lvlJc w:val="left"/>
      <w:pPr>
        <w:ind w:left="4691" w:hanging="200"/>
      </w:pPr>
      <w:rPr>
        <w:rFonts w:hint="default"/>
        <w:lang w:val="zh-CN" w:eastAsia="zh-CN" w:bidi="zh-CN"/>
      </w:rPr>
    </w:lvl>
    <w:lvl w:ilvl="6">
      <w:start w:val="0"/>
      <w:numFmt w:val="bullet"/>
      <w:lvlText w:val="•"/>
      <w:lvlJc w:val="left"/>
      <w:pPr>
        <w:ind w:left="5668" w:hanging="200"/>
      </w:pPr>
      <w:rPr>
        <w:rFonts w:hint="default"/>
        <w:lang w:val="zh-CN" w:eastAsia="zh-CN" w:bidi="zh-CN"/>
      </w:rPr>
    </w:lvl>
    <w:lvl w:ilvl="7">
      <w:start w:val="0"/>
      <w:numFmt w:val="bullet"/>
      <w:lvlText w:val="•"/>
      <w:lvlJc w:val="left"/>
      <w:pPr>
        <w:ind w:left="6646" w:hanging="200"/>
      </w:pPr>
      <w:rPr>
        <w:rFonts w:hint="default"/>
        <w:lang w:val="zh-CN" w:eastAsia="zh-CN" w:bidi="zh-CN"/>
      </w:rPr>
    </w:lvl>
    <w:lvl w:ilvl="8">
      <w:start w:val="0"/>
      <w:numFmt w:val="bullet"/>
      <w:lvlText w:val="•"/>
      <w:lvlJc w:val="left"/>
      <w:pPr>
        <w:ind w:left="7624" w:hanging="200"/>
      </w:pPr>
      <w:rPr>
        <w:rFonts w:hint="default"/>
        <w:lang w:val="zh-CN" w:eastAsia="zh-CN" w:bidi="zh-CN"/>
      </w:rPr>
    </w:lvl>
  </w:abstractNum>
  <w:abstractNum w:abstractNumId="25">
    <w:nsid w:val="72183CF9"/>
    <w:multiLevelType w:val="multilevel"/>
    <w:tmpl w:val="72183CF9"/>
    <w:lvl w:ilvl="0">
      <w:start w:val="1"/>
      <w:numFmt w:val="decimal"/>
      <w:lvlText w:val="%1."/>
      <w:lvlJc w:val="left"/>
      <w:pPr>
        <w:ind w:left="77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60" w:hanging="200"/>
      </w:pPr>
      <w:rPr>
        <w:rFonts w:hint="default"/>
        <w:lang w:val="zh-CN" w:eastAsia="zh-CN" w:bidi="zh-CN"/>
      </w:rPr>
    </w:lvl>
    <w:lvl w:ilvl="2">
      <w:start w:val="0"/>
      <w:numFmt w:val="bullet"/>
      <w:lvlText w:val="•"/>
      <w:lvlJc w:val="left"/>
      <w:pPr>
        <w:ind w:left="2540" w:hanging="200"/>
      </w:pPr>
      <w:rPr>
        <w:rFonts w:hint="default"/>
        <w:lang w:val="zh-CN" w:eastAsia="zh-CN" w:bidi="zh-CN"/>
      </w:rPr>
    </w:lvl>
    <w:lvl w:ilvl="3">
      <w:start w:val="0"/>
      <w:numFmt w:val="bullet"/>
      <w:lvlText w:val="•"/>
      <w:lvlJc w:val="left"/>
      <w:pPr>
        <w:ind w:left="3420" w:hanging="200"/>
      </w:pPr>
      <w:rPr>
        <w:rFonts w:hint="default"/>
        <w:lang w:val="zh-CN" w:eastAsia="zh-CN" w:bidi="zh-CN"/>
      </w:rPr>
    </w:lvl>
    <w:lvl w:ilvl="4">
      <w:start w:val="0"/>
      <w:numFmt w:val="bullet"/>
      <w:lvlText w:val="•"/>
      <w:lvlJc w:val="left"/>
      <w:pPr>
        <w:ind w:left="4300" w:hanging="200"/>
      </w:pPr>
      <w:rPr>
        <w:rFonts w:hint="default"/>
        <w:lang w:val="zh-CN" w:eastAsia="zh-CN" w:bidi="zh-CN"/>
      </w:rPr>
    </w:lvl>
    <w:lvl w:ilvl="5">
      <w:start w:val="0"/>
      <w:numFmt w:val="bullet"/>
      <w:lvlText w:val="•"/>
      <w:lvlJc w:val="left"/>
      <w:pPr>
        <w:ind w:left="5180" w:hanging="200"/>
      </w:pPr>
      <w:rPr>
        <w:rFonts w:hint="default"/>
        <w:lang w:val="zh-CN" w:eastAsia="zh-CN" w:bidi="zh-CN"/>
      </w:rPr>
    </w:lvl>
    <w:lvl w:ilvl="6">
      <w:start w:val="0"/>
      <w:numFmt w:val="bullet"/>
      <w:lvlText w:val="•"/>
      <w:lvlJc w:val="left"/>
      <w:pPr>
        <w:ind w:left="6060" w:hanging="200"/>
      </w:pPr>
      <w:rPr>
        <w:rFonts w:hint="default"/>
        <w:lang w:val="zh-CN" w:eastAsia="zh-CN" w:bidi="zh-CN"/>
      </w:rPr>
    </w:lvl>
    <w:lvl w:ilvl="7">
      <w:start w:val="0"/>
      <w:numFmt w:val="bullet"/>
      <w:lvlText w:val="•"/>
      <w:lvlJc w:val="left"/>
      <w:pPr>
        <w:ind w:left="6940" w:hanging="200"/>
      </w:pPr>
      <w:rPr>
        <w:rFonts w:hint="default"/>
        <w:lang w:val="zh-CN" w:eastAsia="zh-CN" w:bidi="zh-CN"/>
      </w:rPr>
    </w:lvl>
    <w:lvl w:ilvl="8">
      <w:start w:val="0"/>
      <w:numFmt w:val="bullet"/>
      <w:lvlText w:val="•"/>
      <w:lvlJc w:val="left"/>
      <w:pPr>
        <w:ind w:left="7820" w:hanging="200"/>
      </w:pPr>
      <w:rPr>
        <w:rFonts w:hint="default"/>
        <w:lang w:val="zh-CN" w:eastAsia="zh-CN" w:bidi="zh-CN"/>
      </w:rPr>
    </w:lvl>
  </w:abstractNum>
  <w:num w:numId="1">
    <w:abstractNumId w:val="10"/>
  </w:num>
  <w:num w:numId="2">
    <w:abstractNumId w:val="6"/>
  </w:num>
  <w:num w:numId="3">
    <w:abstractNumId w:val="21"/>
  </w:num>
  <w:num w:numId="4">
    <w:abstractNumId w:val="4"/>
  </w:num>
  <w:num w:numId="5">
    <w:abstractNumId w:val="3"/>
  </w:num>
  <w:num w:numId="6">
    <w:abstractNumId w:val="12"/>
  </w:num>
  <w:num w:numId="7">
    <w:abstractNumId w:val="16"/>
  </w:num>
  <w:num w:numId="8">
    <w:abstractNumId w:val="25"/>
  </w:num>
  <w:num w:numId="9">
    <w:abstractNumId w:val="11"/>
  </w:num>
  <w:num w:numId="10">
    <w:abstractNumId w:val="0"/>
  </w:num>
  <w:num w:numId="11">
    <w:abstractNumId w:val="17"/>
  </w:num>
  <w:num w:numId="12">
    <w:abstractNumId w:val="22"/>
  </w:num>
  <w:num w:numId="13">
    <w:abstractNumId w:val="5"/>
  </w:num>
  <w:num w:numId="14">
    <w:abstractNumId w:val="20"/>
  </w:num>
  <w:num w:numId="15">
    <w:abstractNumId w:val="9"/>
  </w:num>
  <w:num w:numId="16">
    <w:abstractNumId w:val="15"/>
  </w:num>
  <w:num w:numId="17">
    <w:abstractNumId w:val="8"/>
  </w:num>
  <w:num w:numId="18">
    <w:abstractNumId w:val="7"/>
  </w:num>
  <w:num w:numId="19">
    <w:abstractNumId w:val="1"/>
  </w:num>
  <w:num w:numId="20">
    <w:abstractNumId w:val="19"/>
  </w:num>
  <w:num w:numId="21">
    <w:abstractNumId w:val="23"/>
  </w:num>
  <w:num w:numId="22">
    <w:abstractNumId w:val="13"/>
  </w:num>
  <w:num w:numId="23">
    <w:abstractNumId w:val="18"/>
  </w:num>
  <w:num w:numId="24">
    <w:abstractNumId w:val="2"/>
  </w:num>
  <w:num w:numId="25">
    <w:abstractNumId w:val="24"/>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6194AF4"/>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微软雅黑" w:eastAsia="微软雅黑" w:hAnsi="微软雅黑" w:cs="微软雅黑"/>
      <w:sz w:val="22"/>
      <w:szCs w:val="22"/>
      <w:lang w:val="zh-CN" w:eastAsia="zh-CN" w:bidi="zh-CN"/>
    </w:rPr>
  </w:style>
  <w:style w:type="paragraph" w:styleId="Heading1">
    <w:name w:val="heading 1"/>
    <w:basedOn w:val="Normal"/>
    <w:next w:val="Normal"/>
    <w:uiPriority w:val="1"/>
    <w:qFormat/>
    <w:pPr>
      <w:spacing w:before="5"/>
      <w:ind w:left="100"/>
      <w:outlineLvl w:val="0"/>
    </w:pPr>
    <w:rPr>
      <w:rFonts w:ascii="微软雅黑" w:eastAsia="微软雅黑" w:hAnsi="微软雅黑" w:cs="微软雅黑"/>
      <w:b/>
      <w:bCs/>
      <w:sz w:val="39"/>
      <w:szCs w:val="39"/>
      <w:lang w:val="zh-CN" w:eastAsia="zh-CN" w:bidi="zh-CN"/>
    </w:rPr>
  </w:style>
  <w:style w:type="paragraph" w:styleId="Heading2">
    <w:name w:val="heading 2"/>
    <w:basedOn w:val="Normal"/>
    <w:next w:val="Normal"/>
    <w:uiPriority w:val="1"/>
    <w:qFormat/>
    <w:pPr>
      <w:spacing w:before="201"/>
      <w:ind w:left="100"/>
      <w:outlineLvl w:val="1"/>
    </w:pPr>
    <w:rPr>
      <w:rFonts w:ascii="微软雅黑" w:eastAsia="微软雅黑" w:hAnsi="微软雅黑" w:cs="微软雅黑"/>
      <w:b/>
      <w:bCs/>
      <w:sz w:val="33"/>
      <w:szCs w:val="33"/>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pPr>
      <w:spacing w:before="201"/>
      <w:ind w:left="100" w:firstLine="480"/>
    </w:pPr>
    <w:rPr>
      <w:rFonts w:ascii="微软雅黑" w:eastAsia="微软雅黑" w:hAnsi="微软雅黑" w:cs="微软雅黑"/>
      <w:sz w:val="24"/>
      <w:szCs w:val="24"/>
      <w:lang w:val="zh-CN" w:eastAsia="zh-CN" w:bidi="zh-CN"/>
    </w:rPr>
  </w:style>
  <w:style w:type="paragraph" w:styleId="Title">
    <w:name w:val="Title"/>
    <w:basedOn w:val="Normal"/>
    <w:uiPriority w:val="1"/>
    <w:qFormat/>
    <w:pPr>
      <w:spacing w:line="860" w:lineRule="exact"/>
      <w:ind w:left="1125" w:right="1470"/>
      <w:jc w:val="center"/>
    </w:pPr>
    <w:rPr>
      <w:rFonts w:ascii="微软雅黑" w:eastAsia="微软雅黑" w:hAnsi="微软雅黑" w:cs="微软雅黑"/>
      <w:b/>
      <w:bCs/>
      <w:sz w:val="48"/>
      <w:szCs w:val="48"/>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142"/>
      <w:ind w:left="779" w:hanging="200"/>
    </w:pPr>
    <w:rPr>
      <w:rFonts w:ascii="微软雅黑" w:eastAsia="微软雅黑" w:hAnsi="微软雅黑" w:cs="微软雅黑"/>
      <w:lang w:val="zh-CN" w:eastAsia="zh-CN" w:bidi="zh-CN"/>
    </w:rPr>
  </w:style>
  <w:style w:type="paragraph" w:customStyle="1" w:styleId="TableParagraph">
    <w:name w:val="Table Paragraph"/>
    <w:basedOn w:val="Normal"/>
    <w:uiPriority w:val="1"/>
    <w:qFormat/>
    <w:rPr>
      <w:lang w:val="zh-CN" w:eastAsia="zh-CN" w:bidi="zh-CN"/>
    </w:rPr>
  </w:style>
  <w:style w:type="paragraph" w:customStyle="1" w:styleId="WPSOffice2">
    <w:name w:val="WPSOffice手动目录 2"/>
    <w:pPr>
      <w:ind w:leftChars="2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27053024024006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世界前沿技术发展报告2023</dc:title>
  <dc:creator>国务院发展研究中心国际技术经济研究所</dc:creator>
  <cp:keywords>公众号：窃蓝书房</cp:keywords>
  <cp:lastModifiedBy>0744</cp:lastModifiedBy>
  <cp:revision>0</cp:revision>
  <dcterms:created xsi:type="dcterms:W3CDTF">2024-02-21T02:32:00Z</dcterms:created>
  <dcterms:modified xsi:type="dcterms:W3CDTF">2024-02-21T02:33:10Z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2024-02-21T00:00:00Z</vt:filetime>
  </property>
  <property fmtid="{D5CDD505-2E9C-101B-9397-08002B2CF9AE}" pid="3" name="Creator">
    <vt:lpwstr>calibre 3.48.0 [https://calibre-ebook.com]</vt:lpwstr>
  </property>
  <property fmtid="{D5CDD505-2E9C-101B-9397-08002B2CF9AE}" pid="4" name="ICV">
    <vt:lpwstr>3BA31C5BE47A418299176573911934E0</vt:lpwstr>
  </property>
  <property fmtid="{D5CDD505-2E9C-101B-9397-08002B2CF9AE}" pid="5" name="KSOProductBuildVer">
    <vt:lpwstr>2052-11.8.2.11718</vt:lpwstr>
  </property>
  <property fmtid="{D5CDD505-2E9C-101B-9397-08002B2CF9AE}" pid="6" name="LastSaved">
    <vt:filetime>2024-02-21T00:00:00Z</vt:filetime>
  </property>
</Properties>
</file>