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line="360" w:lineRule="auto"/>
        <w:jc w:val="center"/>
        <w:outlineLvl w:val="0"/>
        <w:rPr>
          <w:rFonts w:ascii="幼圆" w:eastAsia="幼圆" w:hAnsi="幼圆" w:cs="幼圆" w:hint="default"/>
          <w:b/>
          <w:bCs/>
          <w:sz w:val="36"/>
          <w:szCs w:val="21"/>
        </w:rPr>
      </w:pPr>
      <w:bookmarkStart w:id="0" w:name="_Toc20167"/>
      <w:r>
        <w:rPr>
          <w:rFonts w:ascii="幼圆" w:eastAsia="幼圆" w:hAnsi="幼圆" w:cs="幼圆" w:hint="eastAsia"/>
          <w:b/>
          <w:bCs/>
          <w:sz w:val="36"/>
          <w:szCs w:val="21"/>
          <w:lang w:eastAsia="zh-CN"/>
        </w:rPr>
        <w:t>海信智能家居</w:t>
      </w:r>
      <w:r>
        <w:rPr>
          <w:rFonts w:ascii="幼圆" w:eastAsia="幼圆" w:hAnsi="幼圆" w:cs="幼圆" w:hint="eastAsia"/>
          <w:b/>
          <w:bCs/>
          <w:sz w:val="36"/>
          <w:szCs w:val="21"/>
        </w:rPr>
        <w:t>公司应收账款管理</w:t>
      </w:r>
      <w:bookmarkEnd w:id="0"/>
      <w:r>
        <w:rPr>
          <w:rFonts w:ascii="幼圆" w:eastAsia="幼圆" w:hAnsi="幼圆" w:cs="幼圆" w:hint="eastAsia"/>
          <w:b/>
          <w:bCs/>
          <w:sz w:val="36"/>
          <w:szCs w:val="21"/>
          <w:lang w:val="en-US" w:eastAsia="zh-CN"/>
        </w:rPr>
        <w:t>问题与优化浅析</w:t>
      </w:r>
    </w:p>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WPSOffice1"/>
        <w:tabs>
          <w:tab w:val="right" w:leader="dot" w:pos="8306"/>
        </w:tabs>
        <w:rPr>
          <w:b/>
        </w:rPr>
      </w:pPr>
      <w:r>
        <w:rPr>
          <w:rFonts w:ascii="幼圆" w:eastAsia="幼圆" w:hAnsi="幼圆" w:cs="幼圆" w:hint="eastAsia"/>
          <w:b/>
          <w:bCs/>
          <w:sz w:val="36"/>
          <w:szCs w:val="21"/>
        </w:rPr>
        <w:fldChar w:fldCharType="begin"/>
      </w:r>
      <w:r>
        <w:rPr>
          <w:rFonts w:ascii="幼圆" w:eastAsia="幼圆" w:hAnsi="幼圆" w:cs="幼圆" w:hint="eastAsia"/>
          <w:b/>
          <w:bCs/>
          <w:sz w:val="36"/>
          <w:szCs w:val="21"/>
        </w:rPr>
        <w:instrText xml:space="preserve">TOC \o "1-2" \h \u </w:instrText>
      </w:r>
      <w:r>
        <w:rPr>
          <w:rFonts w:ascii="幼圆" w:eastAsia="幼圆" w:hAnsi="幼圆" w:cs="幼圆" w:hint="eastAsia"/>
          <w:b/>
          <w:bCs/>
          <w:sz w:val="36"/>
          <w:szCs w:val="21"/>
        </w:rPr>
        <w:fldChar w:fldCharType="separate"/>
      </w:r>
      <w:hyperlink w:anchor="_Toc20167" w:history="1">
        <w:r>
          <w:rPr>
            <w:rFonts w:ascii="幼圆" w:eastAsia="幼圆" w:hAnsi="幼圆" w:cs="幼圆" w:hint="eastAsia"/>
            <w:b/>
            <w:bCs/>
            <w:szCs w:val="21"/>
            <w:lang w:eastAsia="zh-CN"/>
          </w:rPr>
          <w:t>海信智能家居</w:t>
        </w:r>
        <w:r>
          <w:rPr>
            <w:rFonts w:ascii="幼圆" w:eastAsia="幼圆" w:hAnsi="幼圆" w:cs="幼圆" w:hint="eastAsia"/>
            <w:b/>
            <w:bCs/>
            <w:szCs w:val="21"/>
          </w:rPr>
          <w:t>公司应收账款管理问题及</w:t>
        </w:r>
        <w:r>
          <w:rPr>
            <w:rFonts w:ascii="幼圆" w:eastAsia="幼圆" w:hAnsi="幼圆" w:cs="幼圆" w:hint="eastAsia"/>
            <w:b/>
            <w:bCs/>
            <w:szCs w:val="21"/>
            <w:lang w:val="en-US" w:eastAsia="zh-CN"/>
          </w:rPr>
          <w:t>完善</w:t>
        </w:r>
        <w:r>
          <w:rPr>
            <w:rFonts w:ascii="幼圆" w:eastAsia="幼圆" w:hAnsi="幼圆" w:cs="幼圆" w:hint="eastAsia"/>
            <w:b/>
            <w:bCs/>
            <w:szCs w:val="21"/>
          </w:rPr>
          <w:t>对策研究</w:t>
        </w:r>
        <w:r>
          <w:rPr>
            <w:b/>
          </w:rPr>
          <w:tab/>
        </w:r>
        <w:r>
          <w:rPr>
            <w:b/>
          </w:rPr>
          <w:fldChar w:fldCharType="begin"/>
        </w:r>
        <w:r>
          <w:rPr>
            <w:b/>
          </w:rPr>
          <w:instrText xml:space="preserve"> PAGEREF _Toc20167 \h </w:instrText>
        </w:r>
        <w:r>
          <w:rPr>
            <w:b/>
          </w:rPr>
          <w:fldChar w:fldCharType="separate"/>
        </w:r>
        <w:r>
          <w:rPr>
            <w:b/>
          </w:rPr>
          <w:t>1</w:t>
        </w:r>
        <w:r>
          <w:rPr>
            <w:b/>
          </w:rPr>
          <w:fldChar w:fldCharType="end"/>
        </w:r>
      </w:hyperlink>
    </w:p>
    <w:p>
      <w:pPr>
        <w:pStyle w:val="WPSOffice1"/>
        <w:tabs>
          <w:tab w:val="right" w:leader="dot" w:pos="8306"/>
        </w:tabs>
        <w:rPr>
          <w:b/>
        </w:rPr>
      </w:pPr>
      <w:hyperlink w:anchor="_Toc24395" w:history="1">
        <w:r>
          <w:rPr>
            <w:rFonts w:ascii="幼圆" w:eastAsia="幼圆" w:hAnsi="幼圆" w:cs="幼圆" w:hint="eastAsia"/>
            <w:b/>
          </w:rPr>
          <w:t>一、应收账款管理相关理论</w:t>
        </w:r>
        <w:r>
          <w:rPr>
            <w:b/>
          </w:rPr>
          <w:tab/>
        </w:r>
        <w:r>
          <w:rPr>
            <w:b/>
          </w:rPr>
          <w:fldChar w:fldCharType="begin"/>
        </w:r>
        <w:r>
          <w:rPr>
            <w:b/>
          </w:rPr>
          <w:instrText xml:space="preserve"> PAGEREF _Toc24395 \h </w:instrText>
        </w:r>
        <w:r>
          <w:rPr>
            <w:b/>
          </w:rPr>
          <w:fldChar w:fldCharType="separate"/>
        </w:r>
        <w:r>
          <w:rPr>
            <w:b/>
          </w:rPr>
          <w:t>1</w:t>
        </w:r>
        <w:r>
          <w:rPr>
            <w:b/>
          </w:rPr>
          <w:fldChar w:fldCharType="end"/>
        </w:r>
      </w:hyperlink>
    </w:p>
    <w:p>
      <w:pPr>
        <w:pStyle w:val="WPSOffice2"/>
        <w:tabs>
          <w:tab w:val="right" w:leader="dot" w:pos="8306"/>
        </w:tabs>
      </w:pPr>
      <w:hyperlink w:anchor="_Toc7655" w:history="1">
        <w:r>
          <w:rPr>
            <w:rFonts w:ascii="幼圆" w:eastAsia="幼圆" w:hAnsi="幼圆" w:cs="幼圆" w:hint="eastAsia"/>
          </w:rPr>
          <w:t>（一）应收账款管理概述</w:t>
        </w:r>
        <w:r>
          <w:tab/>
        </w:r>
        <w:r>
          <w:fldChar w:fldCharType="begin"/>
        </w:r>
        <w:r>
          <w:instrText xml:space="preserve"> PAGEREF _Toc7655 \h </w:instrText>
        </w:r>
        <w:r>
          <w:fldChar w:fldCharType="separate"/>
        </w:r>
        <w:r>
          <w:t>1</w:t>
        </w:r>
        <w:r>
          <w:fldChar w:fldCharType="end"/>
        </w:r>
      </w:hyperlink>
    </w:p>
    <w:p>
      <w:pPr>
        <w:pStyle w:val="WPSOffice2"/>
        <w:tabs>
          <w:tab w:val="right" w:leader="dot" w:pos="8306"/>
        </w:tabs>
      </w:pPr>
      <w:hyperlink w:anchor="_Toc32077" w:history="1">
        <w:r>
          <w:rPr>
            <w:rFonts w:ascii="幼圆" w:eastAsia="幼圆" w:hAnsi="幼圆" w:cs="幼圆" w:hint="eastAsia"/>
          </w:rPr>
          <w:t>（二）应收账款质量的分析评价</w:t>
        </w:r>
        <w:r>
          <w:tab/>
        </w:r>
        <w:r>
          <w:fldChar w:fldCharType="begin"/>
        </w:r>
        <w:r>
          <w:instrText xml:space="preserve"> PAGEREF _Toc32077 \h </w:instrText>
        </w:r>
        <w:r>
          <w:fldChar w:fldCharType="separate"/>
        </w:r>
        <w:r>
          <w:t>4</w:t>
        </w:r>
        <w:r>
          <w:fldChar w:fldCharType="end"/>
        </w:r>
      </w:hyperlink>
    </w:p>
    <w:p>
      <w:pPr>
        <w:pStyle w:val="WPSOffice1"/>
        <w:tabs>
          <w:tab w:val="right" w:leader="dot" w:pos="8306"/>
        </w:tabs>
        <w:rPr>
          <w:b/>
        </w:rPr>
      </w:pPr>
      <w:hyperlink w:anchor="_Toc2652" w:history="1">
        <w:r>
          <w:rPr>
            <w:rFonts w:ascii="幼圆" w:eastAsia="幼圆" w:hAnsi="幼圆" w:cs="幼圆" w:hint="eastAsia"/>
            <w:b/>
          </w:rPr>
          <w:t>二、</w:t>
        </w:r>
        <w:r>
          <w:rPr>
            <w:rFonts w:ascii="幼圆" w:eastAsia="幼圆" w:hAnsi="幼圆" w:cs="幼圆" w:hint="eastAsia"/>
            <w:b/>
            <w:lang w:eastAsia="zh-CN"/>
          </w:rPr>
          <w:t>海信智能家居</w:t>
        </w:r>
        <w:r>
          <w:rPr>
            <w:rFonts w:ascii="幼圆" w:eastAsia="幼圆" w:hAnsi="幼圆" w:cs="幼圆" w:hint="eastAsia"/>
            <w:b/>
          </w:rPr>
          <w:t>公司应收账款管理现状及分析</w:t>
        </w:r>
        <w:r>
          <w:rPr>
            <w:b/>
          </w:rPr>
          <w:tab/>
        </w:r>
        <w:r>
          <w:rPr>
            <w:b/>
          </w:rPr>
          <w:fldChar w:fldCharType="begin"/>
        </w:r>
        <w:r>
          <w:rPr>
            <w:b/>
          </w:rPr>
          <w:instrText xml:space="preserve"> PAGEREF _Toc2652 \h </w:instrText>
        </w:r>
        <w:r>
          <w:rPr>
            <w:b/>
          </w:rPr>
          <w:fldChar w:fldCharType="separate"/>
        </w:r>
        <w:r>
          <w:rPr>
            <w:b/>
          </w:rPr>
          <w:t>5</w:t>
        </w:r>
        <w:r>
          <w:rPr>
            <w:b/>
          </w:rPr>
          <w:fldChar w:fldCharType="end"/>
        </w:r>
      </w:hyperlink>
    </w:p>
    <w:p>
      <w:pPr>
        <w:pStyle w:val="WPSOffice2"/>
        <w:tabs>
          <w:tab w:val="right" w:leader="dot" w:pos="8306"/>
        </w:tabs>
      </w:pPr>
      <w:hyperlink w:anchor="_Toc10909" w:history="1">
        <w:r>
          <w:rPr>
            <w:rFonts w:ascii="幼圆" w:eastAsia="幼圆" w:hAnsi="幼圆" w:cs="幼圆" w:hint="eastAsia"/>
          </w:rPr>
          <w:t>（一）</w:t>
        </w:r>
        <w:r>
          <w:rPr>
            <w:rFonts w:ascii="幼圆" w:eastAsia="幼圆" w:hAnsi="幼圆" w:cs="幼圆" w:hint="eastAsia"/>
            <w:lang w:eastAsia="zh-CN"/>
          </w:rPr>
          <w:t>海信智能家居</w:t>
        </w:r>
        <w:r>
          <w:rPr>
            <w:rFonts w:ascii="幼圆" w:eastAsia="幼圆" w:hAnsi="幼圆" w:cs="幼圆" w:hint="eastAsia"/>
          </w:rPr>
          <w:t>公司概况</w:t>
        </w:r>
        <w:r>
          <w:tab/>
        </w:r>
        <w:r>
          <w:fldChar w:fldCharType="begin"/>
        </w:r>
        <w:r>
          <w:instrText xml:space="preserve"> PAGEREF _Toc10909 \h </w:instrText>
        </w:r>
        <w:r>
          <w:fldChar w:fldCharType="separate"/>
        </w:r>
        <w:r>
          <w:t>5</w:t>
        </w:r>
        <w:r>
          <w:fldChar w:fldCharType="end"/>
        </w:r>
      </w:hyperlink>
    </w:p>
    <w:p>
      <w:pPr>
        <w:pStyle w:val="WPSOffice2"/>
        <w:tabs>
          <w:tab w:val="right" w:leader="dot" w:pos="8306"/>
        </w:tabs>
      </w:pPr>
      <w:hyperlink w:anchor="_Toc22526" w:history="1">
        <w:r>
          <w:rPr>
            <w:rFonts w:ascii="幼圆" w:eastAsia="幼圆" w:hAnsi="幼圆" w:cs="幼圆" w:hint="eastAsia"/>
          </w:rPr>
          <w:t>（二）</w:t>
        </w:r>
        <w:r>
          <w:rPr>
            <w:rFonts w:ascii="幼圆" w:eastAsia="幼圆" w:hAnsi="幼圆" w:cs="幼圆" w:hint="eastAsia"/>
            <w:lang w:eastAsia="zh-CN"/>
          </w:rPr>
          <w:t>海信智能家居</w:t>
        </w:r>
        <w:r>
          <w:rPr>
            <w:rFonts w:ascii="幼圆" w:eastAsia="幼圆" w:hAnsi="幼圆" w:cs="幼圆" w:hint="eastAsia"/>
          </w:rPr>
          <w:t>公司应收账款管理及相关财务指标分析</w:t>
        </w:r>
        <w:r>
          <w:tab/>
        </w:r>
        <w:r>
          <w:fldChar w:fldCharType="begin"/>
        </w:r>
        <w:r>
          <w:instrText xml:space="preserve"> PAGEREF _Toc22526 \h </w:instrText>
        </w:r>
        <w:r>
          <w:fldChar w:fldCharType="separate"/>
        </w:r>
        <w:r>
          <w:t>6</w:t>
        </w:r>
        <w:r>
          <w:fldChar w:fldCharType="end"/>
        </w:r>
      </w:hyperlink>
    </w:p>
    <w:p>
      <w:pPr>
        <w:pStyle w:val="WPSOffice1"/>
        <w:tabs>
          <w:tab w:val="right" w:leader="dot" w:pos="8306"/>
        </w:tabs>
        <w:rPr>
          <w:b/>
        </w:rPr>
      </w:pPr>
      <w:hyperlink w:anchor="_Toc14366" w:history="1">
        <w:r>
          <w:rPr>
            <w:rFonts w:ascii="幼圆" w:eastAsia="幼圆" w:hAnsi="幼圆" w:cs="幼圆" w:hint="eastAsia"/>
            <w:b/>
          </w:rPr>
          <w:t>三、</w:t>
        </w:r>
        <w:r>
          <w:rPr>
            <w:rFonts w:ascii="幼圆" w:eastAsia="幼圆" w:hAnsi="幼圆" w:cs="幼圆" w:hint="eastAsia"/>
            <w:b/>
            <w:lang w:eastAsia="zh-CN"/>
          </w:rPr>
          <w:t>海信智能家居</w:t>
        </w:r>
        <w:r>
          <w:rPr>
            <w:rFonts w:ascii="幼圆" w:eastAsia="幼圆" w:hAnsi="幼圆" w:cs="幼圆" w:hint="eastAsia"/>
            <w:b/>
          </w:rPr>
          <w:t>公司应收账款管理存在的问题</w:t>
        </w:r>
        <w:r>
          <w:rPr>
            <w:b/>
          </w:rPr>
          <w:tab/>
        </w:r>
        <w:r>
          <w:rPr>
            <w:b/>
          </w:rPr>
          <w:fldChar w:fldCharType="begin"/>
        </w:r>
        <w:r>
          <w:rPr>
            <w:b/>
          </w:rPr>
          <w:instrText xml:space="preserve"> PAGEREF _Toc14366 \h </w:instrText>
        </w:r>
        <w:r>
          <w:rPr>
            <w:b/>
          </w:rPr>
          <w:fldChar w:fldCharType="separate"/>
        </w:r>
        <w:r>
          <w:rPr>
            <w:b/>
          </w:rPr>
          <w:t>12</w:t>
        </w:r>
        <w:r>
          <w:rPr>
            <w:b/>
          </w:rPr>
          <w:fldChar w:fldCharType="end"/>
        </w:r>
      </w:hyperlink>
    </w:p>
    <w:p>
      <w:pPr>
        <w:pStyle w:val="WPSOffice2"/>
        <w:tabs>
          <w:tab w:val="right" w:leader="dot" w:pos="8306"/>
        </w:tabs>
      </w:pPr>
      <w:hyperlink w:anchor="_Toc26345" w:history="1">
        <w:r>
          <w:rPr>
            <w:rFonts w:ascii="幼圆" w:eastAsia="幼圆" w:hAnsi="幼圆" w:cs="幼圆" w:hint="eastAsia"/>
          </w:rPr>
          <w:t>（一 ）事前防范存在的问题</w:t>
        </w:r>
        <w:r>
          <w:tab/>
        </w:r>
        <w:r>
          <w:fldChar w:fldCharType="begin"/>
        </w:r>
        <w:r>
          <w:instrText xml:space="preserve"> PAGEREF _Toc26345 \h </w:instrText>
        </w:r>
        <w:r>
          <w:fldChar w:fldCharType="separate"/>
        </w:r>
        <w:r>
          <w:t>12</w:t>
        </w:r>
        <w:r>
          <w:fldChar w:fldCharType="end"/>
        </w:r>
      </w:hyperlink>
    </w:p>
    <w:p>
      <w:pPr>
        <w:pStyle w:val="WPSOffice2"/>
        <w:tabs>
          <w:tab w:val="right" w:leader="dot" w:pos="8306"/>
        </w:tabs>
      </w:pPr>
      <w:hyperlink w:anchor="_Toc5427" w:history="1">
        <w:r>
          <w:rPr>
            <w:rFonts w:ascii="幼圆" w:eastAsia="幼圆" w:hAnsi="幼圆" w:cs="幼圆" w:hint="eastAsia"/>
          </w:rPr>
          <w:t>（二）事中管理存在的问题</w:t>
        </w:r>
        <w:r>
          <w:tab/>
        </w:r>
        <w:r>
          <w:fldChar w:fldCharType="begin"/>
        </w:r>
        <w:r>
          <w:instrText xml:space="preserve"> PAGEREF _Toc5427 \h </w:instrText>
        </w:r>
        <w:r>
          <w:fldChar w:fldCharType="separate"/>
        </w:r>
        <w:r>
          <w:t>13</w:t>
        </w:r>
        <w:r>
          <w:fldChar w:fldCharType="end"/>
        </w:r>
      </w:hyperlink>
    </w:p>
    <w:p>
      <w:pPr>
        <w:pStyle w:val="WPSOffice2"/>
        <w:tabs>
          <w:tab w:val="right" w:leader="dot" w:pos="8306"/>
        </w:tabs>
      </w:pPr>
      <w:hyperlink w:anchor="_Toc8644" w:history="1">
        <w:r>
          <w:rPr>
            <w:rFonts w:ascii="幼圆" w:eastAsia="幼圆" w:hAnsi="幼圆" w:cs="幼圆" w:hint="eastAsia"/>
          </w:rPr>
          <w:t>（三）事后控制存在的问题</w:t>
        </w:r>
        <w:r>
          <w:tab/>
        </w:r>
        <w:r>
          <w:fldChar w:fldCharType="begin"/>
        </w:r>
        <w:r>
          <w:instrText xml:space="preserve"> PAGEREF _Toc8644 \h </w:instrText>
        </w:r>
        <w:r>
          <w:fldChar w:fldCharType="separate"/>
        </w:r>
        <w:r>
          <w:t>13</w:t>
        </w:r>
        <w:r>
          <w:fldChar w:fldCharType="end"/>
        </w:r>
      </w:hyperlink>
    </w:p>
    <w:p>
      <w:pPr>
        <w:pStyle w:val="WPSOffice1"/>
        <w:tabs>
          <w:tab w:val="right" w:leader="dot" w:pos="8306"/>
        </w:tabs>
        <w:rPr>
          <w:b/>
        </w:rPr>
      </w:pPr>
      <w:hyperlink w:anchor="_Toc8053" w:history="1">
        <w:r>
          <w:rPr>
            <w:rFonts w:ascii="幼圆" w:eastAsia="幼圆" w:hAnsi="幼圆" w:cs="幼圆" w:hint="eastAsia"/>
            <w:b/>
          </w:rPr>
          <w:t>四、</w:t>
        </w:r>
        <w:r>
          <w:rPr>
            <w:rFonts w:ascii="幼圆" w:eastAsia="幼圆" w:hAnsi="幼圆" w:cs="幼圆" w:hint="eastAsia"/>
            <w:b/>
            <w:lang w:eastAsia="zh-CN"/>
          </w:rPr>
          <w:t>海信智能家居</w:t>
        </w:r>
        <w:r>
          <w:rPr>
            <w:rFonts w:ascii="幼圆" w:eastAsia="幼圆" w:hAnsi="幼圆" w:cs="幼圆" w:hint="eastAsia"/>
            <w:b/>
          </w:rPr>
          <w:t>公司应收账款管理存在问题的原因</w:t>
        </w:r>
        <w:r>
          <w:rPr>
            <w:b/>
          </w:rPr>
          <w:tab/>
        </w:r>
        <w:r>
          <w:rPr>
            <w:b/>
          </w:rPr>
          <w:fldChar w:fldCharType="begin"/>
        </w:r>
        <w:r>
          <w:rPr>
            <w:b/>
          </w:rPr>
          <w:instrText xml:space="preserve"> PAGEREF _Toc8053 \h </w:instrText>
        </w:r>
        <w:r>
          <w:rPr>
            <w:b/>
          </w:rPr>
          <w:fldChar w:fldCharType="separate"/>
        </w:r>
        <w:r>
          <w:rPr>
            <w:b/>
          </w:rPr>
          <w:t>14</w:t>
        </w:r>
        <w:r>
          <w:rPr>
            <w:b/>
          </w:rPr>
          <w:fldChar w:fldCharType="end"/>
        </w:r>
      </w:hyperlink>
    </w:p>
    <w:p>
      <w:pPr>
        <w:pStyle w:val="WPSOffice2"/>
        <w:tabs>
          <w:tab w:val="right" w:leader="dot" w:pos="8306"/>
        </w:tabs>
      </w:pPr>
      <w:hyperlink w:anchor="_Toc16167" w:history="1">
        <w:r>
          <w:rPr>
            <w:rFonts w:ascii="幼圆" w:eastAsia="幼圆" w:hAnsi="幼圆" w:cs="幼圆" w:hint="eastAsia"/>
          </w:rPr>
          <w:t>（一）应收账款事前防范存在问题的原因</w:t>
        </w:r>
        <w:r>
          <w:tab/>
        </w:r>
        <w:r>
          <w:fldChar w:fldCharType="begin"/>
        </w:r>
        <w:r>
          <w:instrText xml:space="preserve"> PAGEREF _Toc16167 \h </w:instrText>
        </w:r>
        <w:r>
          <w:fldChar w:fldCharType="separate"/>
        </w:r>
        <w:r>
          <w:t>14</w:t>
        </w:r>
        <w:r>
          <w:fldChar w:fldCharType="end"/>
        </w:r>
      </w:hyperlink>
    </w:p>
    <w:p>
      <w:pPr>
        <w:pStyle w:val="WPSOffice2"/>
        <w:tabs>
          <w:tab w:val="right" w:leader="dot" w:pos="8306"/>
        </w:tabs>
      </w:pPr>
      <w:hyperlink w:anchor="_Toc19699" w:history="1">
        <w:r>
          <w:rPr>
            <w:rFonts w:ascii="幼圆" w:eastAsia="幼圆" w:hAnsi="幼圆" w:cs="幼圆" w:hint="eastAsia"/>
          </w:rPr>
          <w:t>（二）应收账款事中管理存在问题的原因</w:t>
        </w:r>
        <w:r>
          <w:tab/>
        </w:r>
        <w:r>
          <w:fldChar w:fldCharType="begin"/>
        </w:r>
        <w:r>
          <w:instrText xml:space="preserve"> PAGEREF _Toc19699 \h </w:instrText>
        </w:r>
        <w:r>
          <w:fldChar w:fldCharType="separate"/>
        </w:r>
        <w:r>
          <w:t>14</w:t>
        </w:r>
        <w:r>
          <w:fldChar w:fldCharType="end"/>
        </w:r>
      </w:hyperlink>
    </w:p>
    <w:p>
      <w:pPr>
        <w:pStyle w:val="WPSOffice2"/>
        <w:tabs>
          <w:tab w:val="right" w:leader="dot" w:pos="8306"/>
        </w:tabs>
      </w:pPr>
      <w:hyperlink w:anchor="_Toc30549" w:history="1">
        <w:r>
          <w:rPr>
            <w:rFonts w:ascii="幼圆" w:eastAsia="幼圆" w:hAnsi="幼圆" w:cs="幼圆" w:hint="eastAsia"/>
          </w:rPr>
          <w:t>（三）应收账款事后控制存在问题的原因</w:t>
        </w:r>
        <w:r>
          <w:tab/>
        </w:r>
        <w:r>
          <w:fldChar w:fldCharType="begin"/>
        </w:r>
        <w:r>
          <w:instrText xml:space="preserve"> PAGEREF _Toc30549 \h </w:instrText>
        </w:r>
        <w:r>
          <w:fldChar w:fldCharType="separate"/>
        </w:r>
        <w:r>
          <w:t>15</w:t>
        </w:r>
        <w:r>
          <w:fldChar w:fldCharType="end"/>
        </w:r>
      </w:hyperlink>
    </w:p>
    <w:p>
      <w:pPr>
        <w:pStyle w:val="WPSOffice1"/>
        <w:tabs>
          <w:tab w:val="right" w:leader="dot" w:pos="8306"/>
        </w:tabs>
        <w:rPr>
          <w:b/>
        </w:rPr>
      </w:pPr>
      <w:hyperlink w:anchor="_Toc28049" w:history="1">
        <w:r>
          <w:rPr>
            <w:rFonts w:ascii="幼圆" w:eastAsia="幼圆" w:hAnsi="幼圆" w:cs="幼圆" w:hint="eastAsia"/>
            <w:b/>
          </w:rPr>
          <w:t>五、完善</w:t>
        </w:r>
        <w:r>
          <w:rPr>
            <w:rFonts w:ascii="幼圆" w:eastAsia="幼圆" w:hAnsi="幼圆" w:cs="幼圆" w:hint="eastAsia"/>
            <w:b/>
            <w:lang w:eastAsia="zh-CN"/>
          </w:rPr>
          <w:t>海信智能家居</w:t>
        </w:r>
        <w:r>
          <w:rPr>
            <w:rFonts w:ascii="幼圆" w:eastAsia="幼圆" w:hAnsi="幼圆" w:cs="幼圆" w:hint="eastAsia"/>
            <w:b/>
          </w:rPr>
          <w:t>公司应收账款管理的设计方案</w:t>
        </w:r>
        <w:r>
          <w:rPr>
            <w:b/>
          </w:rPr>
          <w:tab/>
        </w:r>
        <w:r>
          <w:rPr>
            <w:b/>
          </w:rPr>
          <w:fldChar w:fldCharType="begin"/>
        </w:r>
        <w:r>
          <w:rPr>
            <w:b/>
          </w:rPr>
          <w:instrText xml:space="preserve"> PAGEREF _Toc28049 \h </w:instrText>
        </w:r>
        <w:r>
          <w:rPr>
            <w:b/>
          </w:rPr>
          <w:fldChar w:fldCharType="separate"/>
        </w:r>
        <w:r>
          <w:rPr>
            <w:b/>
          </w:rPr>
          <w:t>15</w:t>
        </w:r>
        <w:r>
          <w:rPr>
            <w:b/>
          </w:rPr>
          <w:fldChar w:fldCharType="end"/>
        </w:r>
      </w:hyperlink>
    </w:p>
    <w:p>
      <w:pPr>
        <w:pStyle w:val="WPSOffice2"/>
        <w:tabs>
          <w:tab w:val="right" w:leader="dot" w:pos="8306"/>
        </w:tabs>
      </w:pPr>
      <w:hyperlink w:anchor="_Toc6308" w:history="1">
        <w:r>
          <w:rPr>
            <w:rFonts w:ascii="幼圆" w:eastAsia="幼圆" w:hAnsi="幼圆" w:cs="幼圆" w:hint="eastAsia"/>
          </w:rPr>
          <w:t>（一）应收账款事前管理</w:t>
        </w:r>
        <w:r>
          <w:tab/>
        </w:r>
        <w:r>
          <w:fldChar w:fldCharType="begin"/>
        </w:r>
        <w:r>
          <w:instrText xml:space="preserve"> PAGEREF _Toc6308 \h </w:instrText>
        </w:r>
        <w:r>
          <w:fldChar w:fldCharType="separate"/>
        </w:r>
        <w:r>
          <w:t>15</w:t>
        </w:r>
        <w:r>
          <w:fldChar w:fldCharType="end"/>
        </w:r>
      </w:hyperlink>
    </w:p>
    <w:p>
      <w:pPr>
        <w:pStyle w:val="WPSOffice2"/>
        <w:tabs>
          <w:tab w:val="right" w:leader="dot" w:pos="8306"/>
        </w:tabs>
      </w:pPr>
      <w:hyperlink w:anchor="_Toc25668" w:history="1">
        <w:r>
          <w:rPr>
            <w:rFonts w:ascii="幼圆" w:eastAsia="幼圆" w:hAnsi="幼圆" w:cs="幼圆" w:hint="eastAsia"/>
          </w:rPr>
          <w:t>（二）应收账款事中管理</w:t>
        </w:r>
        <w:r>
          <w:tab/>
        </w:r>
        <w:r>
          <w:fldChar w:fldCharType="begin"/>
        </w:r>
        <w:r>
          <w:instrText xml:space="preserve"> PAGEREF _Toc25668 \h </w:instrText>
        </w:r>
        <w:r>
          <w:fldChar w:fldCharType="separate"/>
        </w:r>
        <w:r>
          <w:t>17</w:t>
        </w:r>
        <w:r>
          <w:fldChar w:fldCharType="end"/>
        </w:r>
      </w:hyperlink>
    </w:p>
    <w:p>
      <w:pPr>
        <w:pStyle w:val="WPSOffice2"/>
        <w:tabs>
          <w:tab w:val="right" w:leader="dot" w:pos="8306"/>
        </w:tabs>
      </w:pPr>
      <w:hyperlink w:anchor="_Toc30794" w:history="1">
        <w:r>
          <w:rPr>
            <w:rFonts w:ascii="幼圆" w:eastAsia="幼圆" w:hAnsi="幼圆" w:cs="幼圆" w:hint="eastAsia"/>
          </w:rPr>
          <w:t>（三）应收账款事后管理</w:t>
        </w:r>
        <w:r>
          <w:tab/>
        </w:r>
        <w:r>
          <w:fldChar w:fldCharType="begin"/>
        </w:r>
        <w:r>
          <w:instrText xml:space="preserve"> PAGEREF _Toc30794 \h </w:instrText>
        </w:r>
        <w:r>
          <w:fldChar w:fldCharType="separate"/>
        </w:r>
        <w:r>
          <w:t>18</w:t>
        </w:r>
        <w:r>
          <w:fldChar w:fldCharType="end"/>
        </w:r>
      </w:hyperlink>
    </w:p>
    <w:p>
      <w:pPr>
        <w:pStyle w:val="WPSOffice1"/>
        <w:tabs>
          <w:tab w:val="right" w:leader="dot" w:pos="8306"/>
        </w:tabs>
        <w:rPr>
          <w:b/>
        </w:rPr>
      </w:pPr>
      <w:hyperlink w:anchor="_Toc32567" w:history="1">
        <w:r>
          <w:rPr>
            <w:rFonts w:ascii="幼圆" w:eastAsia="幼圆" w:hAnsi="幼圆" w:cs="幼圆" w:hint="eastAsia"/>
            <w:b/>
          </w:rPr>
          <w:t>六、结论</w:t>
        </w:r>
        <w:r>
          <w:rPr>
            <w:b/>
          </w:rPr>
          <w:tab/>
        </w:r>
        <w:r>
          <w:rPr>
            <w:b/>
          </w:rPr>
          <w:fldChar w:fldCharType="begin"/>
        </w:r>
        <w:r>
          <w:rPr>
            <w:b/>
          </w:rPr>
          <w:instrText xml:space="preserve"> PAGEREF _Toc32567 \h </w:instrText>
        </w:r>
        <w:r>
          <w:rPr>
            <w:b/>
          </w:rPr>
          <w:fldChar w:fldCharType="separate"/>
        </w:r>
        <w:r>
          <w:rPr>
            <w:b/>
          </w:rPr>
          <w:t>21</w:t>
        </w:r>
        <w:r>
          <w:rPr>
            <w:b/>
          </w:rPr>
          <w:fldChar w:fldCharType="end"/>
        </w:r>
      </w:hyperlink>
    </w:p>
    <w:p>
      <w:pPr>
        <w:pStyle w:val="WPSOffice1"/>
        <w:tabs>
          <w:tab w:val="right" w:leader="dot" w:pos="8306"/>
        </w:tabs>
        <w:rPr>
          <w:b/>
        </w:rPr>
      </w:pPr>
      <w:hyperlink w:anchor="_Toc27238" w:history="1">
        <w:r>
          <w:rPr>
            <w:rFonts w:ascii="幼圆" w:eastAsia="幼圆" w:hAnsi="幼圆" w:cs="幼圆" w:hint="eastAsia"/>
            <w:b/>
          </w:rPr>
          <w:t>参考文献</w:t>
        </w:r>
        <w:r>
          <w:rPr>
            <w:b/>
          </w:rPr>
          <w:tab/>
        </w:r>
        <w:r>
          <w:rPr>
            <w:b/>
          </w:rPr>
          <w:fldChar w:fldCharType="begin"/>
        </w:r>
        <w:r>
          <w:rPr>
            <w:b/>
          </w:rPr>
          <w:instrText xml:space="preserve"> PAGEREF _Toc27238 \h </w:instrText>
        </w:r>
        <w:r>
          <w:rPr>
            <w:b/>
          </w:rPr>
          <w:fldChar w:fldCharType="separate"/>
        </w:r>
        <w:r>
          <w:rPr>
            <w:b/>
          </w:rPr>
          <w:t>21</w:t>
        </w:r>
        <w:r>
          <w:rPr>
            <w:b/>
          </w:rPr>
          <w:fldChar w:fldCharType="end"/>
        </w:r>
      </w:hyperlink>
    </w:p>
    <w:p>
      <w:pPr>
        <w:spacing w:line="360" w:lineRule="auto"/>
        <w:jc w:val="center"/>
        <w:rPr>
          <w:rFonts w:ascii="幼圆" w:eastAsia="幼圆" w:hAnsi="幼圆" w:cs="幼圆" w:hint="eastAsia"/>
          <w:b/>
          <w:bCs/>
          <w:sz w:val="36"/>
          <w:szCs w:val="21"/>
        </w:rPr>
      </w:pPr>
      <w:r>
        <w:rPr>
          <w:rFonts w:ascii="幼圆" w:eastAsia="幼圆" w:hAnsi="幼圆" w:cs="幼圆" w:hint="eastAsia"/>
          <w:b/>
          <w:bCs/>
          <w:szCs w:val="21"/>
        </w:rPr>
        <w:fldChar w:fldCharType="end"/>
      </w:r>
    </w:p>
    <w:p>
      <w:pPr>
        <w:pStyle w:val="Heading1"/>
        <w:ind w:firstLine="663"/>
        <w:rPr>
          <w:rFonts w:ascii="幼圆" w:eastAsia="幼圆" w:hAnsi="幼圆" w:cs="幼圆" w:hint="eastAsia"/>
        </w:rPr>
      </w:pPr>
      <w:bookmarkStart w:id="1" w:name="_Toc70953200"/>
      <w:bookmarkStart w:id="2" w:name="_Toc24395"/>
      <w:r>
        <w:rPr>
          <w:rFonts w:ascii="幼圆" w:eastAsia="幼圆" w:hAnsi="幼圆" w:cs="幼圆" w:hint="eastAsia"/>
        </w:rPr>
        <w:t>一、应收账款管理相关理论</w:t>
      </w:r>
      <w:bookmarkEnd w:id="1"/>
      <w:bookmarkEnd w:id="2"/>
    </w:p>
    <w:p>
      <w:pPr>
        <w:pStyle w:val="Heading2"/>
        <w:ind w:firstLine="602"/>
        <w:rPr>
          <w:rFonts w:ascii="幼圆" w:eastAsia="幼圆" w:hAnsi="幼圆" w:cs="幼圆" w:hint="eastAsia"/>
        </w:rPr>
      </w:pPr>
      <w:bookmarkStart w:id="3" w:name="_Toc7655"/>
      <w:bookmarkStart w:id="4" w:name="_Toc70953201"/>
      <w:r>
        <w:rPr>
          <w:rFonts w:ascii="幼圆" w:eastAsia="幼圆" w:hAnsi="幼圆" w:cs="幼圆" w:hint="eastAsia"/>
        </w:rPr>
        <w:t>（一）应收账款管理概述</w:t>
      </w:r>
      <w:bookmarkEnd w:id="3"/>
      <w:bookmarkEnd w:id="4"/>
    </w:p>
    <w:p>
      <w:pPr>
        <w:pStyle w:val="Heading3"/>
        <w:ind w:firstLine="582"/>
        <w:rPr>
          <w:rFonts w:ascii="幼圆" w:eastAsia="幼圆" w:hAnsi="幼圆" w:cs="幼圆" w:hint="eastAsia"/>
        </w:rPr>
      </w:pPr>
      <w:bookmarkStart w:id="5" w:name="_Toc70953202"/>
      <w:r>
        <w:rPr>
          <w:rFonts w:ascii="幼圆" w:eastAsia="幼圆" w:hAnsi="幼圆" w:cs="幼圆" w:hint="eastAsia"/>
        </w:rPr>
        <w:t>1.应收账款的内涵</w:t>
      </w:r>
      <w:bookmarkEnd w:id="5"/>
    </w:p>
    <w:p>
      <w:pPr>
        <w:spacing w:line="600" w:lineRule="exact"/>
        <w:ind w:firstLine="560" w:firstLineChars="200"/>
        <w:rPr>
          <w:rFonts w:ascii="幼圆" w:eastAsia="幼圆" w:hAnsi="幼圆" w:cs="幼圆" w:hint="eastAsia"/>
          <w:sz w:val="28"/>
        </w:rPr>
      </w:pPr>
      <w:r>
        <w:rPr>
          <w:rFonts w:ascii="幼圆" w:eastAsia="幼圆" w:hAnsi="幼圆" w:cs="幼圆" w:hint="eastAsia"/>
          <w:sz w:val="28"/>
        </w:rPr>
        <w:t>应收账款是指企业与客户公司在形成合作关系后，向客户公司提供产品与服务等而应该收取的账款，是公司的一项债权活动</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李明宇 ,张艺馨,2022</w:t>
      </w:r>
      <w:r>
        <w:rPr>
          <w:rFonts w:ascii="幼圆" w:eastAsia="幼圆" w:hAnsi="幼圆" w:cs="幼圆" w:hint="eastAsia"/>
          <w:b w:val="0"/>
          <w:bCs/>
          <w:color w:val="000000"/>
          <w:sz w:val="28"/>
          <w:szCs w:val="28"/>
          <w:lang w:eastAsia="zh-CN"/>
        </w:rPr>
        <w:t>）</w:t>
      </w:r>
      <w:r>
        <w:rPr>
          <w:rFonts w:ascii="幼圆" w:eastAsia="幼圆" w:hAnsi="幼圆" w:cs="幼圆" w:hint="eastAsia"/>
          <w:sz w:val="28"/>
        </w:rPr>
        <w:t>。</w:t>
      </w:r>
    </w:p>
    <w:p>
      <w:pPr>
        <w:spacing w:line="600" w:lineRule="exact"/>
        <w:ind w:firstLine="560" w:firstLineChars="200"/>
        <w:rPr>
          <w:rFonts w:ascii="幼圆" w:eastAsia="幼圆" w:hAnsi="幼圆" w:cs="幼圆" w:hint="eastAsia"/>
          <w:sz w:val="28"/>
        </w:rPr>
        <w:sectPr>
          <w:footerReference w:type="default" r:id="rId4"/>
          <w:pgSz w:w="11906" w:h="16838"/>
          <w:pgMar w:top="1440" w:right="1800" w:bottom="1440" w:left="1800" w:header="851" w:footer="992" w:gutter="0"/>
          <w:pgNumType w:start="1"/>
          <w:cols w:space="708"/>
          <w:docGrid w:type="lines" w:linePitch="312" w:charSpace="0"/>
        </w:sectPr>
      </w:pPr>
    </w:p>
    <w:p>
      <w:pPr>
        <w:spacing w:line="600" w:lineRule="exact"/>
        <w:ind w:firstLine="560" w:firstLineChars="200"/>
        <w:rPr>
          <w:rFonts w:ascii="幼圆" w:eastAsia="幼圆" w:hAnsi="幼圆" w:cs="幼圆" w:hint="eastAsia"/>
          <w:sz w:val="28"/>
        </w:rPr>
      </w:pPr>
      <w:r>
        <w:rPr>
          <w:rFonts w:ascii="幼圆" w:eastAsia="幼圆" w:hAnsi="幼圆" w:cs="幼圆" w:hint="eastAsia"/>
          <w:sz w:val="28"/>
        </w:rPr>
        <w:t>应收账款管理是指企业对与客户所发生的应收账款业务，从合同成立开始到收到款项或作为损失确认为坏账结束，进行的全程管理行为。在这一过程中，企业运用与应收账款回收有关的全部措施或方式，确保应收账款能在合同规定的时间内收回</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王思聪, 赵天,2021</w:t>
      </w:r>
      <w:r>
        <w:rPr>
          <w:rFonts w:ascii="幼圆" w:eastAsia="幼圆" w:hAnsi="幼圆" w:cs="幼圆" w:hint="eastAsia"/>
          <w:b w:val="0"/>
          <w:bCs/>
          <w:color w:val="000000"/>
          <w:sz w:val="28"/>
          <w:szCs w:val="28"/>
          <w:lang w:eastAsia="zh-CN"/>
        </w:rPr>
        <w:t>）</w:t>
      </w:r>
      <w:r>
        <w:rPr>
          <w:rFonts w:ascii="幼圆" w:eastAsia="幼圆" w:hAnsi="幼圆" w:cs="幼圆" w:hint="eastAsia"/>
          <w:sz w:val="28"/>
        </w:rPr>
        <w:t>。</w:t>
      </w:r>
    </w:p>
    <w:p>
      <w:pPr>
        <w:pStyle w:val="Heading3"/>
        <w:ind w:firstLine="582"/>
        <w:rPr>
          <w:rFonts w:ascii="幼圆" w:eastAsia="幼圆" w:hAnsi="幼圆" w:cs="幼圆" w:hint="eastAsia"/>
        </w:rPr>
      </w:pPr>
      <w:bookmarkStart w:id="6" w:name="_Toc70953203"/>
      <w:r>
        <w:rPr>
          <w:rFonts w:ascii="幼圆" w:eastAsia="幼圆" w:hAnsi="幼圆" w:cs="幼圆" w:hint="eastAsia"/>
        </w:rPr>
        <w:t>2.企业应收账款管理内容</w:t>
      </w:r>
      <w:bookmarkEnd w:id="6"/>
    </w:p>
    <w:p>
      <w:pPr>
        <w:spacing w:line="600" w:lineRule="exact"/>
        <w:ind w:firstLine="420" w:firstLineChars="200"/>
        <w:rPr>
          <w:rFonts w:ascii="幼圆" w:eastAsia="幼圆" w:hAnsi="幼圆" w:cs="幼圆" w:hint="eastAsia"/>
          <w:sz w:val="28"/>
          <w:szCs w:val="28"/>
        </w:rPr>
      </w:pPr>
      <w:r>
        <w:rPr>
          <w:rFonts w:ascii="幼圆" w:eastAsia="幼圆" w:hAnsi="幼圆" w:cs="幼圆" w:hint="eastAsia"/>
        </w:rPr>
        <w:t xml:space="preserve"> </w:t>
      </w:r>
      <w:r>
        <w:rPr>
          <w:rFonts w:ascii="幼圆" w:eastAsia="幼圆" w:hAnsi="幼圆" w:cs="幼圆" w:hint="eastAsia"/>
          <w:sz w:val="28"/>
          <w:szCs w:val="28"/>
        </w:rPr>
        <w:t>应收账款管理是一项通过多个部门且接触多项业务的全程管理行为，不止在一个部门或一项业务</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钱晓晨,孙梦琪,周欣怡,2023</w:t>
      </w:r>
      <w:r>
        <w:rPr>
          <w:rFonts w:ascii="幼圆" w:eastAsia="幼圆" w:hAnsi="幼圆" w:cs="幼圆" w:hint="eastAsia"/>
          <w:b w:val="0"/>
          <w:bCs/>
          <w:color w:val="000000"/>
          <w:sz w:val="28"/>
          <w:szCs w:val="28"/>
          <w:lang w:eastAsia="zh-CN"/>
        </w:rPr>
        <w:t>）</w:t>
      </w:r>
      <w:r>
        <w:rPr>
          <w:rFonts w:ascii="幼圆" w:eastAsia="幼圆" w:hAnsi="幼圆" w:cs="幼圆" w:hint="eastAsia"/>
          <w:sz w:val="28"/>
          <w:szCs w:val="28"/>
        </w:rPr>
        <w:t>。企业根据与客户公司合同的业务流程，可将应收账款管理的内容按照不同阶段划分。</w:t>
      </w:r>
    </w:p>
    <w:p>
      <w:pPr>
        <w:spacing w:line="600" w:lineRule="exact"/>
        <w:ind w:firstLine="560" w:firstLineChars="200"/>
        <w:rPr>
          <w:rFonts w:ascii="幼圆" w:eastAsia="幼圆" w:hAnsi="幼圆" w:cs="幼圆" w:hint="eastAsia"/>
          <w:sz w:val="28"/>
          <w:szCs w:val="28"/>
        </w:rPr>
      </w:pPr>
      <w:r>
        <w:rPr>
          <w:rFonts w:ascii="幼圆" w:eastAsia="幼圆" w:hAnsi="幼圆" w:cs="幼圆" w:hint="eastAsia"/>
          <w:sz w:val="28"/>
          <w:szCs w:val="28"/>
        </w:rPr>
        <w:t>应收账款管理具体内容包括：</w:t>
      </w:r>
    </w:p>
    <w:p>
      <w:pPr>
        <w:spacing w:line="600" w:lineRule="exact"/>
        <w:ind w:firstLine="560" w:firstLineChars="200"/>
        <w:rPr>
          <w:rFonts w:ascii="幼圆" w:eastAsia="幼圆" w:hAnsi="幼圆" w:cs="幼圆" w:hint="eastAsia"/>
          <w:sz w:val="28"/>
          <w:szCs w:val="28"/>
        </w:rPr>
      </w:pPr>
      <w:r>
        <w:rPr>
          <w:rFonts w:ascii="幼圆" w:eastAsia="幼圆" w:hAnsi="幼圆" w:cs="幼圆" w:hint="eastAsia"/>
          <w:sz w:val="28"/>
          <w:szCs w:val="28"/>
        </w:rPr>
        <w:t>1.应收账款事前信用管理</w:t>
      </w:r>
    </w:p>
    <w:p>
      <w:pPr>
        <w:spacing w:line="600" w:lineRule="exact"/>
        <w:ind w:firstLine="560" w:firstLineChars="200"/>
        <w:rPr>
          <w:rFonts w:ascii="幼圆" w:eastAsia="幼圆" w:hAnsi="幼圆" w:cs="幼圆" w:hint="eastAsia"/>
          <w:sz w:val="28"/>
          <w:szCs w:val="28"/>
        </w:rPr>
      </w:pPr>
      <w:r>
        <w:rPr>
          <w:rFonts w:ascii="幼圆" w:eastAsia="幼圆" w:hAnsi="幼圆" w:cs="幼圆" w:hint="eastAsia"/>
          <w:sz w:val="28"/>
          <w:szCs w:val="28"/>
        </w:rPr>
        <w:t>在赊销业务发生前，先通过市场调研、客户财务报告等了解客户公司的经营状况和信用信息，建立客户信息库，来更好熟悉客户的真实信用情况，高效评析客户信用风险</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吴昊天,郑子轩,冯芷,2022</w:t>
      </w:r>
      <w:r>
        <w:rPr>
          <w:rFonts w:ascii="幼圆" w:eastAsia="幼圆" w:hAnsi="幼圆" w:cs="幼圆" w:hint="eastAsia"/>
          <w:b w:val="0"/>
          <w:bCs/>
          <w:color w:val="000000"/>
          <w:sz w:val="28"/>
          <w:szCs w:val="28"/>
          <w:lang w:eastAsia="zh-CN"/>
        </w:rPr>
        <w:t>）</w:t>
      </w:r>
      <w:r>
        <w:rPr>
          <w:rFonts w:ascii="幼圆" w:eastAsia="幼圆" w:hAnsi="幼圆" w:cs="幼圆" w:hint="eastAsia"/>
          <w:sz w:val="28"/>
          <w:szCs w:val="28"/>
        </w:rPr>
        <w:t>；并根据企业内部的信用评级制度划分客户的信用程度，以订立对应的信用决策。</w:t>
      </w:r>
    </w:p>
    <w:p>
      <w:pPr>
        <w:spacing w:line="600" w:lineRule="exact"/>
        <w:ind w:firstLine="560" w:firstLineChars="200"/>
        <w:rPr>
          <w:rFonts w:ascii="幼圆" w:eastAsia="幼圆" w:hAnsi="幼圆" w:cs="幼圆" w:hint="eastAsia"/>
          <w:sz w:val="28"/>
          <w:szCs w:val="28"/>
        </w:rPr>
      </w:pPr>
      <w:r>
        <w:rPr>
          <w:rFonts w:ascii="幼圆" w:eastAsia="幼圆" w:hAnsi="幼圆" w:cs="幼圆" w:hint="eastAsia"/>
          <w:sz w:val="28"/>
          <w:szCs w:val="28"/>
        </w:rPr>
        <w:t>在进行赊销交易前，先对公司营销项目合同在专门审批机构进行审批，合理避开合同风险，提高赊销条款质量</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陈思源 ,楼文斌, 江雨</w:t>
      </w:r>
      <w:r>
        <w:rPr>
          <w:rFonts w:ascii="幼圆" w:eastAsia="幼圆" w:hAnsi="幼圆" w:cs="幼圆" w:hint="eastAsia"/>
          <w:b w:val="0"/>
          <w:bCs/>
          <w:color w:val="000000"/>
          <w:sz w:val="28"/>
          <w:szCs w:val="28"/>
          <w:lang w:eastAsia="zh-CN"/>
        </w:rPr>
        <w:t>）</w:t>
      </w:r>
      <w:r>
        <w:rPr>
          <w:rFonts w:ascii="幼圆" w:eastAsia="幼圆" w:hAnsi="幼圆" w:cs="幼圆" w:hint="eastAsia"/>
          <w:sz w:val="28"/>
          <w:szCs w:val="28"/>
        </w:rPr>
        <w:t>。</w:t>
      </w:r>
    </w:p>
    <w:p>
      <w:pPr>
        <w:spacing w:line="600" w:lineRule="exact"/>
        <w:ind w:firstLine="560" w:firstLineChars="200"/>
        <w:rPr>
          <w:rFonts w:ascii="幼圆" w:eastAsia="幼圆" w:hAnsi="幼圆" w:cs="幼圆" w:hint="eastAsia"/>
          <w:sz w:val="28"/>
          <w:szCs w:val="28"/>
        </w:rPr>
      </w:pPr>
      <w:r>
        <w:rPr>
          <w:rFonts w:ascii="幼圆" w:eastAsia="幼圆" w:hAnsi="幼圆" w:cs="幼圆" w:hint="eastAsia"/>
          <w:sz w:val="28"/>
          <w:szCs w:val="28"/>
        </w:rPr>
        <w:t>2.应收账款的事中交易管理</w:t>
      </w:r>
    </w:p>
    <w:p>
      <w:pPr>
        <w:spacing w:line="600" w:lineRule="exact"/>
        <w:ind w:firstLine="560" w:firstLineChars="200"/>
        <w:rPr>
          <w:rFonts w:ascii="幼圆" w:eastAsia="幼圆" w:hAnsi="幼圆" w:cs="幼圆" w:hint="eastAsia"/>
          <w:sz w:val="28"/>
          <w:szCs w:val="28"/>
        </w:rPr>
        <w:sectPr>
          <w:footerReference w:type="default" r:id="rId5"/>
          <w:type w:val="nextPage"/>
          <w:pgSz w:w="11906" w:h="16838"/>
          <w:pgMar w:top="1440" w:right="1800" w:bottom="1440" w:left="1800" w:header="851" w:footer="992" w:gutter="0"/>
          <w:pgNumType w:start="2"/>
          <w:cols w:space="708"/>
          <w:titlePg w:val="0"/>
          <w:docGrid w:type="lines" w:linePitch="312" w:charSpace="0"/>
        </w:sectPr>
      </w:pPr>
      <w:r>
        <w:rPr>
          <w:rFonts w:ascii="幼圆" w:eastAsia="幼圆" w:hAnsi="幼圆" w:cs="幼圆" w:hint="eastAsia"/>
          <w:sz w:val="28"/>
          <w:szCs w:val="28"/>
        </w:rPr>
        <w:t>应收账款的事中交易管理也属于应收账款管理的主要程序之一，在公司与客户公司的合同订立后，公司的相关负责人员要对合同进行规范化的整理，将合同内容在公司内部应收账款管理系统进行登记，对应收账款的后期管理工作、收款工作、合同期限的风险管理等有重要作用</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谭梓榆 ,韩冬梅 ,姚嘉,2019</w:t>
      </w:r>
      <w:r>
        <w:rPr>
          <w:rFonts w:ascii="幼圆" w:eastAsia="幼圆" w:hAnsi="幼圆" w:cs="幼圆" w:hint="eastAsia"/>
          <w:b w:val="0"/>
          <w:bCs/>
          <w:color w:val="000000"/>
          <w:sz w:val="28"/>
          <w:szCs w:val="28"/>
          <w:lang w:eastAsia="zh-CN"/>
        </w:rPr>
        <w:t>）</w:t>
      </w:r>
    </w:p>
    <w:p>
      <w:pPr>
        <w:spacing w:line="600" w:lineRule="exact"/>
        <w:ind w:firstLine="560" w:firstLineChars="200"/>
        <w:rPr>
          <w:rFonts w:ascii="幼圆" w:eastAsia="幼圆" w:hAnsi="幼圆" w:cs="幼圆" w:hint="eastAsia"/>
          <w:sz w:val="28"/>
          <w:szCs w:val="28"/>
        </w:rPr>
      </w:pPr>
      <w:r>
        <w:rPr>
          <w:rFonts w:ascii="幼圆" w:eastAsia="幼圆" w:hAnsi="幼圆" w:cs="幼圆" w:hint="eastAsia"/>
          <w:sz w:val="28"/>
          <w:szCs w:val="28"/>
        </w:rPr>
        <w:t>。应收账款管理人员应积极跟踪货款的收回，对金额大且账龄长的应收账款采取重点跟踪和管理，在公司与客户交易过程中，对公司制定的应收账款流程的各个环节，做到分工明确，保证应收账款能在规定的时间内收回</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齐雪峰 ,彭泽</w:t>
      </w:r>
      <w:r>
        <w:rPr>
          <w:rFonts w:ascii="幼圆" w:eastAsia="幼圆" w:hAnsi="幼圆" w:cs="幼圆" w:hint="eastAsia"/>
          <w:b w:val="0"/>
          <w:bCs/>
          <w:color w:val="000000"/>
          <w:sz w:val="28"/>
          <w:szCs w:val="28"/>
          <w:lang w:eastAsia="zh-CN"/>
        </w:rPr>
        <w:t>）</w:t>
      </w:r>
      <w:r>
        <w:rPr>
          <w:rFonts w:ascii="幼圆" w:eastAsia="幼圆" w:hAnsi="幼圆" w:cs="幼圆" w:hint="eastAsia"/>
          <w:sz w:val="28"/>
          <w:szCs w:val="28"/>
        </w:rPr>
        <w:t>。</w:t>
      </w:r>
    </w:p>
    <w:p>
      <w:pPr>
        <w:spacing w:line="600" w:lineRule="exact"/>
        <w:ind w:firstLine="560" w:firstLineChars="200"/>
        <w:rPr>
          <w:rFonts w:ascii="幼圆" w:eastAsia="幼圆" w:hAnsi="幼圆" w:cs="幼圆" w:hint="eastAsia"/>
          <w:sz w:val="28"/>
          <w:szCs w:val="28"/>
        </w:rPr>
      </w:pPr>
      <w:r>
        <w:rPr>
          <w:rFonts w:ascii="幼圆" w:eastAsia="幼圆" w:hAnsi="幼圆" w:cs="幼圆" w:hint="eastAsia"/>
          <w:sz w:val="28"/>
          <w:szCs w:val="28"/>
        </w:rPr>
        <w:t>3.应收账款事后催收管理</w:t>
      </w:r>
    </w:p>
    <w:p>
      <w:pPr>
        <w:spacing w:line="600" w:lineRule="exact"/>
        <w:ind w:firstLine="560" w:firstLineChars="200"/>
        <w:rPr>
          <w:rFonts w:ascii="幼圆" w:eastAsia="幼圆" w:hAnsi="幼圆" w:cs="幼圆" w:hint="eastAsia"/>
          <w:sz w:val="28"/>
          <w:szCs w:val="28"/>
        </w:rPr>
      </w:pPr>
      <w:r>
        <w:rPr>
          <w:rFonts w:ascii="幼圆" w:eastAsia="幼圆" w:hAnsi="幼圆" w:cs="幼圆" w:hint="eastAsia"/>
          <w:sz w:val="28"/>
          <w:szCs w:val="28"/>
        </w:rPr>
        <w:t>应收账款的事后管理，以重视风险意识为基础，建立催收应收账款制度，应收账款负责人员及时对应收账款进行收取。如果客户有余款并有偿还款项意愿的，企业即可收回赊销款。在正常情况下，逾期账款管理的重点在于如何进行管理</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程海蓝,曹星原,袁雅,2022</w:t>
      </w:r>
      <w:r>
        <w:rPr>
          <w:rFonts w:ascii="幼圆" w:eastAsia="幼圆" w:hAnsi="幼圆" w:cs="幼圆" w:hint="eastAsia"/>
          <w:b w:val="0"/>
          <w:bCs/>
          <w:color w:val="000000"/>
          <w:sz w:val="28"/>
          <w:szCs w:val="28"/>
          <w:lang w:eastAsia="zh-CN"/>
        </w:rPr>
        <w:t>）</w:t>
      </w:r>
      <w:r>
        <w:rPr>
          <w:rFonts w:ascii="幼圆" w:eastAsia="幼圆" w:hAnsi="幼圆" w:cs="幼圆" w:hint="eastAsia"/>
          <w:sz w:val="28"/>
          <w:szCs w:val="28"/>
        </w:rPr>
        <w:t>。如果管理方面出现问题，很容易形成呆账，且回收的成本较高，造成损失。对于超过规定期限的应收账款，需要分析其原因，实行不同的应收款回收政策，来加强应收账款管理</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段云天 ,余梓萱,2021</w:t>
      </w:r>
      <w:r>
        <w:rPr>
          <w:rFonts w:ascii="幼圆" w:eastAsia="幼圆" w:hAnsi="幼圆" w:cs="幼圆" w:hint="eastAsia"/>
          <w:b w:val="0"/>
          <w:bCs/>
          <w:color w:val="000000"/>
          <w:sz w:val="28"/>
          <w:szCs w:val="28"/>
          <w:lang w:eastAsia="zh-CN"/>
        </w:rPr>
        <w:t>）</w:t>
      </w:r>
      <w:r>
        <w:rPr>
          <w:rFonts w:ascii="幼圆" w:eastAsia="幼圆" w:hAnsi="幼圆" w:cs="幼圆" w:hint="eastAsia"/>
          <w:sz w:val="28"/>
          <w:szCs w:val="28"/>
        </w:rPr>
        <w:t>。在之前措施未达到理想效果后，采取相关法律措施，维护企业的合法权益。</w:t>
      </w:r>
    </w:p>
    <w:p>
      <w:pPr>
        <w:pStyle w:val="Heading3"/>
        <w:ind w:firstLine="582"/>
        <w:rPr>
          <w:rFonts w:ascii="幼圆" w:eastAsia="幼圆" w:hAnsi="幼圆" w:cs="幼圆" w:hint="eastAsia"/>
        </w:rPr>
      </w:pPr>
      <w:bookmarkStart w:id="7" w:name="_Toc70953204"/>
      <w:r>
        <w:rPr>
          <w:rFonts w:ascii="幼圆" w:eastAsia="幼圆" w:hAnsi="幼圆" w:cs="幼圆" w:hint="eastAsia"/>
        </w:rPr>
        <w:t>3.企业应收账款信用管理</w:t>
      </w:r>
      <w:bookmarkEnd w:id="7"/>
    </w:p>
    <w:p>
      <w:pPr>
        <w:spacing w:line="600" w:lineRule="exact"/>
        <w:ind w:firstLine="560" w:firstLineChars="200"/>
        <w:rPr>
          <w:rFonts w:ascii="幼圆" w:eastAsia="幼圆" w:hAnsi="幼圆" w:cs="幼圆" w:hint="eastAsia"/>
          <w:sz w:val="28"/>
          <w:szCs w:val="28"/>
        </w:rPr>
        <w:sectPr>
          <w:footerReference w:type="default" r:id="rId6"/>
          <w:type w:val="nextPage"/>
          <w:pgSz w:w="11906" w:h="16838"/>
          <w:pgMar w:top="1440" w:right="1800" w:bottom="1440" w:left="1800" w:header="851" w:footer="992" w:gutter="0"/>
          <w:pgNumType w:start="3"/>
          <w:cols w:space="708"/>
          <w:titlePg w:val="0"/>
          <w:docGrid w:type="lines" w:linePitch="312" w:charSpace="0"/>
        </w:sectPr>
      </w:pPr>
      <w:r>
        <w:rPr>
          <w:rFonts w:ascii="幼圆" w:eastAsia="幼圆" w:hAnsi="幼圆" w:cs="幼圆" w:hint="eastAsia"/>
          <w:sz w:val="28"/>
          <w:szCs w:val="28"/>
        </w:rPr>
        <w:t>客户的信用信息管理亦是应收账款管理中的主要流程之一，它的内容主要包括对客户公司所做的信用调查，将客户公司的信用信息与本公司的信用评判标准相对应，分析客户公司的信用等级，并规定客户公司的信用额度，完善客户的信用评估体系等</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叶婉仪 ,马紫,2022</w:t>
      </w:r>
      <w:r>
        <w:rPr>
          <w:rFonts w:ascii="幼圆" w:eastAsia="幼圆" w:hAnsi="幼圆" w:cs="幼圆" w:hint="eastAsia"/>
          <w:b w:val="0"/>
          <w:bCs/>
          <w:color w:val="000000"/>
          <w:sz w:val="28"/>
          <w:szCs w:val="28"/>
          <w:lang w:eastAsia="zh-CN"/>
        </w:rPr>
        <w:t>）</w:t>
      </w:r>
      <w:r>
        <w:rPr>
          <w:rFonts w:ascii="幼圆" w:eastAsia="幼圆" w:hAnsi="幼圆" w:cs="幼圆" w:hint="eastAsia"/>
          <w:sz w:val="28"/>
          <w:szCs w:val="28"/>
        </w:rPr>
        <w:t>。给予信用额度的多少是进行信用管理的重点，不同的信用政策，带给公司的影响也不同，若给予客户公司的信用额度过多，还款时间也充裕，应收账款的规模就会增加，且不好的地方在于其坏账率也会增加</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苏沛然 ,钟瑾萱, 许嘉,2021</w:t>
      </w:r>
      <w:r>
        <w:rPr>
          <w:rFonts w:ascii="幼圆" w:eastAsia="幼圆" w:hAnsi="幼圆" w:cs="幼圆" w:hint="eastAsia"/>
          <w:b w:val="0"/>
          <w:bCs/>
          <w:color w:val="000000"/>
          <w:sz w:val="28"/>
          <w:szCs w:val="28"/>
          <w:lang w:eastAsia="zh-CN"/>
        </w:rPr>
        <w:t>）</w:t>
      </w:r>
    </w:p>
    <w:p>
      <w:pPr>
        <w:spacing w:line="600" w:lineRule="exact"/>
        <w:ind w:firstLine="560" w:firstLineChars="200"/>
        <w:rPr>
          <w:rFonts w:ascii="幼圆" w:eastAsia="幼圆" w:hAnsi="幼圆" w:cs="幼圆" w:hint="eastAsia"/>
          <w:sz w:val="28"/>
          <w:szCs w:val="28"/>
        </w:rPr>
      </w:pPr>
      <w:r>
        <w:rPr>
          <w:rFonts w:ascii="幼圆" w:eastAsia="幼圆" w:hAnsi="幼圆" w:cs="幼圆" w:hint="eastAsia"/>
          <w:sz w:val="28"/>
          <w:szCs w:val="28"/>
        </w:rPr>
        <w:t>；如果给予的信用额度太少，还款时间短，公司与客户公司之间的友好合作关系会因为不信任等问题而受到影响，企业的市场竞争力也会下降。要规定适合的信用额度，就要对企业自身和客户的实际运营情况进行动态跟踪，随时对规定的信用额度做出调整</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何以蓝 ,吕晨曦</w:t>
      </w:r>
      <w:r>
        <w:rPr>
          <w:rFonts w:ascii="幼圆" w:eastAsia="幼圆" w:hAnsi="幼圆" w:cs="幼圆" w:hint="eastAsia"/>
          <w:b w:val="0"/>
          <w:bCs/>
          <w:color w:val="000000"/>
          <w:sz w:val="28"/>
          <w:szCs w:val="28"/>
          <w:lang w:eastAsia="zh-CN"/>
        </w:rPr>
        <w:t>）</w:t>
      </w:r>
      <w:r>
        <w:rPr>
          <w:rFonts w:ascii="幼圆" w:eastAsia="幼圆" w:hAnsi="幼圆" w:cs="幼圆" w:hint="eastAsia"/>
          <w:sz w:val="28"/>
          <w:szCs w:val="28"/>
        </w:rPr>
        <w:t>。</w:t>
      </w:r>
    </w:p>
    <w:p>
      <w:pPr>
        <w:pStyle w:val="Heading3"/>
        <w:ind w:firstLine="582"/>
        <w:rPr>
          <w:rFonts w:ascii="幼圆" w:eastAsia="幼圆" w:hAnsi="幼圆" w:cs="幼圆" w:hint="eastAsia"/>
        </w:rPr>
      </w:pPr>
      <w:bookmarkStart w:id="8" w:name="_Toc70953205"/>
      <w:r>
        <w:rPr>
          <w:rFonts w:ascii="幼圆" w:eastAsia="幼圆" w:hAnsi="幼圆" w:cs="幼圆" w:hint="eastAsia"/>
        </w:rPr>
        <w:t>4.企业应收账款管理的目标</w:t>
      </w:r>
      <w:bookmarkEnd w:id="8"/>
    </w:p>
    <w:p>
      <w:pPr>
        <w:spacing w:line="600" w:lineRule="exact"/>
        <w:ind w:firstLine="560" w:firstLineChars="200"/>
        <w:rPr>
          <w:rFonts w:ascii="幼圆" w:eastAsia="幼圆" w:hAnsi="幼圆" w:cs="幼圆" w:hint="eastAsia"/>
          <w:sz w:val="28"/>
          <w:szCs w:val="28"/>
        </w:rPr>
      </w:pPr>
      <w:r>
        <w:rPr>
          <w:rFonts w:ascii="幼圆" w:eastAsia="幼圆" w:hAnsi="幼圆" w:cs="幼圆" w:hint="eastAsia"/>
          <w:sz w:val="28"/>
          <w:szCs w:val="28"/>
        </w:rPr>
        <w:t>应收账款管理的关键目标就是通过事前进行充分调查，制定科学且合乎道理的应收账款信用政策，事中对应收账款进行及时追踪反馈，事后当客户逾期未付款或者拒绝付款时，讨论应当采用什么方式追回账款等一系列手段措施，减少应收款项可能带给公司的损失</w:t>
      </w:r>
      <w:r>
        <w:rPr>
          <w:rFonts w:ascii="幼圆" w:eastAsia="幼圆" w:hAnsi="幼圆" w:cs="幼圆" w:hint="eastAsia"/>
          <w:b w:val="0"/>
          <w:bCs/>
          <w:color w:val="000000"/>
          <w:sz w:val="28"/>
          <w:szCs w:val="28"/>
          <w:lang w:eastAsia="zh-CN"/>
        </w:rPr>
        <w:t>（</w:t>
      </w:r>
      <w:r>
        <w:rPr>
          <w:rFonts w:ascii="幼圆" w:eastAsia="幼圆" w:hAnsi="幼圆" w:cs="幼圆" w:hint="eastAsia"/>
          <w:b w:val="0"/>
          <w:bCs/>
          <w:color w:val="000000"/>
          <w:sz w:val="28"/>
          <w:szCs w:val="28"/>
          <w:lang w:val="en-US" w:eastAsia="zh-CN"/>
        </w:rPr>
        <w:t>施梦帆 张凯,2022</w:t>
      </w:r>
      <w:r>
        <w:rPr>
          <w:rFonts w:ascii="幼圆" w:eastAsia="幼圆" w:hAnsi="幼圆" w:cs="幼圆" w:hint="eastAsia"/>
          <w:b w:val="0"/>
          <w:bCs/>
          <w:color w:val="000000"/>
          <w:sz w:val="28"/>
          <w:szCs w:val="28"/>
          <w:lang w:eastAsia="zh-CN"/>
        </w:rPr>
        <w:t>）</w:t>
      </w:r>
      <w:r>
        <w:rPr>
          <w:rFonts w:ascii="幼圆" w:eastAsia="幼圆" w:hAnsi="幼圆" w:cs="幼圆" w:hint="eastAsia"/>
          <w:sz w:val="28"/>
          <w:szCs w:val="28"/>
        </w:rPr>
        <w:t>。</w:t>
      </w:r>
    </w:p>
    <w:p>
      <w:pPr>
        <w:pStyle w:val="Heading2"/>
        <w:ind w:firstLine="602"/>
        <w:rPr>
          <w:rFonts w:ascii="幼圆" w:eastAsia="幼圆" w:hAnsi="幼圆" w:cs="幼圆" w:hint="eastAsia"/>
        </w:rPr>
      </w:pPr>
      <w:bookmarkStart w:id="9" w:name="_Toc70953206"/>
      <w:bookmarkStart w:id="10" w:name="_Toc32077"/>
      <w:r>
        <w:rPr>
          <w:rFonts w:ascii="幼圆" w:eastAsia="幼圆" w:hAnsi="幼圆" w:cs="幼圆" w:hint="eastAsia"/>
        </w:rPr>
        <w:t>（二）应收账款质量的分析评价</w:t>
      </w:r>
      <w:bookmarkEnd w:id="9"/>
      <w:bookmarkEnd w:id="10"/>
    </w:p>
    <w:p>
      <w:pPr>
        <w:spacing w:line="600" w:lineRule="exact"/>
        <w:ind w:left="3081" w:hanging="2520" w:leftChars="267" w:hangingChars="900"/>
        <w:rPr>
          <w:rFonts w:ascii="幼圆" w:eastAsia="幼圆" w:hAnsi="幼圆" w:cs="幼圆" w:hint="eastAsia"/>
          <w:sz w:val="28"/>
          <w:szCs w:val="28"/>
        </w:rPr>
      </w:pPr>
    </w:p>
    <w:p>
      <w:pPr>
        <w:spacing w:line="600" w:lineRule="exact"/>
        <w:ind w:left="3081" w:hanging="2520" w:leftChars="267" w:hangingChars="900"/>
        <w:rPr>
          <w:rFonts w:ascii="幼圆" w:eastAsia="幼圆" w:hAnsi="幼圆" w:cs="幼圆" w:hint="eastAsia"/>
          <w:sz w:val="28"/>
          <w:szCs w:val="28"/>
        </w:rPr>
      </w:pPr>
    </w:p>
    <w:p>
      <w:pPr>
        <w:spacing w:line="600" w:lineRule="exact"/>
        <w:ind w:left="3081" w:hanging="2520" w:leftChars="267" w:hangingChars="900"/>
        <w:rPr>
          <w:rFonts w:ascii="幼圆" w:eastAsia="幼圆" w:hAnsi="幼圆" w:cs="幼圆" w:hint="eastAsia"/>
          <w:sz w:val="28"/>
          <w:szCs w:val="28"/>
        </w:rPr>
      </w:pPr>
    </w:p>
    <w:p>
      <w:pPr>
        <w:spacing w:line="600" w:lineRule="exact"/>
        <w:ind w:left="3081" w:hanging="2520" w:leftChars="267" w:hangingChars="900"/>
        <w:rPr>
          <w:rFonts w:ascii="幼圆" w:eastAsia="幼圆" w:hAnsi="幼圆" w:cs="幼圆" w:hint="eastAsia"/>
          <w:sz w:val="28"/>
          <w:szCs w:val="28"/>
        </w:rPr>
      </w:pPr>
    </w:p>
    <w:p>
      <w:pPr>
        <w:spacing w:line="600" w:lineRule="exact"/>
        <w:ind w:left="3081" w:hanging="2520" w:leftChars="267" w:hangingChars="900"/>
        <w:rPr>
          <w:rFonts w:ascii="幼圆" w:eastAsia="幼圆" w:hAnsi="幼圆" w:cs="幼圆" w:hint="eastAsia"/>
          <w:sz w:val="28"/>
          <w:szCs w:val="28"/>
        </w:rPr>
      </w:pPr>
    </w:p>
    <w:p>
      <w:pPr>
        <w:spacing w:line="600" w:lineRule="exact"/>
        <w:ind w:left="3081" w:hanging="2520" w:leftChars="267" w:hangingChars="900"/>
        <w:rPr>
          <w:rFonts w:ascii="幼圆" w:eastAsia="幼圆" w:hAnsi="幼圆" w:cs="幼圆" w:hint="eastAsia"/>
          <w:sz w:val="28"/>
          <w:szCs w:val="28"/>
        </w:rPr>
      </w:pPr>
    </w:p>
    <w:p>
      <w:pPr>
        <w:spacing w:line="600" w:lineRule="exact"/>
        <w:ind w:left="3081" w:hanging="2520" w:leftChars="267" w:hangingChars="900"/>
        <w:rPr>
          <w:rFonts w:ascii="幼圆" w:eastAsia="幼圆" w:hAnsi="幼圆" w:cs="幼圆" w:hint="eastAsia"/>
          <w:sz w:val="28"/>
          <w:szCs w:val="28"/>
        </w:rPr>
      </w:pPr>
    </w:p>
    <w:p>
      <w:pPr>
        <w:spacing w:line="600" w:lineRule="exact"/>
        <w:ind w:left="3081" w:hanging="2520" w:leftChars="267" w:hangingChars="900"/>
        <w:rPr>
          <w:rFonts w:ascii="幼圆" w:eastAsia="幼圆" w:hAnsi="幼圆" w:cs="幼圆" w:hint="eastAsia"/>
          <w:sz w:val="28"/>
          <w:szCs w:val="28"/>
        </w:rPr>
      </w:pPr>
    </w:p>
    <w:p>
      <w:pPr>
        <w:spacing w:line="600" w:lineRule="exact"/>
        <w:ind w:left="3081" w:hanging="2520" w:leftChars="267" w:hangingChars="900"/>
        <w:rPr>
          <w:rFonts w:ascii="幼圆" w:eastAsia="幼圆" w:hAnsi="幼圆" w:cs="幼圆" w:hint="eastAsia"/>
          <w:sz w:val="28"/>
          <w:szCs w:val="28"/>
        </w:rPr>
      </w:pPr>
    </w:p>
    <w:tbl>
      <w:tblPr>
        <w:tblStyle w:val="0"/>
        <w:tblpPr w:leftFromText="180" w:rightFromText="180" w:vertAnchor="page" w:horzAnchor="margin" w:tblpY="20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817"/>
        <w:gridCol w:w="770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676"/>
        </w:trPr>
        <w:tc>
          <w:tcPr>
            <w:tcW w:w="817" w:type="dxa"/>
            <w:vMerge w:val="restart"/>
            <w:vAlign w:val="center"/>
          </w:tcPr>
          <w:p>
            <w:pPr>
              <w:spacing w:line="600" w:lineRule="exact"/>
              <w:jc w:val="center"/>
              <w:rPr>
                <w:rFonts w:ascii="幼圆" w:eastAsia="幼圆" w:hAnsi="幼圆" w:cs="幼圆" w:hint="eastAsia"/>
                <w:sz w:val="18"/>
                <w:szCs w:val="18"/>
              </w:rPr>
            </w:pPr>
            <w:r>
              <w:rPr>
                <w:rFonts w:ascii="幼圆" w:eastAsia="幼圆" w:hAnsi="幼圆" w:cs="幼圆" w:hint="eastAsia"/>
                <w:sz w:val="18"/>
                <w:szCs w:val="18"/>
              </w:rPr>
              <w:t>应收账款周转率</w:t>
            </w:r>
          </w:p>
        </w:tc>
        <w:tc>
          <w:tcPr>
            <w:tcW w:w="7705" w:type="dxa"/>
            <w:vAlign w:val="center"/>
          </w:tcPr>
          <w:p>
            <w:pPr>
              <w:spacing w:line="600" w:lineRule="exact"/>
              <w:rPr>
                <w:rFonts w:ascii="幼圆" w:eastAsia="幼圆" w:hAnsi="幼圆" w:cs="幼圆" w:hint="eastAsia"/>
                <w:sz w:val="18"/>
                <w:szCs w:val="18"/>
              </w:rPr>
            </w:pPr>
            <w:r>
              <w:rPr>
                <w:rFonts w:ascii="幼圆" w:eastAsia="幼圆" w:hAnsi="幼圆" w:cs="幼圆" w:hint="eastAsia"/>
                <w:sz w:val="18"/>
                <w:szCs w:val="18"/>
              </w:rPr>
              <w:t>应收账款周转率=（主营业务收入/应收账款平均余额）</w:t>
            </w:r>
            <w:r>
              <w:rPr>
                <w:rFonts w:ascii="幼圆" w:eastAsia="幼圆" w:hAnsi="幼圆" w:cs="幼圆" w:hint="eastAsia"/>
                <w:sz w:val="18"/>
                <w:szCs w:val="18"/>
              </w:rPr>
              <w:t>×</w:t>
            </w:r>
            <w:r>
              <w:rPr>
                <w:rFonts w:ascii="幼圆" w:eastAsia="幼圆" w:hAnsi="幼圆" w:cs="幼圆" w:hint="eastAsia"/>
                <w:sz w:val="18"/>
                <w:szCs w:val="18"/>
              </w:rPr>
              <w:t>100％</w:t>
            </w:r>
          </w:p>
        </w:tc>
      </w:tr>
      <w:tr>
        <w:tblPrEx>
          <w:tblW w:w="0" w:type="auto"/>
          <w:tblCellMar>
            <w:top w:w="0" w:type="dxa"/>
            <w:left w:w="108" w:type="dxa"/>
            <w:bottom w:w="0" w:type="dxa"/>
            <w:right w:w="108" w:type="dxa"/>
          </w:tblCellMar>
          <w:tblLook w:val="0000"/>
        </w:tblPrEx>
        <w:trPr>
          <w:trHeight w:val="659"/>
        </w:trPr>
        <w:tc>
          <w:tcPr>
            <w:tcW w:w="817" w:type="dxa"/>
            <w:vMerge/>
            <w:vAlign w:val="center"/>
          </w:tcPr>
          <w:p>
            <w:pPr>
              <w:spacing w:line="600" w:lineRule="exact"/>
              <w:jc w:val="center"/>
              <w:rPr>
                <w:rFonts w:ascii="幼圆" w:eastAsia="幼圆" w:hAnsi="幼圆" w:cs="幼圆" w:hint="eastAsia"/>
                <w:sz w:val="18"/>
                <w:szCs w:val="18"/>
              </w:rPr>
            </w:pPr>
          </w:p>
        </w:tc>
        <w:tc>
          <w:tcPr>
            <w:tcW w:w="7705" w:type="dxa"/>
            <w:vAlign w:val="center"/>
          </w:tcPr>
          <w:p>
            <w:pPr>
              <w:spacing w:line="600" w:lineRule="exact"/>
              <w:rPr>
                <w:rFonts w:ascii="幼圆" w:eastAsia="幼圆" w:hAnsi="幼圆" w:cs="幼圆" w:hint="eastAsia"/>
                <w:sz w:val="18"/>
                <w:szCs w:val="18"/>
              </w:rPr>
            </w:pPr>
            <w:r>
              <w:rPr>
                <w:rFonts w:ascii="幼圆" w:eastAsia="幼圆" w:hAnsi="幼圆" w:cs="幼圆" w:hint="eastAsia"/>
                <w:sz w:val="18"/>
                <w:szCs w:val="18"/>
              </w:rPr>
              <w:t>应收账款周转次数＝一定时期应收账款周转额／一定时期应收账款平均占用额</w:t>
            </w:r>
          </w:p>
        </w:tc>
      </w:tr>
      <w:tr>
        <w:tblPrEx>
          <w:tblW w:w="0" w:type="auto"/>
          <w:tblCellMar>
            <w:top w:w="0" w:type="dxa"/>
            <w:left w:w="108" w:type="dxa"/>
            <w:bottom w:w="0" w:type="dxa"/>
            <w:right w:w="108" w:type="dxa"/>
          </w:tblCellMar>
          <w:tblLook w:val="0000"/>
        </w:tblPrEx>
        <w:trPr>
          <w:trHeight w:val="676"/>
        </w:trPr>
        <w:tc>
          <w:tcPr>
            <w:tcW w:w="817" w:type="dxa"/>
            <w:vMerge/>
            <w:vAlign w:val="center"/>
          </w:tcPr>
          <w:p>
            <w:pPr>
              <w:spacing w:line="600" w:lineRule="exact"/>
              <w:jc w:val="center"/>
              <w:rPr>
                <w:rFonts w:ascii="幼圆" w:eastAsia="幼圆" w:hAnsi="幼圆" w:cs="幼圆" w:hint="eastAsia"/>
                <w:sz w:val="18"/>
                <w:szCs w:val="18"/>
              </w:rPr>
            </w:pPr>
          </w:p>
        </w:tc>
        <w:tc>
          <w:tcPr>
            <w:tcW w:w="7705" w:type="dxa"/>
            <w:vAlign w:val="center"/>
          </w:tcPr>
          <w:p>
            <w:pPr>
              <w:spacing w:line="600" w:lineRule="exact"/>
              <w:rPr>
                <w:rFonts w:ascii="幼圆" w:eastAsia="幼圆" w:hAnsi="幼圆" w:cs="幼圆" w:hint="eastAsia"/>
                <w:sz w:val="18"/>
                <w:szCs w:val="18"/>
              </w:rPr>
            </w:pPr>
            <w:r>
              <w:rPr>
                <w:rFonts w:ascii="幼圆" w:eastAsia="幼圆" w:hAnsi="幼圆" w:cs="幼圆" w:hint="eastAsia"/>
                <w:sz w:val="18"/>
                <w:szCs w:val="18"/>
              </w:rPr>
              <w:t>应收账款周转天数＝３６０／应收账款转次数</w:t>
            </w:r>
          </w:p>
        </w:tc>
      </w:tr>
    </w:tbl>
    <w:p>
      <w:pPr>
        <w:sectPr>
          <w:footerReference w:type="default" r:id="rId7"/>
          <w:type w:val="nextPage"/>
          <w:pgSz w:w="11906" w:h="16838"/>
          <w:pgMar w:top="1440" w:right="1800" w:bottom="1440" w:left="1800" w:header="851" w:footer="992" w:gutter="0"/>
          <w:pgNumType w:start="4"/>
          <w:cols w:space="708"/>
          <w:titlePg w:val="0"/>
          <w:docGrid w:type="lines" w:linePitch="312" w:charSpace="0"/>
        </w:sectPr>
      </w:pPr>
    </w:p>
    <w:tbl>
      <w:tblPr>
        <w:tblStyle w:val="1"/>
        <w:tblpPr w:leftFromText="180" w:rightFromText="180" w:vertAnchor="page" w:horzAnchor="margin" w:tblpY="20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817"/>
        <w:gridCol w:w="770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trHeight w:val="676"/>
        </w:trPr>
        <w:tc>
          <w:tcPr>
            <w:tcW w:w="817" w:type="dxa"/>
            <w:vMerge w:val="restart"/>
            <w:vAlign w:val="center"/>
          </w:tcPr>
          <w:p>
            <w:pPr>
              <w:spacing w:line="600" w:lineRule="exact"/>
              <w:jc w:val="center"/>
              <w:rPr>
                <w:rFonts w:ascii="幼圆" w:eastAsia="幼圆" w:hAnsi="幼圆" w:cs="幼圆" w:hint="eastAsia"/>
                <w:sz w:val="18"/>
                <w:szCs w:val="18"/>
              </w:rPr>
            </w:pPr>
          </w:p>
        </w:tc>
        <w:tc>
          <w:tcPr>
            <w:tcW w:w="7705" w:type="dxa"/>
            <w:vAlign w:val="center"/>
          </w:tcPr>
          <w:p>
            <w:pPr>
              <w:spacing w:line="600" w:lineRule="exact"/>
              <w:rPr>
                <w:rFonts w:ascii="幼圆" w:eastAsia="幼圆" w:hAnsi="幼圆" w:cs="幼圆" w:hint="eastAsia"/>
                <w:sz w:val="18"/>
                <w:szCs w:val="18"/>
              </w:rPr>
            </w:pPr>
            <w:r>
              <w:rPr>
                <w:rFonts w:ascii="幼圆" w:eastAsia="幼圆" w:hAnsi="幼圆" w:cs="幼圆" w:hint="eastAsia"/>
                <w:sz w:val="18"/>
                <w:szCs w:val="18"/>
              </w:rPr>
              <w:t>意义：应收账款周转率是指公司收回应收账款的速度，反映企业应收账款效率高低。应收账款周转率与流动速度成正比，周转率越高，流动速度越快，应收账款质量也越好，能收回的应收账款也就越多（</w:t>
            </w:r>
            <w:r>
              <w:rPr>
                <w:rFonts w:ascii="幼圆" w:eastAsia="幼圆" w:hAnsi="幼圆" w:cs="幼圆" w:hint="eastAsia"/>
                <w:sz w:val="18"/>
                <w:szCs w:val="18"/>
                <w:lang w:val="en-US" w:eastAsia="zh-CN"/>
              </w:rPr>
              <w:t>庄思敏 ,欧阳智宇, 田若</w:t>
            </w:r>
            <w:r>
              <w:rPr>
                <w:rFonts w:ascii="幼圆" w:eastAsia="幼圆" w:hAnsi="幼圆" w:cs="幼圆" w:hint="eastAsia"/>
                <w:sz w:val="18"/>
                <w:szCs w:val="18"/>
              </w:rPr>
              <w:t>,202</w:t>
            </w:r>
            <w:r>
              <w:rPr>
                <w:rFonts w:ascii="幼圆" w:eastAsia="幼圆" w:hAnsi="幼圆" w:cs="幼圆" w:hint="eastAsia"/>
                <w:sz w:val="18"/>
                <w:szCs w:val="18"/>
                <w:lang w:val="en-US" w:eastAsia="zh-CN"/>
              </w:rPr>
              <w:t>1</w:t>
            </w:r>
            <w:r>
              <w:rPr>
                <w:rFonts w:ascii="幼圆" w:eastAsia="幼圆" w:hAnsi="幼圆" w:cs="幼圆" w:hint="eastAsia"/>
                <w:sz w:val="18"/>
                <w:szCs w:val="18"/>
              </w:rPr>
              <w:t>）。反之，质量越差，应收账款逾期且无法收回的风险也会越高。周转次数是应收账款周转率的组成部分，反映应收账款在一段时期内能够完成多少次周转；另一个组成部分是周转天数，反映应收账款完成完成一次周转所需时间</w:t>
            </w:r>
          </w:p>
        </w:tc>
      </w:tr>
      <w:tr>
        <w:tblPrEx>
          <w:tblW w:w="0" w:type="auto"/>
          <w:tblCellMar>
            <w:top w:w="0" w:type="dxa"/>
            <w:left w:w="108" w:type="dxa"/>
            <w:bottom w:w="0" w:type="dxa"/>
            <w:right w:w="108" w:type="dxa"/>
          </w:tblCellMar>
          <w:tblLook w:val="0000"/>
        </w:tblPrEx>
        <w:trPr>
          <w:trHeight w:val="615"/>
        </w:trPr>
        <w:tc>
          <w:tcPr>
            <w:tcW w:w="817" w:type="dxa"/>
            <w:vMerge w:val="restart"/>
            <w:vAlign w:val="center"/>
          </w:tcPr>
          <w:p>
            <w:pPr>
              <w:spacing w:line="600" w:lineRule="exact"/>
              <w:jc w:val="center"/>
              <w:rPr>
                <w:rFonts w:ascii="幼圆" w:eastAsia="幼圆" w:hAnsi="幼圆" w:cs="幼圆" w:hint="eastAsia"/>
                <w:sz w:val="18"/>
                <w:szCs w:val="18"/>
              </w:rPr>
            </w:pPr>
            <w:r>
              <w:rPr>
                <w:rFonts w:ascii="幼圆" w:eastAsia="幼圆" w:hAnsi="幼圆" w:cs="幼圆" w:hint="eastAsia"/>
                <w:sz w:val="18"/>
                <w:szCs w:val="18"/>
              </w:rPr>
              <w:t>应收账款收款率</w:t>
            </w:r>
          </w:p>
        </w:tc>
        <w:tc>
          <w:tcPr>
            <w:tcW w:w="7705" w:type="dxa"/>
            <w:vAlign w:val="center"/>
          </w:tcPr>
          <w:p>
            <w:pPr>
              <w:spacing w:line="600" w:lineRule="exact"/>
              <w:rPr>
                <w:rFonts w:ascii="幼圆" w:eastAsia="幼圆" w:hAnsi="幼圆" w:cs="幼圆" w:hint="eastAsia"/>
                <w:sz w:val="18"/>
                <w:szCs w:val="18"/>
              </w:rPr>
            </w:pPr>
            <w:r>
              <w:rPr>
                <w:rFonts w:ascii="幼圆" w:eastAsia="幼圆" w:hAnsi="幼圆" w:cs="幼圆" w:hint="eastAsia"/>
                <w:sz w:val="18"/>
                <w:szCs w:val="18"/>
              </w:rPr>
              <w:t>应收账款收款率=［（销售收入+应收账款期初数-应收账款期末数）/销售总收入）］</w:t>
            </w:r>
            <w:r>
              <w:rPr>
                <w:rFonts w:ascii="幼圆" w:eastAsia="幼圆" w:hAnsi="幼圆" w:cs="幼圆" w:hint="eastAsia"/>
                <w:sz w:val="18"/>
                <w:szCs w:val="18"/>
              </w:rPr>
              <w:t>×</w:t>
            </w:r>
            <w:r>
              <w:rPr>
                <w:rFonts w:ascii="幼圆" w:eastAsia="幼圆" w:hAnsi="幼圆" w:cs="幼圆" w:hint="eastAsia"/>
                <w:sz w:val="18"/>
                <w:szCs w:val="18"/>
              </w:rPr>
              <w:t>100％</w:t>
            </w:r>
          </w:p>
        </w:tc>
      </w:tr>
      <w:tr>
        <w:tblPrEx>
          <w:tblW w:w="0" w:type="auto"/>
          <w:tblCellMar>
            <w:top w:w="0" w:type="dxa"/>
            <w:left w:w="108" w:type="dxa"/>
            <w:bottom w:w="0" w:type="dxa"/>
            <w:right w:w="108" w:type="dxa"/>
          </w:tblCellMar>
          <w:tblLook w:val="0000"/>
        </w:tblPrEx>
        <w:trPr>
          <w:trHeight w:val="570"/>
        </w:trPr>
        <w:tc>
          <w:tcPr>
            <w:tcW w:w="817" w:type="dxa"/>
            <w:vMerge/>
            <w:vAlign w:val="center"/>
          </w:tcPr>
          <w:p>
            <w:pPr>
              <w:spacing w:line="600" w:lineRule="exact"/>
              <w:jc w:val="center"/>
              <w:rPr>
                <w:rFonts w:ascii="幼圆" w:eastAsia="幼圆" w:hAnsi="幼圆" w:cs="幼圆" w:hint="eastAsia"/>
                <w:sz w:val="18"/>
                <w:szCs w:val="18"/>
              </w:rPr>
            </w:pPr>
          </w:p>
        </w:tc>
        <w:tc>
          <w:tcPr>
            <w:tcW w:w="7705" w:type="dxa"/>
            <w:vAlign w:val="center"/>
          </w:tcPr>
          <w:p>
            <w:pPr>
              <w:spacing w:line="600" w:lineRule="exact"/>
              <w:rPr>
                <w:rFonts w:ascii="幼圆" w:eastAsia="幼圆" w:hAnsi="幼圆" w:cs="幼圆" w:hint="eastAsia"/>
                <w:sz w:val="18"/>
                <w:szCs w:val="18"/>
              </w:rPr>
            </w:pPr>
            <w:r>
              <w:rPr>
                <w:rFonts w:ascii="幼圆" w:eastAsia="幼圆" w:hAnsi="幼圆" w:cs="幼圆" w:hint="eastAsia"/>
                <w:sz w:val="18"/>
                <w:szCs w:val="18"/>
              </w:rPr>
              <w:t>意义：该指数的百分比越高，应收账款的质量就越好（</w:t>
            </w:r>
            <w:r>
              <w:rPr>
                <w:rFonts w:ascii="幼圆" w:eastAsia="幼圆" w:hAnsi="幼圆" w:cs="幼圆" w:hint="eastAsia"/>
                <w:sz w:val="18"/>
                <w:szCs w:val="18"/>
                <w:lang w:val="en-US" w:eastAsia="zh-CN"/>
              </w:rPr>
              <w:t>白雪岚, 邱乐康</w:t>
            </w:r>
            <w:r>
              <w:rPr>
                <w:rFonts w:ascii="幼圆" w:eastAsia="幼圆" w:hAnsi="幼圆" w:cs="幼圆" w:hint="eastAsia"/>
                <w:sz w:val="18"/>
                <w:szCs w:val="18"/>
              </w:rPr>
              <w:t>）。相反，质量会越差。收款率是企业衡量赊销单位信用等级的重要指标。如果赊销单位的收款率越高，说明该单位的信用越优。</w:t>
            </w:r>
          </w:p>
        </w:tc>
      </w:tr>
      <w:tr>
        <w:tblPrEx>
          <w:tblW w:w="0" w:type="auto"/>
          <w:tblCellMar>
            <w:top w:w="0" w:type="dxa"/>
            <w:left w:w="108" w:type="dxa"/>
            <w:bottom w:w="0" w:type="dxa"/>
            <w:right w:w="108" w:type="dxa"/>
          </w:tblCellMar>
          <w:tblLook w:val="0000"/>
        </w:tblPrEx>
        <w:trPr>
          <w:trHeight w:val="660"/>
        </w:trPr>
        <w:tc>
          <w:tcPr>
            <w:tcW w:w="817" w:type="dxa"/>
            <w:vMerge w:val="restart"/>
            <w:vAlign w:val="center"/>
          </w:tcPr>
          <w:p>
            <w:pPr>
              <w:spacing w:line="600" w:lineRule="exact"/>
              <w:jc w:val="center"/>
              <w:rPr>
                <w:rFonts w:ascii="幼圆" w:eastAsia="幼圆" w:hAnsi="幼圆" w:cs="幼圆" w:hint="eastAsia"/>
                <w:sz w:val="18"/>
                <w:szCs w:val="18"/>
              </w:rPr>
            </w:pPr>
            <w:r>
              <w:rPr>
                <w:rFonts w:ascii="幼圆" w:eastAsia="幼圆" w:hAnsi="幼圆" w:cs="幼圆" w:hint="eastAsia"/>
                <w:sz w:val="18"/>
                <w:szCs w:val="18"/>
              </w:rPr>
              <w:t>呆账率</w:t>
            </w:r>
          </w:p>
        </w:tc>
        <w:tc>
          <w:tcPr>
            <w:tcW w:w="7705" w:type="dxa"/>
            <w:vAlign w:val="center"/>
          </w:tcPr>
          <w:p>
            <w:pPr>
              <w:spacing w:line="600" w:lineRule="exact"/>
              <w:rPr>
                <w:rFonts w:ascii="幼圆" w:eastAsia="幼圆" w:hAnsi="幼圆" w:cs="幼圆" w:hint="eastAsia"/>
                <w:sz w:val="18"/>
                <w:szCs w:val="18"/>
              </w:rPr>
            </w:pPr>
            <w:r>
              <w:rPr>
                <w:rFonts w:ascii="幼圆" w:eastAsia="幼圆" w:hAnsi="幼圆" w:cs="幼圆" w:hint="eastAsia"/>
                <w:sz w:val="18"/>
                <w:szCs w:val="18"/>
              </w:rPr>
              <w:t>呆账率=呆账期末净额/应收账款期末净额。</w:t>
            </w:r>
          </w:p>
        </w:tc>
      </w:tr>
      <w:tr>
        <w:tblPrEx>
          <w:tblW w:w="0" w:type="auto"/>
          <w:tblCellMar>
            <w:top w:w="0" w:type="dxa"/>
            <w:left w:w="108" w:type="dxa"/>
            <w:bottom w:w="0" w:type="dxa"/>
            <w:right w:w="108" w:type="dxa"/>
          </w:tblCellMar>
          <w:tblLook w:val="0000"/>
        </w:tblPrEx>
        <w:trPr>
          <w:trHeight w:val="525"/>
        </w:trPr>
        <w:tc>
          <w:tcPr>
            <w:tcW w:w="817" w:type="dxa"/>
            <w:vMerge/>
            <w:vAlign w:val="center"/>
          </w:tcPr>
          <w:p>
            <w:pPr>
              <w:spacing w:line="600" w:lineRule="exact"/>
              <w:jc w:val="center"/>
              <w:rPr>
                <w:rFonts w:ascii="幼圆" w:eastAsia="幼圆" w:hAnsi="幼圆" w:cs="幼圆" w:hint="eastAsia"/>
                <w:sz w:val="18"/>
                <w:szCs w:val="18"/>
              </w:rPr>
            </w:pPr>
          </w:p>
        </w:tc>
        <w:tc>
          <w:tcPr>
            <w:tcW w:w="7705" w:type="dxa"/>
            <w:vAlign w:val="center"/>
          </w:tcPr>
          <w:p>
            <w:pPr>
              <w:spacing w:line="600" w:lineRule="exact"/>
              <w:rPr>
                <w:rFonts w:ascii="幼圆" w:eastAsia="幼圆" w:hAnsi="幼圆" w:cs="幼圆" w:hint="eastAsia"/>
                <w:sz w:val="18"/>
                <w:szCs w:val="18"/>
              </w:rPr>
            </w:pPr>
            <w:r>
              <w:rPr>
                <w:rFonts w:ascii="幼圆" w:eastAsia="幼圆" w:hAnsi="幼圆" w:cs="幼圆" w:hint="eastAsia"/>
                <w:sz w:val="18"/>
                <w:szCs w:val="18"/>
              </w:rPr>
              <w:t>意义：呆账是指三年以上未收回但仍留在账上且尚未计提坏账的的应收账款。应收账款净额的坏账比例越高，企业的质量就越差。相反，质量越好。但是要考查企业资产的好坏还应与该债务企业的信用等级等相结合（</w:t>
            </w:r>
            <w:r>
              <w:rPr>
                <w:rFonts w:ascii="幼圆" w:eastAsia="幼圆" w:hAnsi="幼圆" w:cs="幼圆" w:hint="eastAsia"/>
                <w:sz w:val="18"/>
                <w:szCs w:val="18"/>
                <w:lang w:val="en-US" w:eastAsia="zh-CN"/>
              </w:rPr>
              <w:t>尤婉莹,蒋海</w:t>
            </w:r>
            <w:r>
              <w:rPr>
                <w:rFonts w:ascii="幼圆" w:eastAsia="幼圆" w:hAnsi="幼圆" w:cs="幼圆" w:hint="eastAsia"/>
                <w:sz w:val="18"/>
                <w:szCs w:val="18"/>
              </w:rPr>
              <w:t>,2022）。</w:t>
            </w:r>
          </w:p>
        </w:tc>
      </w:tr>
      <w:tr>
        <w:tblPrEx>
          <w:tblW w:w="0" w:type="auto"/>
          <w:tblCellMar>
            <w:top w:w="0" w:type="dxa"/>
            <w:left w:w="108" w:type="dxa"/>
            <w:bottom w:w="0" w:type="dxa"/>
            <w:right w:w="108" w:type="dxa"/>
          </w:tblCellMar>
          <w:tblLook w:val="0000"/>
        </w:tblPrEx>
        <w:trPr>
          <w:trHeight w:val="690"/>
        </w:trPr>
        <w:tc>
          <w:tcPr>
            <w:tcW w:w="817" w:type="dxa"/>
            <w:vMerge w:val="restart"/>
            <w:vAlign w:val="center"/>
          </w:tcPr>
          <w:p>
            <w:pPr>
              <w:spacing w:line="600" w:lineRule="exact"/>
              <w:jc w:val="center"/>
              <w:rPr>
                <w:rFonts w:ascii="幼圆" w:eastAsia="幼圆" w:hAnsi="幼圆" w:cs="幼圆" w:hint="eastAsia"/>
                <w:sz w:val="18"/>
                <w:szCs w:val="18"/>
              </w:rPr>
            </w:pPr>
            <w:r>
              <w:rPr>
                <w:rFonts w:ascii="幼圆" w:eastAsia="幼圆" w:hAnsi="幼圆" w:cs="幼圆" w:hint="eastAsia"/>
                <w:sz w:val="18"/>
                <w:szCs w:val="18"/>
              </w:rPr>
              <w:t>应收账款占流动资产比</w:t>
            </w:r>
          </w:p>
        </w:tc>
        <w:tc>
          <w:tcPr>
            <w:tcW w:w="7705" w:type="dxa"/>
            <w:vAlign w:val="center"/>
          </w:tcPr>
          <w:p>
            <w:pPr>
              <w:spacing w:line="600" w:lineRule="exact"/>
              <w:rPr>
                <w:rFonts w:ascii="幼圆" w:eastAsia="幼圆" w:hAnsi="幼圆" w:cs="幼圆" w:hint="eastAsia"/>
                <w:sz w:val="18"/>
                <w:szCs w:val="18"/>
              </w:rPr>
            </w:pPr>
            <w:r>
              <w:rPr>
                <w:rFonts w:ascii="幼圆" w:eastAsia="幼圆" w:hAnsi="幼圆" w:cs="幼圆" w:hint="eastAsia"/>
                <w:sz w:val="18"/>
                <w:szCs w:val="18"/>
              </w:rPr>
              <w:t>应收账款占流动资产比=应收账款期末余额/流动资产期末余额</w:t>
            </w:r>
          </w:p>
        </w:tc>
      </w:tr>
      <w:tr>
        <w:tblPrEx>
          <w:tblW w:w="0" w:type="auto"/>
          <w:tblCellMar>
            <w:top w:w="0" w:type="dxa"/>
            <w:left w:w="108" w:type="dxa"/>
            <w:bottom w:w="0" w:type="dxa"/>
            <w:right w:w="108" w:type="dxa"/>
          </w:tblCellMar>
          <w:tblLook w:val="0000"/>
        </w:tblPrEx>
        <w:trPr>
          <w:trHeight w:val="657"/>
        </w:trPr>
        <w:tc>
          <w:tcPr>
            <w:tcW w:w="817" w:type="dxa"/>
            <w:vMerge/>
            <w:vAlign w:val="center"/>
          </w:tcPr>
          <w:p>
            <w:pPr>
              <w:spacing w:line="600" w:lineRule="exact"/>
              <w:jc w:val="center"/>
              <w:rPr>
                <w:rFonts w:ascii="幼圆" w:eastAsia="幼圆" w:hAnsi="幼圆" w:cs="幼圆" w:hint="eastAsia"/>
                <w:sz w:val="18"/>
                <w:szCs w:val="18"/>
              </w:rPr>
            </w:pPr>
          </w:p>
        </w:tc>
        <w:tc>
          <w:tcPr>
            <w:tcW w:w="7705" w:type="dxa"/>
            <w:vAlign w:val="center"/>
          </w:tcPr>
          <w:p>
            <w:pPr>
              <w:spacing w:line="600" w:lineRule="exact"/>
              <w:rPr>
                <w:rFonts w:ascii="幼圆" w:eastAsia="幼圆" w:hAnsi="幼圆" w:cs="幼圆" w:hint="eastAsia"/>
                <w:sz w:val="18"/>
                <w:szCs w:val="18"/>
              </w:rPr>
            </w:pPr>
            <w:r>
              <w:rPr>
                <w:rFonts w:ascii="幼圆" w:eastAsia="幼圆" w:hAnsi="幼圆" w:cs="幼圆" w:hint="eastAsia"/>
                <w:sz w:val="18"/>
                <w:szCs w:val="18"/>
              </w:rPr>
              <w:t>意义：应收账款与流动资产的比率，在一定程度上衡量了应收账款的流动速度和企业资金的利用效率，反映了应收账款的规模。当应收账款流动速度快时，资金利用效率较高，而应收账款占流动资产的比重较小（</w:t>
            </w:r>
            <w:r>
              <w:rPr>
                <w:rFonts w:ascii="幼圆" w:eastAsia="幼圆" w:hAnsi="幼圆" w:cs="幼圆" w:hint="eastAsia"/>
                <w:sz w:val="18"/>
                <w:szCs w:val="18"/>
                <w:lang w:val="en-US" w:eastAsia="zh-CN"/>
              </w:rPr>
              <w:t>沈阳洋,姜紫嫣,谢天笑</w:t>
            </w:r>
            <w:r>
              <w:rPr>
                <w:rFonts w:ascii="幼圆" w:eastAsia="幼圆" w:hAnsi="幼圆" w:cs="幼圆" w:hint="eastAsia"/>
                <w:sz w:val="18"/>
                <w:szCs w:val="18"/>
              </w:rPr>
              <w:t>,202</w:t>
            </w:r>
            <w:r>
              <w:rPr>
                <w:rFonts w:ascii="幼圆" w:eastAsia="幼圆" w:hAnsi="幼圆" w:cs="幼圆" w:hint="eastAsia"/>
                <w:sz w:val="18"/>
                <w:szCs w:val="18"/>
                <w:lang w:val="en-US" w:eastAsia="zh-CN"/>
              </w:rPr>
              <w:t>1</w:t>
            </w:r>
            <w:r>
              <w:rPr>
                <w:rFonts w:ascii="幼圆" w:eastAsia="幼圆" w:hAnsi="幼圆" w:cs="幼圆" w:hint="eastAsia"/>
                <w:sz w:val="18"/>
                <w:szCs w:val="18"/>
              </w:rPr>
              <w:t>）。相反，如果应收账款流动速度慢，资金利用效率低，则应收账款将占流动资产的比重较大。因此，该指标值越高，质量越差。</w:t>
            </w:r>
          </w:p>
        </w:tc>
      </w:tr>
    </w:tbl>
    <w:p>
      <w:pPr>
        <w:spacing w:line="600" w:lineRule="exact"/>
        <w:ind w:left="2181" w:hanging="1620" w:leftChars="267" w:hangingChars="900"/>
        <w:jc w:val="center"/>
        <w:rPr>
          <w:rFonts w:ascii="幼圆" w:eastAsia="幼圆" w:hAnsi="幼圆" w:cs="幼圆" w:hint="eastAsia"/>
          <w:sz w:val="28"/>
          <w:szCs w:val="28"/>
        </w:rPr>
      </w:pPr>
      <w:r>
        <w:rPr>
          <w:rFonts w:ascii="幼圆" w:eastAsia="幼圆" w:hAnsi="幼圆" w:cs="幼圆" w:hint="eastAsia"/>
          <w:sz w:val="18"/>
          <w:szCs w:val="18"/>
        </w:rPr>
        <w:t>表1 应收账款质量分析指标及意义</w:t>
      </w:r>
    </w:p>
    <w:p>
      <w:pPr>
        <w:spacing w:line="600" w:lineRule="exact"/>
        <w:ind w:left="3081" w:hanging="2520" w:leftChars="267" w:hangingChars="900"/>
        <w:rPr>
          <w:rFonts w:ascii="幼圆" w:eastAsia="幼圆" w:hAnsi="幼圆" w:cs="幼圆" w:hint="eastAsia"/>
          <w:sz w:val="28"/>
          <w:szCs w:val="28"/>
        </w:rPr>
      </w:pPr>
    </w:p>
    <w:p>
      <w:pPr>
        <w:spacing w:line="600" w:lineRule="exact"/>
        <w:jc w:val="center"/>
        <w:rPr>
          <w:rFonts w:ascii="幼圆" w:eastAsia="幼圆" w:hAnsi="幼圆" w:cs="幼圆" w:hint="eastAsia"/>
          <w:sz w:val="18"/>
          <w:szCs w:val="18"/>
        </w:rPr>
      </w:pPr>
    </w:p>
    <w:p>
      <w:pPr>
        <w:pStyle w:val="Heading1"/>
        <w:tabs>
          <w:tab w:val="right" w:pos="8306"/>
        </w:tabs>
        <w:ind w:firstLine="663"/>
        <w:rPr>
          <w:rFonts w:ascii="幼圆" w:eastAsia="幼圆" w:hAnsi="幼圆" w:cs="幼圆" w:hint="eastAsia"/>
        </w:rPr>
        <w:sectPr>
          <w:footerReference w:type="default" r:id="rId8"/>
          <w:type w:val="nextPage"/>
          <w:pgSz w:w="11906" w:h="16838"/>
          <w:pgMar w:top="1440" w:right="1800" w:bottom="1440" w:left="1800" w:header="851" w:footer="992" w:gutter="0"/>
          <w:pgNumType w:start="5"/>
          <w:cols w:space="708"/>
          <w:titlePg w:val="0"/>
          <w:docGrid w:type="lines" w:linePitch="312" w:charSpace="0"/>
        </w:sectPr>
      </w:pPr>
      <w:bookmarkStart w:id="11" w:name="_Toc2652"/>
      <w:bookmarkStart w:id="12" w:name="_Toc70953207"/>
      <w:r>
        <w:rPr>
          <w:rFonts w:ascii="幼圆" w:eastAsia="幼圆" w:hAnsi="幼圆" w:cs="幼圆" w:hint="eastAsia"/>
        </w:rPr>
        <w:t>二、</w:t>
      </w:r>
      <w:r>
        <w:rPr>
          <w:rFonts w:ascii="幼圆" w:eastAsia="幼圆" w:hAnsi="幼圆" w:cs="幼圆" w:hint="eastAsia"/>
          <w:lang w:eastAsia="zh-CN"/>
        </w:rPr>
        <w:t>海信智能家居</w:t>
      </w:r>
      <w:r>
        <w:rPr>
          <w:rFonts w:ascii="幼圆" w:eastAsia="幼圆" w:hAnsi="幼圆" w:cs="幼圆" w:hint="eastAsia"/>
        </w:rPr>
        <w:t>公司应收账款管理现状及分析</w:t>
      </w:r>
      <w:bookmarkEnd w:id="11"/>
      <w:bookmarkEnd w:id="12"/>
      <w:r>
        <w:rPr>
          <w:rFonts w:ascii="幼圆" w:eastAsia="幼圆" w:hAnsi="幼圆" w:cs="幼圆" w:hint="eastAsia"/>
        </w:rPr>
        <w:tab/>
      </w:r>
    </w:p>
    <w:p>
      <w:pPr>
        <w:pStyle w:val="Heading2"/>
        <w:ind w:firstLine="602"/>
        <w:rPr>
          <w:rFonts w:ascii="幼圆" w:eastAsia="幼圆" w:hAnsi="幼圆" w:cs="幼圆" w:hint="eastAsia"/>
        </w:rPr>
      </w:pPr>
      <w:bookmarkStart w:id="13" w:name="_Toc10909"/>
      <w:bookmarkStart w:id="14" w:name="_Toc70953208"/>
      <w:r>
        <w:rPr>
          <w:rFonts w:ascii="幼圆" w:eastAsia="幼圆" w:hAnsi="幼圆" w:cs="幼圆" w:hint="eastAsia"/>
        </w:rPr>
        <w:t>（一）</w:t>
      </w:r>
      <w:r>
        <w:rPr>
          <w:rFonts w:ascii="幼圆" w:eastAsia="幼圆" w:hAnsi="幼圆" w:cs="幼圆" w:hint="eastAsia"/>
          <w:lang w:eastAsia="zh-CN"/>
        </w:rPr>
        <w:t>海信智能家居</w:t>
      </w:r>
      <w:r>
        <w:rPr>
          <w:rFonts w:ascii="幼圆" w:eastAsia="幼圆" w:hAnsi="幼圆" w:cs="幼圆" w:hint="eastAsia"/>
        </w:rPr>
        <w:t>公司概况</w:t>
      </w:r>
      <w:bookmarkEnd w:id="13"/>
      <w:bookmarkEnd w:id="14"/>
    </w:p>
    <w:p>
      <w:pPr>
        <w:spacing w:line="600" w:lineRule="exact"/>
        <w:ind w:firstLine="560" w:firstLineChars="200"/>
        <w:rPr>
          <w:rFonts w:ascii="幼圆" w:eastAsia="幼圆" w:hAnsi="幼圆" w:cs="幼圆" w:hint="eastAsia"/>
          <w:sz w:val="28"/>
        </w:rPr>
      </w:pPr>
      <w:r>
        <w:rPr>
          <w:rFonts w:ascii="幼圆" w:eastAsia="幼圆" w:hAnsi="幼圆" w:cs="幼圆" w:hint="eastAsia"/>
          <w:sz w:val="28"/>
          <w:lang w:val="en-US" w:eastAsia="zh-CN"/>
        </w:rPr>
        <w:t>海信智能家居公司是我国智能家电行业的代表性企业，深耕智能家电领域多年，海信智能家居在曾经在2018-2020年三年连续获得我国</w:t>
      </w:r>
      <w:r>
        <w:rPr>
          <w:rFonts w:ascii="幼圆" w:eastAsia="幼圆" w:hAnsi="幼圆" w:cs="幼圆" w:hint="eastAsia"/>
          <w:sz w:val="28"/>
          <w:lang w:val="en-US" w:eastAsia="zh-CN"/>
        </w:rPr>
        <w:t>“</w:t>
      </w:r>
      <w:r>
        <w:rPr>
          <w:rFonts w:ascii="幼圆" w:eastAsia="幼圆" w:hAnsi="幼圆" w:cs="幼圆" w:hint="eastAsia"/>
          <w:sz w:val="28"/>
          <w:lang w:val="en-US" w:eastAsia="zh-CN"/>
        </w:rPr>
        <w:t>国家智能家电企业荣誉金奖</w:t>
      </w:r>
      <w:r>
        <w:rPr>
          <w:rFonts w:ascii="幼圆" w:eastAsia="幼圆" w:hAnsi="幼圆" w:cs="幼圆" w:hint="eastAsia"/>
          <w:sz w:val="28"/>
          <w:lang w:val="en-US" w:eastAsia="zh-CN"/>
        </w:rPr>
        <w:t>”</w:t>
      </w:r>
      <w:r>
        <w:rPr>
          <w:rFonts w:ascii="幼圆" w:eastAsia="幼圆" w:hAnsi="幼圆" w:cs="幼圆" w:hint="eastAsia"/>
          <w:sz w:val="28"/>
          <w:lang w:val="en-US" w:eastAsia="zh-CN"/>
        </w:rPr>
        <w:t>、</w:t>
      </w:r>
      <w:r>
        <w:rPr>
          <w:rFonts w:ascii="幼圆" w:eastAsia="幼圆" w:hAnsi="幼圆" w:cs="幼圆" w:hint="eastAsia"/>
          <w:sz w:val="28"/>
          <w:lang w:val="en-US" w:eastAsia="zh-CN"/>
        </w:rPr>
        <w:t>“</w:t>
      </w:r>
      <w:r>
        <w:rPr>
          <w:rFonts w:ascii="幼圆" w:eastAsia="幼圆" w:hAnsi="幼圆" w:cs="幼圆" w:hint="eastAsia"/>
          <w:sz w:val="28"/>
          <w:lang w:val="en-US" w:eastAsia="zh-CN"/>
        </w:rPr>
        <w:t>国家优质纳税企业</w:t>
      </w:r>
      <w:r>
        <w:rPr>
          <w:rFonts w:ascii="幼圆" w:eastAsia="幼圆" w:hAnsi="幼圆" w:cs="幼圆" w:hint="eastAsia"/>
          <w:sz w:val="28"/>
          <w:lang w:val="en-US" w:eastAsia="zh-CN"/>
        </w:rPr>
        <w:t>”</w:t>
      </w:r>
      <w:r>
        <w:rPr>
          <w:rFonts w:ascii="幼圆" w:eastAsia="幼圆" w:hAnsi="幼圆" w:cs="幼圆" w:hint="eastAsia"/>
          <w:sz w:val="28"/>
          <w:lang w:val="en-US" w:eastAsia="zh-CN"/>
        </w:rPr>
        <w:t>以及入围了华润排行榜排出的</w:t>
      </w:r>
      <w:r>
        <w:rPr>
          <w:rFonts w:ascii="幼圆" w:eastAsia="幼圆" w:hAnsi="幼圆" w:cs="幼圆" w:hint="eastAsia"/>
          <w:sz w:val="28"/>
          <w:lang w:val="en-US" w:eastAsia="zh-CN"/>
        </w:rPr>
        <w:t>“</w:t>
      </w:r>
      <w:r>
        <w:rPr>
          <w:rFonts w:ascii="幼圆" w:eastAsia="幼圆" w:hAnsi="幼圆" w:cs="幼圆" w:hint="eastAsia"/>
          <w:sz w:val="28"/>
          <w:lang w:val="en-US" w:eastAsia="zh-CN"/>
        </w:rPr>
        <w:t>全球优质智能家电企业500强</w:t>
      </w:r>
      <w:r>
        <w:rPr>
          <w:rFonts w:ascii="幼圆" w:eastAsia="幼圆" w:hAnsi="幼圆" w:cs="幼圆" w:hint="eastAsia"/>
          <w:sz w:val="28"/>
          <w:lang w:val="en-US" w:eastAsia="zh-CN"/>
        </w:rPr>
        <w:t>”</w:t>
      </w:r>
      <w:r>
        <w:rPr>
          <w:rFonts w:ascii="幼圆" w:eastAsia="幼圆" w:hAnsi="幼圆" w:cs="幼圆" w:hint="eastAsia"/>
          <w:sz w:val="28"/>
          <w:lang w:val="en-US" w:eastAsia="zh-CN"/>
        </w:rPr>
        <w:t>。海信智能家居的发展是我国智能家电企业改革创新的缩影，因此能够在很大程度上代表着我国智能家电企业的发展状况。公司秉承</w:t>
      </w:r>
      <w:r>
        <w:rPr>
          <w:rFonts w:ascii="幼圆" w:eastAsia="幼圆" w:hAnsi="幼圆" w:cs="幼圆" w:hint="eastAsia"/>
          <w:sz w:val="28"/>
          <w:lang w:val="en-US" w:eastAsia="zh-CN"/>
        </w:rPr>
        <w:t>“</w:t>
      </w:r>
      <w:r>
        <w:rPr>
          <w:rFonts w:ascii="幼圆" w:eastAsia="幼圆" w:hAnsi="幼圆" w:cs="幼圆" w:hint="eastAsia"/>
          <w:sz w:val="28"/>
          <w:lang w:val="en-US" w:eastAsia="zh-CN"/>
        </w:rPr>
        <w:t>实干创造未来</w:t>
      </w:r>
      <w:r>
        <w:rPr>
          <w:rFonts w:ascii="幼圆" w:eastAsia="幼圆" w:hAnsi="幼圆" w:cs="幼圆" w:hint="eastAsia"/>
          <w:sz w:val="28"/>
          <w:lang w:val="en-US" w:eastAsia="zh-CN"/>
        </w:rPr>
        <w:t>”</w:t>
      </w:r>
      <w:r>
        <w:rPr>
          <w:rFonts w:ascii="幼圆" w:eastAsia="幼圆" w:hAnsi="幼圆" w:cs="幼圆" w:hint="eastAsia"/>
          <w:sz w:val="28"/>
          <w:lang w:val="en-US" w:eastAsia="zh-CN"/>
        </w:rPr>
        <w:t>的企业精神，坚持做出高品质产品，本着</w:t>
      </w:r>
      <w:r>
        <w:rPr>
          <w:rFonts w:ascii="幼圆" w:eastAsia="幼圆" w:hAnsi="幼圆" w:cs="幼圆" w:hint="eastAsia"/>
          <w:sz w:val="28"/>
          <w:lang w:val="en-US" w:eastAsia="zh-CN"/>
        </w:rPr>
        <w:t>“</w:t>
      </w:r>
      <w:r>
        <w:rPr>
          <w:rFonts w:ascii="幼圆" w:eastAsia="幼圆" w:hAnsi="幼圆" w:cs="幼圆" w:hint="eastAsia"/>
          <w:sz w:val="28"/>
          <w:lang w:val="en-US" w:eastAsia="zh-CN"/>
        </w:rPr>
        <w:t>追求、质量、技术、精神</w:t>
      </w:r>
      <w:r>
        <w:rPr>
          <w:rFonts w:ascii="幼圆" w:eastAsia="幼圆" w:hAnsi="幼圆" w:cs="幼圆" w:hint="eastAsia"/>
          <w:sz w:val="28"/>
          <w:lang w:val="en-US" w:eastAsia="zh-CN"/>
        </w:rPr>
        <w:t>”</w:t>
      </w:r>
      <w:r>
        <w:rPr>
          <w:rFonts w:ascii="幼圆" w:eastAsia="幼圆" w:hAnsi="幼圆" w:cs="幼圆" w:hint="eastAsia"/>
          <w:sz w:val="28"/>
          <w:lang w:val="en-US" w:eastAsia="zh-CN"/>
        </w:rPr>
        <w:t>8字宗旨，基于智能家电市场需求进行不断创新，使公司始终处于智能家电行业前沿，引领智能家电行业的发展。</w:t>
      </w:r>
    </w:p>
    <w:p>
      <w:pPr>
        <w:pStyle w:val="21"/>
        <w:ind w:left="0" w:firstLine="0" w:leftChars="0" w:firstLineChars="0"/>
        <w:rPr>
          <w:rFonts w:ascii="幼圆" w:eastAsia="幼圆" w:hAnsi="幼圆" w:cs="幼圆" w:hint="eastAsia"/>
          <w:sz w:val="24"/>
          <w:szCs w:val="24"/>
          <w:lang w:val="en-US" w:eastAsia="zh-CN"/>
        </w:rPr>
      </w:pPr>
      <w:r>
        <w:rPr>
          <w:rFonts w:ascii="幼圆" w:eastAsia="幼圆" w:hAnsi="幼圆" w:cs="幼圆" w:hint="eastAsia"/>
          <w:color w:val="auto"/>
          <w:sz w:val="24"/>
          <w:szCs w:val="24"/>
        </w:rPr>
        <w:pict>
          <v:group id="画布 102" o:spid="_x0000_i1025" editas="canvas" style="width:416.25pt;height:320.7pt" coordorigin="0,0" coordsize="5286375,4072890">
            <o:lock v:ext="edit" aspectratio="t"/>
            <o:diagram v:ext="edit" dgmstyle="0" dgmscalex="0" dgmscaley="0" reverse="f"/>
            <v:rect id="_x0000_s1026" editas="canvas" style="width:5286375;height:4072890;position:absolute;v-text-anchor:top" filled="f" stroked="f">
              <v:fill o:detectmouseclick="t"/>
              <v:shadow color="gray"/>
              <o:lock v:ext="edit" aspectratio="t"/>
              <o:diagram v:ext="edit" dgmstyle="0" dgmscalex="0" dgmscaley="0" reverse="f"/>
            </v:rect>
            <v:rect id="矩形 1" o:spid="_x0000_s1027" style="width:587375;height:297180;left:2461260;position:absolute;top:99060;v-text-anchor:top" filled="t" fillcolor="white" stroked="t">
              <v:fill color2="white"/>
              <v:stroke joinstyle="miter"/>
              <v:shadow color="gray"/>
              <o:lock v:ext="edit" aspectratio="f"/>
              <v:textbox style="layout-flow:horizontal">
                <w:txbxContent>
                  <w:p>
                    <w:pPr>
                      <w:ind w:firstLine="0" w:firstLineChars="0"/>
                      <w:rPr>
                        <w:sz w:val="18"/>
                        <w:szCs w:val="18"/>
                      </w:rPr>
                    </w:pPr>
                    <w:r>
                      <w:rPr>
                        <w:rFonts w:hint="eastAsia"/>
                        <w:sz w:val="18"/>
                        <w:szCs w:val="18"/>
                      </w:rPr>
                      <w:t>董事会</w:t>
                    </w:r>
                  </w:p>
                </w:txbxContent>
              </v:textbox>
            </v:rect>
            <v:line id="直接连接符 2" o:spid="_x0000_s1028" style="position:absolute" from="2743200,396240" to="2743835,594360" stroked="t">
              <v:fill o:detectmouseclick="t"/>
              <v:stroke joinstyle="round"/>
              <v:shadow color="gray"/>
              <o:lock v:ext="edit" aspectratio="f"/>
            </v:line>
            <v:rect id="矩形 3" o:spid="_x0000_s1029" style="width:587375;height:294640;left:2461260;position:absolute;top:594360;v-text-anchor:top" filled="t" fillcolor="white" stroked="t">
              <v:fill color2="white"/>
              <v:stroke joinstyle="miter"/>
              <v:shadow color="gray"/>
              <o:lock v:ext="edit" aspectratio="f"/>
              <v:textbox style="layout-flow:horizontal">
                <w:txbxContent>
                  <w:p>
                    <w:pPr>
                      <w:ind w:firstLine="0" w:firstLineChars="0"/>
                      <w:rPr>
                        <w:sz w:val="18"/>
                        <w:szCs w:val="18"/>
                      </w:rPr>
                    </w:pPr>
                    <w:r>
                      <w:rPr>
                        <w:rFonts w:hint="eastAsia"/>
                        <w:sz w:val="18"/>
                        <w:szCs w:val="18"/>
                      </w:rPr>
                      <w:t>总经理</w:t>
                    </w:r>
                  </w:p>
                </w:txbxContent>
              </v:textbox>
            </v:rect>
            <v:line id="直接连接符 4" o:spid="_x0000_s1030" style="position:absolute" from="2743200,495300" to="3886200,495935" stroked="t">
              <v:fill o:detectmouseclick="t"/>
              <v:stroke joinstyle="round"/>
              <v:shadow color="gray"/>
              <o:lock v:ext="edit" aspectratio="f"/>
            </v:line>
            <v:rect id="矩形 5" o:spid="_x0000_s1031" style="width:585470;height:297180;left:3886200;position:absolute;top:396240;v-text-anchor:top" filled="t" fillcolor="white" stroked="t">
              <v:fill color2="white"/>
              <v:stroke joinstyle="miter"/>
              <v:shadow color="gray"/>
              <o:lock v:ext="edit" aspectratio="f"/>
              <v:textbox style="layout-flow:horizontal">
                <w:txbxContent>
                  <w:p>
                    <w:pPr>
                      <w:ind w:firstLine="0" w:firstLineChars="0"/>
                      <w:rPr>
                        <w:sz w:val="18"/>
                        <w:szCs w:val="18"/>
                      </w:rPr>
                    </w:pPr>
                    <w:r>
                      <w:rPr>
                        <w:rFonts w:hint="eastAsia"/>
                        <w:sz w:val="18"/>
                        <w:szCs w:val="18"/>
                      </w:rPr>
                      <w:t>监事会</w:t>
                    </w:r>
                  </w:p>
                </w:txbxContent>
              </v:textbox>
            </v:rect>
            <v:line id="直接连接符 7" o:spid="_x0000_s1032" style="position:absolute" from="2743200,891540" to="2743835,990600" stroked="t">
              <v:fill o:detectmouseclick="t"/>
              <v:stroke joinstyle="round"/>
              <v:shadow color="gray"/>
              <o:lock v:ext="edit" aspectratio="f"/>
            </v:line>
            <v:line id="直接连接符 8" o:spid="_x0000_s1033" style="flip:y;position:absolute" from="685800,990600" to="4800600,991235" stroked="t">
              <v:fill o:detectmouseclick="t"/>
              <v:stroke joinstyle="round"/>
              <v:shadow color="gray"/>
              <o:lock v:ext="edit" aspectratio="f"/>
            </v:line>
            <v:line id="直接连接符 9" o:spid="_x0000_s1034" style="flip:x;position:absolute" from="685800,990600" to="686435,1287780" stroked="t">
              <v:fill o:detectmouseclick="t"/>
              <v:stroke joinstyle="round"/>
              <v:shadow color="gray"/>
              <o:lock v:ext="edit" aspectratio="f"/>
            </v:line>
            <v:line id="直接连接符 10" o:spid="_x0000_s1035" style="flip:x;position:absolute" from="1943100,990600" to="1943735,1287780" stroked="t">
              <v:fill o:detectmouseclick="t"/>
              <v:stroke joinstyle="round"/>
              <v:shadow color="gray"/>
              <o:lock v:ext="edit" aspectratio="f"/>
            </v:line>
            <v:rect id="矩形 11" o:spid="_x0000_s1036" style="width:685800;height:289560;left:1600200;position:absolute;top:1287780;v-text-anchor:top" filled="t" fillcolor="white" stroked="t">
              <v:fill color2="white"/>
              <v:stroke joinstyle="miter"/>
              <v:shadow color="gray"/>
              <o:lock v:ext="edit" aspectratio="f"/>
              <v:textbox style="layout-flow:horizontal" inset=",3.69pt,,3.69pt">
                <w:txbxContent>
                  <w:p>
                    <w:pPr>
                      <w:ind w:firstLine="0" w:firstLineChars="0"/>
                      <w:rPr>
                        <w:sz w:val="18"/>
                        <w:szCs w:val="18"/>
                      </w:rPr>
                    </w:pPr>
                    <w:r>
                      <w:rPr>
                        <w:rFonts w:hint="eastAsia"/>
                        <w:sz w:val="18"/>
                        <w:szCs w:val="18"/>
                      </w:rPr>
                      <w:t>运营总监</w:t>
                    </w:r>
                  </w:p>
                </w:txbxContent>
              </v:textbox>
            </v:rect>
            <v:rect id="矩形 14" o:spid="_x0000_s1037" style="width:685800;height:289560;left:3657600;position:absolute;top:1287780;v-text-anchor:top" filled="t" fillcolor="white" stroked="t">
              <v:fill color2="white"/>
              <v:stroke joinstyle="miter"/>
              <v:shadow color="gray"/>
              <o:lock v:ext="edit" aspectratio="f"/>
              <v:textbox style="layout-flow:horizontal" inset=",3.69pt,,3.69pt">
                <w:txbxContent>
                  <w:p>
                    <w:pPr>
                      <w:ind w:firstLine="0" w:firstLineChars="0"/>
                      <w:rPr>
                        <w:sz w:val="18"/>
                        <w:szCs w:val="18"/>
                      </w:rPr>
                    </w:pPr>
                    <w:r>
                      <w:rPr>
                        <w:rFonts w:hint="eastAsia"/>
                        <w:sz w:val="18"/>
                        <w:szCs w:val="18"/>
                      </w:rPr>
                      <w:t>财务总监</w:t>
                    </w:r>
                  </w:p>
                </w:txbxContent>
              </v:textbox>
            </v:rect>
            <v:rect id="矩形 15" o:spid="_x0000_s1038" style="width:685800;height:297180;left:4457700;position:absolute;top:1287780;v-text-anchor:top" filled="t" fillcolor="white" stroked="t">
              <v:fill color2="white"/>
              <v:stroke joinstyle="miter"/>
              <v:shadow color="gray"/>
              <o:lock v:ext="edit" aspectratio="f"/>
              <v:textbox style="layout-flow:horizontal" inset=",3.69pt,,3.69pt">
                <w:txbxContent>
                  <w:p>
                    <w:pPr>
                      <w:ind w:firstLine="0" w:firstLineChars="0"/>
                      <w:rPr>
                        <w:sz w:val="18"/>
                        <w:szCs w:val="18"/>
                      </w:rPr>
                    </w:pPr>
                    <w:r>
                      <w:rPr>
                        <w:rFonts w:hint="eastAsia"/>
                        <w:sz w:val="18"/>
                        <w:szCs w:val="18"/>
                      </w:rPr>
                      <w:t>行政总监</w:t>
                    </w:r>
                  </w:p>
                </w:txbxContent>
              </v:textbox>
            </v:rect>
            <v:rect id="矩形 17" o:spid="_x0000_s1039" style="width:685800;height:289560;left:342900;position:absolute;top:1287780;v-text-anchor:top" filled="t" fillcolor="white" stroked="t">
              <v:fill color2="white"/>
              <v:stroke joinstyle="miter"/>
              <v:shadow color="gray"/>
              <o:lock v:ext="edit" aspectratio="f"/>
              <v:textbox style="layout-flow:horizontal" inset=",3.69pt,,3.69pt">
                <w:txbxContent>
                  <w:p>
                    <w:pPr>
                      <w:ind w:firstLine="0" w:firstLineChars="0"/>
                      <w:rPr>
                        <w:sz w:val="18"/>
                        <w:szCs w:val="18"/>
                      </w:rPr>
                    </w:pPr>
                    <w:r>
                      <w:rPr>
                        <w:rFonts w:hint="eastAsia"/>
                        <w:sz w:val="18"/>
                        <w:szCs w:val="18"/>
                      </w:rPr>
                      <w:t>市场总监</w:t>
                    </w:r>
                  </w:p>
                </w:txbxContent>
              </v:textbox>
            </v:rect>
            <v:line id="直接连接符 18" o:spid="_x0000_s1040" style="flip:y;position:absolute" from="342900,1684020" to="1028700,1684655" stroked="t">
              <v:fill o:detectmouseclick="t"/>
              <v:stroke joinstyle="round"/>
              <v:shadow color="gray"/>
              <o:lock v:ext="edit" aspectratio="f"/>
            </v:line>
            <v:line id="直接连接符 19" o:spid="_x0000_s1041" style="position:absolute" from="343534,1684020" to="344169,1882140" stroked="t">
              <v:fill o:detectmouseclick="t"/>
              <v:stroke joinstyle="round"/>
              <v:shadow color="gray"/>
              <o:lock v:ext="edit" aspectratio="f"/>
            </v:line>
            <v:rect id="矩形 20" o:spid="_x0000_s1042" style="width:228600;height:693420;left:2286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投标部</w:t>
                    </w:r>
                  </w:p>
                </w:txbxContent>
              </v:textbox>
            </v:rect>
            <v:line id="直接连接符 21" o:spid="_x0000_s1043" style="flip:x;position:absolute" from="685800,1584960" to="686435,1882140" stroked="t">
              <v:fill o:detectmouseclick="t"/>
              <v:stroke joinstyle="round"/>
              <v:shadow color="gray"/>
              <o:lock v:ext="edit" aspectratio="f"/>
            </v:line>
            <v:rect id="矩形 22" o:spid="_x0000_s1044" style="width:228600;height:693420;left:5715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招标部</w:t>
                    </w:r>
                  </w:p>
                </w:txbxContent>
              </v:textbox>
            </v:rect>
            <v:line id="直接连接符 23" o:spid="_x0000_s1045" style="flip:x;position:absolute" from="1028700,1684020" to="1029970,1882140" stroked="t">
              <v:fill o:detectmouseclick="t"/>
              <v:stroke joinstyle="round"/>
              <v:shadow color="gray"/>
              <o:lock v:ext="edit" aspectratio="f"/>
            </v:line>
            <v:rect id="矩形 24" o:spid="_x0000_s1046" style="width:228600;height:693420;left:9144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信息部</w:t>
                    </w:r>
                  </w:p>
                </w:txbxContent>
              </v:textbox>
            </v:rect>
            <v:line id="直接连接符 25" o:spid="_x0000_s1047" style="position:absolute" from="1371600,1684020" to="2514600,1684655" stroked="t">
              <v:fill o:detectmouseclick="t"/>
              <v:stroke joinstyle="round"/>
              <v:shadow color="gray"/>
              <o:lock v:ext="edit" aspectratio="f"/>
            </v:line>
            <v:line id="直接连接符 26" o:spid="_x0000_s1048" style="flip:x;position:absolute" from="1371600,1684020" to="1372235,1882140" stroked="t">
              <v:fill o:detectmouseclick="t"/>
              <v:stroke joinstyle="round"/>
              <v:shadow color="gray"/>
              <o:lock v:ext="edit" aspectratio="f"/>
            </v:line>
            <v:line id="直接连接符 27" o:spid="_x0000_s1049" style="position:absolute" from="2171700,1684020" to="2172335,1882140" stroked="t">
              <v:fill o:detectmouseclick="t"/>
              <v:stroke joinstyle="round"/>
              <v:shadow color="gray"/>
              <o:lock v:ext="edit" aspectratio="f"/>
            </v:line>
            <v:line id="直接连接符 34" o:spid="_x0000_s1050" style="position:absolute" from="2514600,1684020" to="2515235,1882140" stroked="t">
              <v:fill o:detectmouseclick="t"/>
              <v:stroke joinstyle="round"/>
              <v:shadow color="gray"/>
              <o:lock v:ext="edit" aspectratio="f"/>
            </v:line>
            <v:rect id="矩形 37" o:spid="_x0000_s1051" style="width:228600;height:693420;left:12573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lang w:eastAsia="zh-CN"/>
                      </w:rPr>
                      <w:t>生产部</w:t>
                    </w:r>
                  </w:p>
                </w:txbxContent>
              </v:textbox>
            </v:rect>
            <v:rect id="矩形 38" o:spid="_x0000_s1052" style="width:228600;height:693420;left:20574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销售管</w:t>
                    </w:r>
                  </w:p>
                </w:txbxContent>
              </v:textbox>
            </v:rect>
            <v:rect id="矩形 39" o:spid="_x0000_s1053" style="width:228600;height:693420;left:24003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企划部</w:t>
                    </w:r>
                  </w:p>
                </w:txbxContent>
              </v:textbox>
            </v:rect>
            <v:line id="直接连接符 40" o:spid="_x0000_s1054" style="flip:x;position:absolute" from="4000500,1584960" to="4001135,1684020" stroked="t">
              <v:fill o:detectmouseclick="t"/>
              <v:stroke joinstyle="round"/>
              <v:shadow color="gray"/>
              <o:lock v:ext="edit" aspectratio="f"/>
            </v:line>
            <v:line id="直接连接符 41" o:spid="_x0000_s1055" style="flip:y;position:absolute" from="3771900,1684020" to="4229100,1684655" stroked="t">
              <v:fill o:detectmouseclick="t"/>
              <v:stroke joinstyle="round"/>
              <v:shadow color="gray"/>
              <o:lock v:ext="edit" aspectratio="f"/>
            </v:line>
            <v:line id="直接连接符 43" o:spid="_x0000_s1056" style="flip:x;position:absolute" from="3771900,1684020" to="3772535,1882140" stroked="t">
              <v:fill o:detectmouseclick="t"/>
              <v:stroke joinstyle="round"/>
              <v:shadow color="gray"/>
              <o:lock v:ext="edit" aspectratio="f"/>
            </v:line>
            <v:rect id="矩形 44" o:spid="_x0000_s1057" style="width:228600;height:693420;left:36576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财务部</w:t>
                    </w:r>
                  </w:p>
                </w:txbxContent>
              </v:textbox>
            </v:rect>
            <v:line id="直接连接符 45" o:spid="_x0000_s1058" style="flip:x;position:absolute" from="4229100,1684020" to="4229735,1882140" stroked="t">
              <v:fill o:detectmouseclick="t"/>
              <v:stroke joinstyle="round"/>
              <v:shadow color="gray"/>
              <o:lock v:ext="edit" aspectratio="f"/>
            </v:line>
            <v:rect id="矩形 50" o:spid="_x0000_s1059" style="width:228600;height:693420;left:41148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审计部</w:t>
                    </w:r>
                  </w:p>
                </w:txbxContent>
              </v:textbox>
            </v:rect>
            <v:line id="直接连接符 51" o:spid="_x0000_s1060" style="position:absolute" from="4800600,1584960" to="4801235,1684020" stroked="t">
              <v:fill o:detectmouseclick="t"/>
              <v:stroke joinstyle="round"/>
              <v:shadow color="gray"/>
              <o:lock v:ext="edit" aspectratio="f"/>
            </v:line>
            <v:line id="直接连接符 52" o:spid="_x0000_s1061" style="position:absolute" from="4572000,1684020" to="5029200,1684655" stroked="t">
              <v:fill o:detectmouseclick="t"/>
              <v:stroke joinstyle="round"/>
              <v:shadow color="gray"/>
              <o:lock v:ext="edit" aspectratio="f"/>
            </v:line>
            <v:line id="直接连接符 53" o:spid="_x0000_s1062" style="position:absolute" from="4572000,1684020" to="4572635,1882140" stroked="t">
              <v:fill o:detectmouseclick="t"/>
              <v:stroke joinstyle="round"/>
              <v:shadow color="gray"/>
              <o:lock v:ext="edit" aspectratio="f"/>
            </v:line>
            <v:line id="直接连接符 54" o:spid="_x0000_s1063" style="position:absolute" from="5029200,1684020" to="5029835,1882140" stroked="t">
              <v:fill o:detectmouseclick="t"/>
              <v:stroke joinstyle="round"/>
              <v:shadow color="gray"/>
              <o:lock v:ext="edit" aspectratio="f"/>
            </v:line>
            <v:rect id="矩形 55" o:spid="_x0000_s1064" style="width:228600;height:693420;left:44577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人力资源部</w:t>
                    </w:r>
                  </w:p>
                </w:txbxContent>
              </v:textbox>
            </v:rect>
            <v:rect id="矩形 56" o:spid="_x0000_s1065" style="width:228600;height:693420;left:49149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行政办公室</w:t>
                    </w:r>
                  </w:p>
                </w:txbxContent>
              </v:textbox>
            </v:rect>
            <v:line id="直接连接符 57" o:spid="_x0000_s1066" style="position:absolute" from="1943100,1584960" to="1943735,2773680" stroked="t">
              <v:fill o:detectmouseclick="t"/>
              <v:stroke joinstyle="round"/>
              <v:shadow color="gray"/>
              <o:lock v:ext="edit" aspectratio="f"/>
            </v:line>
            <v:rect id="矩形 58" o:spid="_x0000_s1067" style="width:228600;height:891540;left:11430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销售分公司一</w:t>
                    </w:r>
                  </w:p>
                </w:txbxContent>
              </v:textbox>
            </v:rect>
            <v:rect id="矩形 59" o:spid="_x0000_s1068" style="width:228600;height:891540;left:20574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销售分公司三</w:t>
                    </w:r>
                  </w:p>
                </w:txbxContent>
              </v:textbox>
            </v:rect>
            <v:rect id="矩形 60" o:spid="_x0000_s1069" style="width:228600;height:891540;left:16002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销售分公司二</w:t>
                    </w:r>
                  </w:p>
                </w:txbxContent>
              </v:textbox>
            </v:rect>
            <v:line id="直接连接符 66" o:spid="_x0000_s1070" style="position:absolute" from="1257300,2773680" to="2628900,2774315" stroked="t">
              <v:fill o:detectmouseclick="t"/>
              <v:stroke joinstyle="round"/>
              <v:shadow color="gray"/>
              <o:lock v:ext="edit" aspectratio="f"/>
            </v:line>
            <v:line id="直接连接符 74" o:spid="_x0000_s1071" style="position:absolute" from="1257300,2773680" to="1257935,2971800" stroked="t">
              <v:fill o:detectmouseclick="t"/>
              <v:stroke joinstyle="round"/>
              <v:shadow color="gray"/>
              <o:lock v:ext="edit" aspectratio="f"/>
            </v:line>
            <v:line id="直接连接符 75" o:spid="_x0000_s1072" style="flip:x;position:absolute" from="2171700,2773680" to="2172335,2971800" stroked="t">
              <v:fill o:detectmouseclick="t"/>
              <v:stroke joinstyle="round"/>
              <v:shadow color="gray"/>
              <o:lock v:ext="edit" aspectratio="f"/>
            </v:line>
            <v:line id="直接连接符 76" o:spid="_x0000_s1073" style="position:absolute" from="1714500,2773680" to="1715135,2971800" stroked="t">
              <v:fill o:detectmouseclick="t"/>
              <v:stroke joinstyle="round"/>
              <v:shadow color="gray"/>
              <o:lock v:ext="edit" aspectratio="f"/>
            </v:line>
            <v:line id="直接连接符 77" o:spid="_x0000_s1074" style="flip:x;position:absolute" from="2628900,2773680" to="2629535,2971800" stroked="t">
              <v:fill o:detectmouseclick="t"/>
              <v:stroke joinstyle="round"/>
              <v:shadow color="gray"/>
              <o:lock v:ext="edit" aspectratio="f"/>
            </v:line>
            <v:rect id="矩形 78" o:spid="_x0000_s1075" style="width:228600;height:891540;left:25146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销售分公司四</w:t>
                    </w:r>
                  </w:p>
                </w:txbxContent>
              </v:textbox>
            </v:rect>
            <v:line id="直接连接符 79" o:spid="_x0000_s1076" style="position:absolute" from="1714500,1684020" to="1715135,1882140" stroked="t">
              <v:fill o:detectmouseclick="t"/>
              <v:stroke joinstyle="round"/>
              <v:shadow color="gray"/>
              <o:lock v:ext="edit" aspectratio="f"/>
            </v:line>
            <v:rect id="矩形 80" o:spid="_x0000_s1077" style="width:228600;height:693420;left:16002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采购部</w:t>
                    </w:r>
                  </w:p>
                </w:txbxContent>
              </v:textbox>
            </v:rect>
            <v:line id="直接连接符 81" o:spid="_x0000_s1078" style="position:absolute" from="3086100,990600" to="3086735,1287780" stroked="t">
              <v:fill o:detectmouseclick="t"/>
              <v:stroke joinstyle="round"/>
              <v:shadow color="gray"/>
              <o:lock v:ext="edit" aspectratio="f"/>
            </v:line>
            <v:rect id="矩形 82" o:spid="_x0000_s1079" style="width:685800;height:289560;left:2743200;position:absolute;top:1287780;v-text-anchor:top" filled="t" fillcolor="white" stroked="t">
              <v:fill color2="white"/>
              <v:stroke joinstyle="miter"/>
              <v:shadow color="gray"/>
              <o:lock v:ext="edit" aspectratio="f"/>
              <v:textbox style="layout-flow:horizontal" inset=",3.69pt,,3.69pt">
                <w:txbxContent>
                  <w:p>
                    <w:pPr>
                      <w:ind w:firstLine="0" w:firstLineChars="0"/>
                      <w:rPr>
                        <w:sz w:val="18"/>
                        <w:szCs w:val="18"/>
                      </w:rPr>
                    </w:pPr>
                    <w:r>
                      <w:rPr>
                        <w:rFonts w:hint="eastAsia"/>
                        <w:sz w:val="18"/>
                        <w:szCs w:val="18"/>
                      </w:rPr>
                      <w:t>技术总监</w:t>
                    </w:r>
                  </w:p>
                </w:txbxContent>
              </v:textbox>
            </v:rect>
            <v:line id="直接连接符 83" o:spid="_x0000_s1080" style="position:absolute" from="3086100,1584960" to="3086735,1684020" stroked="t">
              <v:fill o:detectmouseclick="t"/>
              <v:stroke joinstyle="round"/>
              <v:shadow color="gray"/>
              <o:lock v:ext="edit" aspectratio="f"/>
            </v:line>
            <v:line id="直接连接符 84" o:spid="_x0000_s1081" style="position:absolute" from="2857500,1684020" to="3314700,1684655" stroked="t">
              <v:fill o:detectmouseclick="t"/>
              <v:stroke joinstyle="round"/>
              <v:shadow color="gray"/>
              <o:lock v:ext="edit" aspectratio="f"/>
            </v:line>
            <v:line id="直接连接符 85" o:spid="_x0000_s1082" style="position:absolute" from="2857500,1684020" to="2858135,1882140" stroked="t">
              <v:fill o:detectmouseclick="t"/>
              <v:stroke joinstyle="round"/>
              <v:shadow color="gray"/>
              <o:lock v:ext="edit" aspectratio="f"/>
            </v:line>
            <v:rect id="矩形 86" o:spid="_x0000_s1083" style="width:228600;height:693420;left:2743200;position:absolute;top:1882140;v-text-anchor:top" filled="t" fillcolor="white" stroked="t">
              <v:fill color2="white"/>
              <v:stroke joinstyle="miter"/>
              <v:shadow color="gray"/>
              <o:lock v:ext="edit" aspectratio="f"/>
              <v:textbox style="layout-flow:vertical-ideographic" inset="0,,0">
                <w:txbxContent>
                  <w:p>
                    <w:pPr>
                      <w:jc w:val="both"/>
                      <w:rPr>
                        <w:rFonts w:hint="eastAsia"/>
                        <w:sz w:val="18"/>
                        <w:szCs w:val="18"/>
                      </w:rPr>
                    </w:pPr>
                    <w:r>
                      <w:rPr>
                        <w:rFonts w:hint="eastAsia"/>
                        <w:sz w:val="18"/>
                        <w:szCs w:val="18"/>
                      </w:rPr>
                      <w:t>技术</w:t>
                    </w:r>
                    <w:r>
                      <w:rPr>
                        <w:rFonts w:hint="eastAsia"/>
                        <w:sz w:val="18"/>
                        <w:szCs w:val="18"/>
                        <w:lang w:eastAsia="zh-CN"/>
                      </w:rPr>
                      <w:t>部</w:t>
                    </w:r>
                  </w:p>
                </w:txbxContent>
              </v:textbox>
            </v:rect>
            <v:line id="直接连接符 87" o:spid="_x0000_s1084" style="flip:x;position:absolute" from="3314700,1684020" to="3315335,1882140" stroked="t">
              <v:fill o:detectmouseclick="t"/>
              <v:stroke joinstyle="round"/>
              <v:shadow color="gray"/>
              <o:lock v:ext="edit" aspectratio="f"/>
            </v:line>
            <v:rect id="矩形 88" o:spid="_x0000_s1085" style="width:228600;height:693420;left:3200400;position:absolute;top:188214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客户服</w:t>
                    </w:r>
                  </w:p>
                </w:txbxContent>
              </v:textbox>
            </v:rect>
            <v:rect id="矩形 89" o:spid="_x0000_s1086" style="width:228600;height:891540;left:29718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财务科一</w:t>
                    </w:r>
                  </w:p>
                </w:txbxContent>
              </v:textbox>
            </v:rect>
            <v:rect id="矩形 90" o:spid="_x0000_s1087" style="width:228600;height:891540;left:34290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财务科二</w:t>
                    </w:r>
                  </w:p>
                </w:txbxContent>
              </v:textbox>
            </v:rect>
            <v:rect id="矩形 91" o:spid="_x0000_s1088" style="width:228600;height:891540;left:38862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财务科三</w:t>
                    </w:r>
                  </w:p>
                </w:txbxContent>
              </v:textbox>
            </v:rect>
            <v:rect id="矩形 92" o:spid="_x0000_s1089" style="width:228600;height:891540;left:4343400;position:absolute;top:2971800;v-text-anchor:top" filled="t" fillcolor="white" stroked="t">
              <v:fill color2="white"/>
              <v:stroke joinstyle="miter"/>
              <v:shadow color="gray"/>
              <o:lock v:ext="edit" aspectratio="f"/>
              <v:textbox style="layout-flow:vertical-ideographic" inset="0,,0">
                <w:txbxContent>
                  <w:p>
                    <w:pPr>
                      <w:jc w:val="both"/>
                      <w:rPr>
                        <w:sz w:val="18"/>
                        <w:szCs w:val="18"/>
                      </w:rPr>
                    </w:pPr>
                    <w:r>
                      <w:rPr>
                        <w:rFonts w:hint="eastAsia"/>
                        <w:sz w:val="18"/>
                        <w:szCs w:val="18"/>
                      </w:rPr>
                      <w:t>财务科四</w:t>
                    </w:r>
                  </w:p>
                </w:txbxContent>
              </v:textbox>
            </v:rect>
            <v:line id="直接连接符 93" o:spid="_x0000_s1090" style="flip:y;position:absolute" from="4800600,990600" to="4800600,1287780" stroked="t">
              <v:fill o:detectmouseclick="t"/>
              <v:stroke joinstyle="round"/>
              <v:shadow color="gray"/>
              <o:lock v:ext="edit" aspectratio="f"/>
            </v:line>
            <v:line id="直接连接符 94" o:spid="_x0000_s1091" style="flip:y;position:absolute" from="4000500,990600" to="4000500,1287780" stroked="t">
              <v:fill o:detectmouseclick="t"/>
              <v:stroke joinstyle="round"/>
              <v:shadow color="gray"/>
              <o:lock v:ext="edit" aspectratio="f"/>
            </v:line>
            <v:line id="直接连接符 96" o:spid="_x0000_s1092" style="position:absolute" from="3086100,2773680" to="4457700,2774315" stroked="t">
              <v:fill o:detectmouseclick="t"/>
              <v:stroke joinstyle="round"/>
              <v:shadow color="gray"/>
              <o:lock v:ext="edit" aspectratio="f"/>
            </v:line>
            <v:line id="直接连接符 97" o:spid="_x0000_s1093" style="position:absolute" from="3086100,2773680" to="3086735,2971800" stroked="t">
              <v:fill o:detectmouseclick="t"/>
              <v:stroke joinstyle="round"/>
              <v:shadow color="gray"/>
              <o:lock v:ext="edit" aspectratio="f"/>
            </v:line>
            <v:line id="直接连接符 98" o:spid="_x0000_s1094" style="flip:x;position:absolute" from="4000500,2773680" to="4001135,2971800" stroked="t">
              <v:fill o:detectmouseclick="t"/>
              <v:stroke joinstyle="round"/>
              <v:shadow color="gray"/>
              <o:lock v:ext="edit" aspectratio="f"/>
            </v:line>
            <v:line id="直接连接符 99" o:spid="_x0000_s1095" style="position:absolute" from="3543300,2773680" to="3543935,2971800" stroked="t">
              <v:fill o:detectmouseclick="t"/>
              <v:stroke joinstyle="round"/>
              <v:shadow color="gray"/>
              <o:lock v:ext="edit" aspectratio="f"/>
            </v:line>
            <v:line id="直接连接符 100" o:spid="_x0000_s1096" style="flip:x;position:absolute" from="4457700,2773680" to="4458335,2971800" stroked="t">
              <v:fill o:detectmouseclick="t"/>
              <v:stroke joinstyle="round"/>
              <v:shadow color="gray"/>
              <o:lock v:ext="edit" aspectratio="f"/>
            </v:line>
            <v:line id="直接连接符 101" o:spid="_x0000_s1097" style="position:absolute" from="3771900,2575560" to="3772535,2773680" stroked="t">
              <v:fill o:detectmouseclick="t"/>
              <v:stroke joinstyle="round"/>
              <v:shadow color="gray"/>
              <o:lock v:ext="edit" aspectratio="f"/>
            </v:line>
            <w10:anchorlock/>
          </v:group>
        </w:pict>
      </w:r>
    </w:p>
    <w:p>
      <w:pPr>
        <w:snapToGrid w:val="0"/>
        <w:spacing w:line="600" w:lineRule="exact"/>
        <w:ind w:firstLine="570"/>
        <w:rPr>
          <w:rFonts w:ascii="幼圆" w:eastAsia="幼圆" w:hAnsi="幼圆" w:cs="幼圆" w:hint="eastAsia"/>
          <w:sz w:val="28"/>
          <w:szCs w:val="28"/>
        </w:rPr>
        <w:sectPr>
          <w:footerReference w:type="default" r:id="rId9"/>
          <w:type w:val="nextPage"/>
          <w:pgSz w:w="11906" w:h="16838"/>
          <w:pgMar w:top="1440" w:right="1800" w:bottom="1440" w:left="1800" w:header="851" w:footer="992" w:gutter="0"/>
          <w:pgNumType w:start="6"/>
          <w:cols w:space="708"/>
          <w:titlePg w:val="0"/>
          <w:docGrid w:type="lines" w:linePitch="312" w:charSpace="0"/>
        </w:sectPr>
      </w:pPr>
      <w:r>
        <w:rPr>
          <w:rFonts w:ascii="幼圆" w:eastAsia="幼圆" w:hAnsi="幼圆" w:cs="幼圆" w:hint="eastAsia"/>
          <w:b w:val="0"/>
          <w:bCs w:val="0"/>
          <w:color w:val="000000"/>
          <w:sz w:val="21"/>
          <w:szCs w:val="21"/>
          <w:lang w:val="en-US" w:eastAsia="zh-CN"/>
        </w:rPr>
        <w:t>图1 海信智能家居公司组织结构</w:t>
      </w:r>
    </w:p>
    <w:p>
      <w:pPr>
        <w:pStyle w:val="Heading2"/>
        <w:ind w:firstLine="602"/>
        <w:rPr>
          <w:rFonts w:ascii="幼圆" w:eastAsia="幼圆" w:hAnsi="幼圆" w:cs="幼圆" w:hint="eastAsia"/>
        </w:rPr>
      </w:pPr>
      <w:bookmarkStart w:id="15" w:name="_Toc22526"/>
      <w:bookmarkStart w:id="16" w:name="_Toc70953211"/>
      <w:r>
        <w:rPr>
          <w:rFonts w:ascii="幼圆" w:eastAsia="幼圆" w:hAnsi="幼圆" w:cs="幼圆" w:hint="eastAsia"/>
        </w:rPr>
        <w:t>（二）</w:t>
      </w:r>
      <w:r>
        <w:rPr>
          <w:rFonts w:ascii="幼圆" w:eastAsia="幼圆" w:hAnsi="幼圆" w:cs="幼圆" w:hint="eastAsia"/>
          <w:lang w:eastAsia="zh-CN"/>
        </w:rPr>
        <w:t>海信智能家居</w:t>
      </w:r>
      <w:r>
        <w:rPr>
          <w:rFonts w:ascii="幼圆" w:eastAsia="幼圆" w:hAnsi="幼圆" w:cs="幼圆" w:hint="eastAsia"/>
        </w:rPr>
        <w:t>公司应收账款管理及相关财务指标分析</w:t>
      </w:r>
      <w:bookmarkEnd w:id="15"/>
      <w:bookmarkEnd w:id="16"/>
    </w:p>
    <w:p>
      <w:pPr>
        <w:pStyle w:val="Heading3"/>
        <w:ind w:firstLine="582"/>
        <w:rPr>
          <w:rFonts w:ascii="幼圆" w:eastAsia="幼圆" w:hAnsi="幼圆" w:cs="幼圆" w:hint="eastAsia"/>
        </w:rPr>
      </w:pPr>
      <w:bookmarkStart w:id="17" w:name="_Toc70953212"/>
      <w:r>
        <w:rPr>
          <w:rFonts w:ascii="幼圆" w:eastAsia="幼圆" w:hAnsi="幼圆" w:cs="幼圆" w:hint="eastAsia"/>
        </w:rPr>
        <w:t>1.</w:t>
      </w:r>
      <w:r>
        <w:rPr>
          <w:rFonts w:ascii="幼圆" w:eastAsia="幼圆" w:hAnsi="幼圆" w:cs="幼圆" w:hint="eastAsia"/>
          <w:lang w:eastAsia="zh-CN"/>
        </w:rPr>
        <w:t>海信智能家居</w:t>
      </w:r>
      <w:r>
        <w:rPr>
          <w:rFonts w:ascii="幼圆" w:eastAsia="幼圆" w:hAnsi="幼圆" w:cs="幼圆" w:hint="eastAsia"/>
        </w:rPr>
        <w:t>公司应收账款管理现状</w:t>
      </w:r>
      <w:bookmarkEnd w:id="17"/>
    </w:p>
    <w:p>
      <w:pPr>
        <w:spacing w:line="600" w:lineRule="exact"/>
        <w:ind w:firstLine="560" w:firstLineChars="200"/>
        <w:rPr>
          <w:rFonts w:ascii="幼圆" w:eastAsia="幼圆" w:hAnsi="幼圆" w:cs="幼圆" w:hint="eastAsia"/>
          <w:sz w:val="28"/>
          <w:szCs w:val="28"/>
        </w:rPr>
      </w:pPr>
      <w:r>
        <w:rPr>
          <w:rFonts w:ascii="幼圆" w:eastAsia="幼圆" w:hAnsi="幼圆" w:cs="幼圆" w:hint="eastAsia"/>
          <w:sz w:val="28"/>
          <w:szCs w:val="28"/>
        </w:rPr>
        <w:t>根据《公司法》、《证券法》等法律法规和规范性文件的要求，</w:t>
      </w:r>
      <w:r>
        <w:rPr>
          <w:rFonts w:ascii="幼圆" w:eastAsia="幼圆" w:hAnsi="幼圆" w:cs="幼圆" w:hint="eastAsia"/>
          <w:sz w:val="28"/>
          <w:szCs w:val="28"/>
          <w:lang w:eastAsia="zh-CN"/>
        </w:rPr>
        <w:t>海信智能家居</w:t>
      </w:r>
      <w:r>
        <w:rPr>
          <w:rFonts w:ascii="幼圆" w:eastAsia="幼圆" w:hAnsi="幼圆" w:cs="幼圆" w:hint="eastAsia"/>
          <w:sz w:val="28"/>
          <w:szCs w:val="28"/>
        </w:rPr>
        <w:t>公司建立了一套与</w:t>
      </w:r>
      <w:r>
        <w:rPr>
          <w:rFonts w:ascii="幼圆" w:eastAsia="幼圆" w:hAnsi="幼圆" w:cs="幼圆" w:hint="eastAsia"/>
          <w:sz w:val="28"/>
          <w:szCs w:val="28"/>
          <w:lang w:eastAsia="zh-CN"/>
        </w:rPr>
        <w:t>海信</w:t>
      </w:r>
      <w:r>
        <w:rPr>
          <w:rFonts w:ascii="幼圆" w:eastAsia="幼圆" w:hAnsi="幼圆" w:cs="幼圆" w:hint="eastAsia"/>
          <w:sz w:val="28"/>
          <w:szCs w:val="28"/>
        </w:rPr>
        <w:t>公司实际情况相符且较为合理的内部控制制度，不但能提高</w:t>
      </w:r>
      <w:r>
        <w:rPr>
          <w:rFonts w:ascii="幼圆" w:eastAsia="幼圆" w:hAnsi="幼圆" w:cs="幼圆" w:hint="eastAsia"/>
          <w:sz w:val="28"/>
          <w:szCs w:val="28"/>
          <w:lang w:eastAsia="zh-CN"/>
        </w:rPr>
        <w:t>海信</w:t>
      </w:r>
      <w:r>
        <w:rPr>
          <w:rFonts w:ascii="幼圆" w:eastAsia="幼圆" w:hAnsi="幼圆" w:cs="幼圆" w:hint="eastAsia"/>
          <w:sz w:val="28"/>
          <w:szCs w:val="28"/>
        </w:rPr>
        <w:t>公司管理应收账款的效率、保护公司资金的安全，也可预防风险。然而，</w:t>
      </w:r>
      <w:r>
        <w:rPr>
          <w:rFonts w:ascii="幼圆" w:eastAsia="幼圆" w:hAnsi="幼圆" w:cs="幼圆" w:hint="eastAsia"/>
          <w:sz w:val="28"/>
          <w:szCs w:val="28"/>
          <w:lang w:eastAsia="zh-CN"/>
        </w:rPr>
        <w:t>海信智能家居</w:t>
      </w:r>
      <w:r>
        <w:rPr>
          <w:rFonts w:ascii="幼圆" w:eastAsia="幼圆" w:hAnsi="幼圆" w:cs="幼圆" w:hint="eastAsia"/>
          <w:sz w:val="28"/>
          <w:szCs w:val="28"/>
        </w:rPr>
        <w:t>公司尚且没有完整的应收账款管理体系，对应收账款的管理还有一定影响，</w:t>
      </w:r>
      <w:r>
        <w:rPr>
          <w:rFonts w:ascii="幼圆" w:eastAsia="幼圆" w:hAnsi="幼圆" w:cs="幼圆" w:hint="eastAsia"/>
          <w:sz w:val="28"/>
          <w:szCs w:val="28"/>
          <w:lang w:eastAsia="zh-CN"/>
        </w:rPr>
        <w:t>海信</w:t>
      </w:r>
      <w:r>
        <w:rPr>
          <w:rFonts w:ascii="幼圆" w:eastAsia="幼圆" w:hAnsi="幼圆" w:cs="幼圆" w:hint="eastAsia"/>
          <w:sz w:val="28"/>
          <w:szCs w:val="28"/>
        </w:rPr>
        <w:t>公司强调对客户信用状况的事前调查等，却忽视了对客户的信用管理和动态监控，造成回款不及时等问题的出现。</w:t>
      </w:r>
    </w:p>
    <w:p>
      <w:pPr>
        <w:pStyle w:val="Heading3"/>
        <w:ind w:firstLine="582"/>
        <w:rPr>
          <w:rFonts w:ascii="幼圆" w:eastAsia="幼圆" w:hAnsi="幼圆" w:cs="幼圆" w:hint="eastAsia"/>
        </w:rPr>
      </w:pPr>
      <w:bookmarkStart w:id="18" w:name="_Toc70953213"/>
      <w:r>
        <w:rPr>
          <w:rFonts w:ascii="幼圆" w:eastAsia="幼圆" w:hAnsi="幼圆" w:cs="幼圆" w:hint="eastAsia"/>
        </w:rPr>
        <w:t>2.应收账款规模</w:t>
      </w:r>
      <w:bookmarkEnd w:id="18"/>
    </w:p>
    <w:p>
      <w:pPr>
        <w:spacing w:line="600" w:lineRule="exact"/>
        <w:ind w:firstLine="560" w:firstLineChars="200"/>
        <w:rPr>
          <w:rFonts w:ascii="幼圆" w:eastAsia="幼圆" w:hAnsi="幼圆" w:cs="幼圆" w:hint="eastAsia"/>
          <w:sz w:val="28"/>
        </w:rPr>
      </w:pPr>
      <w:r>
        <w:rPr>
          <w:rFonts w:ascii="幼圆" w:eastAsia="幼圆" w:hAnsi="幼圆" w:cs="幼圆" w:hint="eastAsia"/>
          <w:sz w:val="28"/>
        </w:rPr>
        <w:t>据</w:t>
      </w:r>
      <w:r>
        <w:rPr>
          <w:rFonts w:ascii="幼圆" w:eastAsia="幼圆" w:hAnsi="幼圆" w:cs="幼圆" w:hint="eastAsia"/>
          <w:sz w:val="28"/>
          <w:lang w:eastAsia="zh-CN"/>
        </w:rPr>
        <w:t>2019</w:t>
      </w:r>
      <w:r>
        <w:rPr>
          <w:rFonts w:ascii="幼圆" w:eastAsia="幼圆" w:hAnsi="幼圆" w:cs="幼圆" w:hint="eastAsia"/>
          <w:sz w:val="28"/>
        </w:rPr>
        <w:t>-</w:t>
      </w:r>
      <w:r>
        <w:rPr>
          <w:rFonts w:ascii="幼圆" w:eastAsia="幼圆" w:hAnsi="幼圆" w:cs="幼圆" w:hint="eastAsia"/>
          <w:sz w:val="28"/>
          <w:lang w:eastAsia="zh-CN"/>
        </w:rPr>
        <w:t>2023</w:t>
      </w:r>
      <w:r>
        <w:rPr>
          <w:rFonts w:ascii="幼圆" w:eastAsia="幼圆" w:hAnsi="幼圆" w:cs="幼圆" w:hint="eastAsia"/>
          <w:sz w:val="28"/>
        </w:rPr>
        <w:t>年的应收账款总额数据显示，</w:t>
      </w:r>
      <w:r>
        <w:rPr>
          <w:rFonts w:ascii="幼圆" w:eastAsia="幼圆" w:hAnsi="幼圆" w:cs="幼圆" w:hint="eastAsia"/>
          <w:sz w:val="28"/>
          <w:szCs w:val="28"/>
          <w:lang w:eastAsia="zh-CN"/>
        </w:rPr>
        <w:t>海信智能家电</w:t>
      </w:r>
      <w:r>
        <w:rPr>
          <w:rFonts w:ascii="幼圆" w:eastAsia="幼圆" w:hAnsi="幼圆" w:cs="幼圆" w:hint="eastAsia"/>
          <w:sz w:val="28"/>
        </w:rPr>
        <w:t>公司的应收账款趋势呈现上下波动（见表2）,且该时间段的销售额基本在不断上升，但应收账款总额在不断下降。通常情况下，销售总额增长，应收账款也会相应上升；销售总额下降，应收账款会随之降低。但</w:t>
      </w:r>
      <w:r>
        <w:rPr>
          <w:rFonts w:ascii="幼圆" w:eastAsia="幼圆" w:hAnsi="幼圆" w:cs="幼圆" w:hint="eastAsia"/>
          <w:sz w:val="28"/>
          <w:lang w:eastAsia="zh-CN"/>
        </w:rPr>
        <w:t>海信智能家居</w:t>
      </w:r>
      <w:r>
        <w:rPr>
          <w:rFonts w:ascii="幼圆" w:eastAsia="幼圆" w:hAnsi="幼圆" w:cs="幼圆" w:hint="eastAsia"/>
          <w:sz w:val="28"/>
        </w:rPr>
        <w:t>公司的销售总额与应收账款的款项呈相反趋势，说明</w:t>
      </w:r>
      <w:r>
        <w:rPr>
          <w:rFonts w:ascii="幼圆" w:eastAsia="幼圆" w:hAnsi="幼圆" w:cs="幼圆" w:hint="eastAsia"/>
          <w:sz w:val="28"/>
          <w:szCs w:val="28"/>
          <w:lang w:eastAsia="zh-CN"/>
        </w:rPr>
        <w:t>海信</w:t>
      </w:r>
      <w:r>
        <w:rPr>
          <w:rFonts w:ascii="幼圆" w:eastAsia="幼圆" w:hAnsi="幼圆" w:cs="幼圆" w:hint="eastAsia"/>
          <w:sz w:val="28"/>
        </w:rPr>
        <w:t>公司在应收账款管理上实行的信用管理策略可能存在不合理的问题，使应收账款的回款情况无法得到保证，影响公司的现金流量，甚至会加大</w:t>
      </w:r>
      <w:r>
        <w:rPr>
          <w:rFonts w:ascii="幼圆" w:eastAsia="幼圆" w:hAnsi="幼圆" w:cs="幼圆" w:hint="eastAsia"/>
          <w:sz w:val="28"/>
          <w:szCs w:val="28"/>
          <w:lang w:eastAsia="zh-CN"/>
        </w:rPr>
        <w:t>海信</w:t>
      </w:r>
      <w:r>
        <w:rPr>
          <w:rFonts w:ascii="幼圆" w:eastAsia="幼圆" w:hAnsi="幼圆" w:cs="幼圆" w:hint="eastAsia"/>
          <w:sz w:val="28"/>
        </w:rPr>
        <w:t>企业的运营风险，从而影响企业未来的发展。</w:t>
      </w:r>
    </w:p>
    <w:p>
      <w:pPr>
        <w:tabs>
          <w:tab w:val="right" w:pos="8306"/>
        </w:tabs>
        <w:spacing w:line="600" w:lineRule="exact"/>
        <w:ind w:firstLine="560" w:firstLineChars="200"/>
        <w:rPr>
          <w:rFonts w:ascii="幼圆" w:eastAsia="幼圆" w:hAnsi="幼圆" w:cs="幼圆" w:hint="eastAsia"/>
          <w:sz w:val="28"/>
        </w:rPr>
      </w:pPr>
      <w:r>
        <w:rPr>
          <w:rFonts w:ascii="幼圆" w:eastAsia="幼圆" w:hAnsi="幼圆" w:cs="幼圆" w:hint="eastAsia"/>
          <w:sz w:val="28"/>
        </w:rPr>
        <w:t>1.应收账款占销售收入比例</w:t>
      </w:r>
      <w:r>
        <w:rPr>
          <w:rFonts w:ascii="幼圆" w:eastAsia="幼圆" w:hAnsi="幼圆" w:cs="幼圆" w:hint="eastAsia"/>
          <w:sz w:val="28"/>
        </w:rPr>
        <w:tab/>
      </w:r>
    </w:p>
    <w:p>
      <w:pPr>
        <w:spacing w:line="600" w:lineRule="exact"/>
        <w:ind w:firstLine="560" w:firstLineChars="200"/>
        <w:rPr>
          <w:rFonts w:ascii="幼圆" w:eastAsia="幼圆" w:hAnsi="幼圆" w:cs="幼圆" w:hint="eastAsia"/>
          <w:color w:val="FF0000"/>
          <w:sz w:val="28"/>
        </w:rPr>
      </w:pPr>
      <w:r>
        <w:rPr>
          <w:rFonts w:ascii="幼圆" w:eastAsia="幼圆" w:hAnsi="幼圆" w:cs="幼圆" w:hint="eastAsia"/>
          <w:sz w:val="28"/>
          <w:lang w:eastAsia="zh-CN"/>
        </w:rPr>
        <w:t>海信智能家居</w:t>
      </w:r>
      <w:r>
        <w:rPr>
          <w:rFonts w:ascii="幼圆" w:eastAsia="幼圆" w:hAnsi="幼圆" w:cs="幼圆" w:hint="eastAsia"/>
          <w:sz w:val="28"/>
        </w:rPr>
        <w:t>公司</w:t>
      </w:r>
      <w:r>
        <w:rPr>
          <w:rFonts w:ascii="幼圆" w:eastAsia="幼圆" w:hAnsi="幼圆" w:cs="幼圆" w:hint="eastAsia"/>
          <w:sz w:val="28"/>
          <w:lang w:eastAsia="zh-CN"/>
        </w:rPr>
        <w:t>2019</w:t>
      </w:r>
      <w:r>
        <w:rPr>
          <w:rFonts w:ascii="幼圆" w:eastAsia="幼圆" w:hAnsi="幼圆" w:cs="幼圆" w:hint="eastAsia"/>
          <w:sz w:val="28"/>
        </w:rPr>
        <w:t>-</w:t>
      </w:r>
      <w:r>
        <w:rPr>
          <w:rFonts w:ascii="幼圆" w:eastAsia="幼圆" w:hAnsi="幼圆" w:cs="幼圆" w:hint="eastAsia"/>
          <w:sz w:val="28"/>
          <w:lang w:eastAsia="zh-CN"/>
        </w:rPr>
        <w:t>2023</w:t>
      </w:r>
      <w:r>
        <w:rPr>
          <w:rFonts w:ascii="幼圆" w:eastAsia="幼圆" w:hAnsi="幼圆" w:cs="幼圆" w:hint="eastAsia"/>
          <w:sz w:val="28"/>
        </w:rPr>
        <w:t>年销售收入总体呈上升趋势，年末应收账款在当年销售总额中所占的百分比不稳定，上下波动，</w:t>
      </w:r>
      <w:r>
        <w:rPr>
          <w:rFonts w:ascii="幼圆" w:eastAsia="幼圆" w:hAnsi="幼圆" w:cs="幼圆" w:hint="eastAsia"/>
          <w:sz w:val="28"/>
          <w:lang w:eastAsia="zh-CN"/>
        </w:rPr>
        <w:t>2019</w:t>
      </w:r>
      <w:r>
        <w:rPr>
          <w:rFonts w:ascii="幼圆" w:eastAsia="幼圆" w:hAnsi="幼圆" w:cs="幼圆" w:hint="eastAsia"/>
          <w:sz w:val="28"/>
        </w:rPr>
        <w:t>-</w:t>
      </w:r>
      <w:r>
        <w:rPr>
          <w:rFonts w:ascii="幼圆" w:eastAsia="幼圆" w:hAnsi="幼圆" w:cs="幼圆" w:hint="eastAsia"/>
          <w:sz w:val="28"/>
          <w:lang w:eastAsia="zh-CN"/>
        </w:rPr>
        <w:t>2020</w:t>
      </w:r>
      <w:r>
        <w:rPr>
          <w:rFonts w:ascii="幼圆" w:eastAsia="幼圆" w:hAnsi="幼圆" w:cs="幼圆" w:hint="eastAsia"/>
          <w:sz w:val="28"/>
        </w:rPr>
        <w:t>年，由40%上升到44%；</w:t>
      </w:r>
      <w:r>
        <w:rPr>
          <w:rFonts w:ascii="幼圆" w:eastAsia="幼圆" w:hAnsi="幼圆" w:cs="幼圆" w:hint="eastAsia"/>
          <w:sz w:val="28"/>
          <w:lang w:eastAsia="zh-CN"/>
        </w:rPr>
        <w:t>2021</w:t>
      </w:r>
      <w:r>
        <w:rPr>
          <w:rFonts w:ascii="幼圆" w:eastAsia="幼圆" w:hAnsi="幼圆" w:cs="幼圆" w:hint="eastAsia"/>
          <w:sz w:val="28"/>
        </w:rPr>
        <w:t>-</w:t>
      </w:r>
      <w:r>
        <w:rPr>
          <w:rFonts w:ascii="幼圆" w:eastAsia="幼圆" w:hAnsi="幼圆" w:cs="幼圆" w:hint="eastAsia"/>
          <w:sz w:val="28"/>
          <w:lang w:eastAsia="zh-CN"/>
        </w:rPr>
        <w:t>2023</w:t>
      </w:r>
      <w:r>
        <w:rPr>
          <w:rFonts w:ascii="幼圆" w:eastAsia="幼圆" w:hAnsi="幼圆" w:cs="幼圆" w:hint="eastAsia"/>
          <w:color w:val="FF0000"/>
          <w:sz w:val="28"/>
        </w:rPr>
        <w:br/>
      </w:r>
      <w:r>
        <w:rPr>
          <w:rFonts w:ascii="幼圆" w:eastAsia="幼圆" w:hAnsi="幼圆" w:cs="幼圆" w:hint="eastAsia"/>
          <w:color w:val="FF0000"/>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https://d.book118.com/127140002046006044</w:t>
        </w:r>
      </w:hyperlink>
    </w:p>
    <w:p>
      <w:pPr>
        <w:spacing w:line="600" w:lineRule="exact"/>
        <w:ind w:firstLine="560" w:firstLineChars="200"/>
        <w:rPr>
          <w:rFonts w:ascii="幼圆" w:eastAsia="幼圆" w:hAnsi="幼圆" w:cs="幼圆" w:hint="eastAsia"/>
          <w:color w:val="FF0000"/>
          <w:sz w:val="28"/>
        </w:rPr>
      </w:pPr>
    </w:p>
    <w:sectPr>
      <w:footerReference w:type="default" r:id="rId11"/>
      <w:type w:val="nextPage"/>
      <w:pgSz w:w="11906" w:h="16838"/>
      <w:pgMar w:top="1440" w:right="1800" w:bottom="1440" w:left="1800" w:header="851" w:footer="992" w:gutter="0"/>
      <w:pgNumType w:start="7"/>
      <w:cols w:space="708"/>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default"/>
    <w:sig w:usb0="E4002EFF" w:usb1="C200247B" w:usb2="00000009" w:usb3="00000000" w:csb0="200001FF" w:csb1="00000000"/>
  </w:font>
  <w:font w:name="宋体">
    <w:panose1 w:val="02010600030101010101"/>
    <w:charset w:val="86"/>
    <w:family w:val="auto"/>
    <w:pitch w:val="default"/>
    <w:sig w:usb0="00000203" w:usb1="288F0000" w:usb2="00000006" w:usb3="00000000" w:csb0="00040001" w:csb1="00000000"/>
  </w:font>
  <w:font w:name="Times New Roman">
    <w:panose1 w:val="02020603050405020304"/>
    <w:charset w:val="86"/>
    <w:family w:val="auto"/>
    <w:pitch w:val="default"/>
    <w:sig w:usb0="E0002EFF" w:usb1="C000785B" w:usb2="00000009" w:usb3="00000000" w:csb0="400401FF" w:csb1="FFFF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roman"/>
    <w:pitch w:val="default"/>
    <w:sig w:usb0="00000000" w:usb1="00000000" w:usb2="00000000" w:usb3="00000000" w:csb0="0000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left" w:pos="2277"/>
        <w:tab w:val="center" w:pos="4153"/>
        <w:tab w:val="right" w:pos="8306"/>
      </w:tabs>
    </w:pPr>
    <w:r>
      <w:tab/>
    </w:r>
    <w:r>
      <w:tab/>
    </w:r>
    <w:r>
      <w:fldChar w:fldCharType="begin"/>
    </w:r>
    <w:r>
      <w:instrText>PAGE   \* MERGEFORMAT</w:instrText>
    </w:r>
    <w:r>
      <w:fldChar w:fldCharType="separate"/>
    </w:r>
    <w:r>
      <w:rPr>
        <w:lang w:val="zh-CN"/>
      </w:rPr>
      <w:t>1</w:t>
    </w:r>
    <w:r>
      <w:fldChar w:fldCharType="end"/>
    </w:r>
  </w:p>
  <w:p>
    <w:pPr>
      <w:pStyle w:val="Foote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left" w:pos="2277"/>
        <w:tab w:val="center" w:pos="4153"/>
        <w:tab w:val="right" w:pos="8306"/>
      </w:tabs>
    </w:pPr>
    <w:r>
      <w:tab/>
    </w:r>
    <w:r>
      <w:tab/>
    </w:r>
    <w:r>
      <w:fldChar w:fldCharType="begin"/>
    </w:r>
    <w:r>
      <w:instrText>PAGE   \* MERGEFORMAT</w:instrText>
    </w:r>
    <w:r>
      <w:fldChar w:fldCharType="separate"/>
    </w:r>
    <w:r>
      <w:rPr>
        <w:lang w:val="zh-CN"/>
      </w:rPr>
      <w:t>3</w:t>
    </w:r>
    <w:r>
      <w:fldChar w:fldCharType="end"/>
    </w:r>
  </w:p>
  <w:p>
    <w:pPr>
      <w:pStyle w:val="Foote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left" w:pos="2277"/>
        <w:tab w:val="center" w:pos="4153"/>
        <w:tab w:val="right" w:pos="8306"/>
      </w:tabs>
    </w:pPr>
    <w:r>
      <w:tab/>
    </w:r>
    <w:r>
      <w:tab/>
    </w:r>
    <w:r>
      <w:fldChar w:fldCharType="begin"/>
    </w:r>
    <w:r>
      <w:instrText>PAGE   \* MERGEFORMAT</w:instrText>
    </w:r>
    <w:r>
      <w:fldChar w:fldCharType="separate"/>
    </w:r>
    <w:r>
      <w:rPr>
        <w:lang w:val="zh-CN"/>
      </w:rPr>
      <w:t>3</w:t>
    </w:r>
    <w:r>
      <w:fldChar w:fldCharType="end"/>
    </w:r>
  </w:p>
  <w:p>
    <w:pPr>
      <w:pStyle w:val="Foote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left" w:pos="2277"/>
        <w:tab w:val="center" w:pos="4153"/>
        <w:tab w:val="right" w:pos="8306"/>
      </w:tabs>
    </w:pPr>
    <w:r>
      <w:tab/>
    </w:r>
    <w:r>
      <w:tab/>
    </w:r>
    <w:r>
      <w:fldChar w:fldCharType="begin"/>
    </w:r>
    <w:r>
      <w:instrText>PAGE   \* MERGEFORMAT</w:instrText>
    </w:r>
    <w:r>
      <w:fldChar w:fldCharType="separate"/>
    </w:r>
    <w:r>
      <w:rPr>
        <w:lang w:val="zh-CN"/>
      </w:rPr>
      <w:t>5</w:t>
    </w:r>
    <w:r>
      <w:fldChar w:fldCharType="end"/>
    </w:r>
  </w:p>
  <w:p>
    <w:pPr>
      <w:pStyle w:val="Footer"/>
      <w:tabs>
        <w:tab w:val="center" w:pos="4153"/>
        <w:tab w:val="right" w:pos="8306"/>
      </w:tabs>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left" w:pos="2277"/>
        <w:tab w:val="center" w:pos="4153"/>
        <w:tab w:val="right" w:pos="8306"/>
      </w:tabs>
    </w:pPr>
    <w:r>
      <w:tab/>
    </w:r>
    <w:r>
      <w:tab/>
    </w:r>
    <w:r>
      <w:fldChar w:fldCharType="begin"/>
    </w:r>
    <w:r>
      <w:instrText>PAGE   \* MERGEFORMAT</w:instrText>
    </w:r>
    <w:r>
      <w:fldChar w:fldCharType="separate"/>
    </w:r>
    <w:r>
      <w:rPr>
        <w:lang w:val="zh-CN"/>
      </w:rPr>
      <w:t>5</w:t>
    </w:r>
    <w:r>
      <w:fldChar w:fldCharType="end"/>
    </w:r>
  </w:p>
  <w:p>
    <w:pPr>
      <w:pStyle w:val="Footer"/>
      <w:tabs>
        <w:tab w:val="center" w:pos="4153"/>
        <w:tab w:val="right" w:pos="8306"/>
      </w:tabs>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left" w:pos="2277"/>
        <w:tab w:val="center" w:pos="4153"/>
        <w:tab w:val="right" w:pos="8306"/>
      </w:tabs>
    </w:pPr>
    <w:r>
      <w:tab/>
    </w:r>
    <w:r>
      <w:tab/>
    </w:r>
    <w:r>
      <w:fldChar w:fldCharType="begin"/>
    </w:r>
    <w:r>
      <w:instrText>PAGE   \* MERGEFORMAT</w:instrText>
    </w:r>
    <w:r>
      <w:fldChar w:fldCharType="separate"/>
    </w:r>
    <w:r>
      <w:rPr>
        <w:lang w:val="zh-CN"/>
      </w:rPr>
      <w:t>6</w:t>
    </w:r>
    <w:r>
      <w:fldChar w:fldCharType="end"/>
    </w:r>
  </w:p>
  <w:p>
    <w:pPr>
      <w:pStyle w:val="Footer"/>
      <w:tabs>
        <w:tab w:val="center" w:pos="4153"/>
        <w:tab w:val="right" w:pos="8306"/>
      </w:tabs>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Footer"/>
      <w:tabs>
        <w:tab w:val="left" w:pos="2277"/>
        <w:tab w:val="center" w:pos="4153"/>
        <w:tab w:val="right" w:pos="8306"/>
      </w:tabs>
    </w:pPr>
    <w:r>
      <w:tab/>
    </w:r>
    <w:r>
      <w:tab/>
    </w:r>
    <w:r>
      <w:fldChar w:fldCharType="begin"/>
    </w:r>
    <w:r>
      <w:instrText>PAGE   \* MERGEFORMAT</w:instrText>
    </w:r>
    <w:r>
      <w:fldChar w:fldCharType="separate"/>
    </w:r>
    <w:r>
      <w:rPr>
        <w:lang w:val="zh-CN"/>
      </w:rPr>
      <w:t>7</w:t>
    </w:r>
    <w:r>
      <w:fldChar w:fldCharType="end"/>
    </w:r>
  </w:p>
  <w:p>
    <w:pPr>
      <w:pStyle w:val="Footer"/>
      <w:tabs>
        <w:tab w:val="center" w:pos="4153"/>
        <w:tab w:val="right" w:pos="8306"/>
      </w:tabs>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8365A"/>
    <w:rsid w:val="00006DD8"/>
    <w:rsid w:val="00016B79"/>
    <w:rsid w:val="0002056C"/>
    <w:rsid w:val="00024033"/>
    <w:rsid w:val="00024DFB"/>
    <w:rsid w:val="00026AF9"/>
    <w:rsid w:val="000304F0"/>
    <w:rsid w:val="00030B7D"/>
    <w:rsid w:val="00036BB1"/>
    <w:rsid w:val="00041D28"/>
    <w:rsid w:val="00045AE3"/>
    <w:rsid w:val="0004622A"/>
    <w:rsid w:val="00046262"/>
    <w:rsid w:val="000468B9"/>
    <w:rsid w:val="00047BEC"/>
    <w:rsid w:val="000514C7"/>
    <w:rsid w:val="00051A96"/>
    <w:rsid w:val="00052381"/>
    <w:rsid w:val="00057CDA"/>
    <w:rsid w:val="00064500"/>
    <w:rsid w:val="00070AF8"/>
    <w:rsid w:val="00070C81"/>
    <w:rsid w:val="00076A7C"/>
    <w:rsid w:val="00080CB3"/>
    <w:rsid w:val="0008312C"/>
    <w:rsid w:val="0008365A"/>
    <w:rsid w:val="00083733"/>
    <w:rsid w:val="00086D6D"/>
    <w:rsid w:val="00087C8A"/>
    <w:rsid w:val="0009002F"/>
    <w:rsid w:val="000931E6"/>
    <w:rsid w:val="000A0B11"/>
    <w:rsid w:val="000A3CDE"/>
    <w:rsid w:val="000B137F"/>
    <w:rsid w:val="000B15F0"/>
    <w:rsid w:val="000B2791"/>
    <w:rsid w:val="000B4258"/>
    <w:rsid w:val="000B5F28"/>
    <w:rsid w:val="000C29C1"/>
    <w:rsid w:val="000D276D"/>
    <w:rsid w:val="000D63CF"/>
    <w:rsid w:val="000E5831"/>
    <w:rsid w:val="000F23B0"/>
    <w:rsid w:val="000F4140"/>
    <w:rsid w:val="000F41DC"/>
    <w:rsid w:val="000F46DB"/>
    <w:rsid w:val="000F6AED"/>
    <w:rsid w:val="001013C2"/>
    <w:rsid w:val="00106ED5"/>
    <w:rsid w:val="001121B7"/>
    <w:rsid w:val="001141D3"/>
    <w:rsid w:val="001143BE"/>
    <w:rsid w:val="0011638B"/>
    <w:rsid w:val="00117E63"/>
    <w:rsid w:val="00125C4E"/>
    <w:rsid w:val="001359A0"/>
    <w:rsid w:val="00141808"/>
    <w:rsid w:val="001427C7"/>
    <w:rsid w:val="00143DB0"/>
    <w:rsid w:val="00144C85"/>
    <w:rsid w:val="001528B2"/>
    <w:rsid w:val="00152FD3"/>
    <w:rsid w:val="00153796"/>
    <w:rsid w:val="001553E2"/>
    <w:rsid w:val="00156E7C"/>
    <w:rsid w:val="00157899"/>
    <w:rsid w:val="0016029A"/>
    <w:rsid w:val="00163390"/>
    <w:rsid w:val="00164702"/>
    <w:rsid w:val="00174E52"/>
    <w:rsid w:val="00176BA0"/>
    <w:rsid w:val="00181D74"/>
    <w:rsid w:val="001843F0"/>
    <w:rsid w:val="00192EE2"/>
    <w:rsid w:val="00193B7B"/>
    <w:rsid w:val="001973E6"/>
    <w:rsid w:val="001A031F"/>
    <w:rsid w:val="001A3A7E"/>
    <w:rsid w:val="001A50C2"/>
    <w:rsid w:val="001A5D86"/>
    <w:rsid w:val="001A69C1"/>
    <w:rsid w:val="001A7652"/>
    <w:rsid w:val="001C10DA"/>
    <w:rsid w:val="001C3041"/>
    <w:rsid w:val="001D0853"/>
    <w:rsid w:val="001D2D50"/>
    <w:rsid w:val="001E11C7"/>
    <w:rsid w:val="001E3465"/>
    <w:rsid w:val="001F7969"/>
    <w:rsid w:val="00200550"/>
    <w:rsid w:val="00201D34"/>
    <w:rsid w:val="00202FCB"/>
    <w:rsid w:val="002078A3"/>
    <w:rsid w:val="00207976"/>
    <w:rsid w:val="0021157A"/>
    <w:rsid w:val="0021192A"/>
    <w:rsid w:val="0021649C"/>
    <w:rsid w:val="002217FB"/>
    <w:rsid w:val="002244F0"/>
    <w:rsid w:val="00226630"/>
    <w:rsid w:val="00227DA4"/>
    <w:rsid w:val="0023303C"/>
    <w:rsid w:val="00233E63"/>
    <w:rsid w:val="002378BE"/>
    <w:rsid w:val="00237C6D"/>
    <w:rsid w:val="002427D2"/>
    <w:rsid w:val="00247D76"/>
    <w:rsid w:val="00256902"/>
    <w:rsid w:val="0025704B"/>
    <w:rsid w:val="00260FDE"/>
    <w:rsid w:val="00261119"/>
    <w:rsid w:val="00266CB7"/>
    <w:rsid w:val="00271940"/>
    <w:rsid w:val="00282319"/>
    <w:rsid w:val="002831A6"/>
    <w:rsid w:val="00285031"/>
    <w:rsid w:val="002851B0"/>
    <w:rsid w:val="002863A9"/>
    <w:rsid w:val="00287A7D"/>
    <w:rsid w:val="00291D8F"/>
    <w:rsid w:val="00293BAB"/>
    <w:rsid w:val="002A0101"/>
    <w:rsid w:val="002A0B37"/>
    <w:rsid w:val="002A1725"/>
    <w:rsid w:val="002A4653"/>
    <w:rsid w:val="002A7359"/>
    <w:rsid w:val="002B0569"/>
    <w:rsid w:val="002B0DA3"/>
    <w:rsid w:val="002B0F48"/>
    <w:rsid w:val="002B2E4D"/>
    <w:rsid w:val="002B5513"/>
    <w:rsid w:val="002B565E"/>
    <w:rsid w:val="002B5F83"/>
    <w:rsid w:val="002C1C9F"/>
    <w:rsid w:val="002C21C7"/>
    <w:rsid w:val="002C3BB4"/>
    <w:rsid w:val="002D17DA"/>
    <w:rsid w:val="002D5286"/>
    <w:rsid w:val="002D7CE9"/>
    <w:rsid w:val="002E2BA0"/>
    <w:rsid w:val="002E3E6A"/>
    <w:rsid w:val="002E78A3"/>
    <w:rsid w:val="002F0757"/>
    <w:rsid w:val="002F76C2"/>
    <w:rsid w:val="00302F33"/>
    <w:rsid w:val="0030490E"/>
    <w:rsid w:val="00312606"/>
    <w:rsid w:val="00313118"/>
    <w:rsid w:val="00314693"/>
    <w:rsid w:val="003155AB"/>
    <w:rsid w:val="003160D6"/>
    <w:rsid w:val="0032337F"/>
    <w:rsid w:val="0032762C"/>
    <w:rsid w:val="0033042D"/>
    <w:rsid w:val="00331822"/>
    <w:rsid w:val="0033482D"/>
    <w:rsid w:val="0034055B"/>
    <w:rsid w:val="003429E3"/>
    <w:rsid w:val="00343E9A"/>
    <w:rsid w:val="003440D0"/>
    <w:rsid w:val="0034566C"/>
    <w:rsid w:val="003503C4"/>
    <w:rsid w:val="00350FD0"/>
    <w:rsid w:val="00352913"/>
    <w:rsid w:val="00357361"/>
    <w:rsid w:val="003610C2"/>
    <w:rsid w:val="0036348B"/>
    <w:rsid w:val="003651F4"/>
    <w:rsid w:val="003721A9"/>
    <w:rsid w:val="003764BE"/>
    <w:rsid w:val="003770E9"/>
    <w:rsid w:val="003776E0"/>
    <w:rsid w:val="00383390"/>
    <w:rsid w:val="00383BFC"/>
    <w:rsid w:val="0038557E"/>
    <w:rsid w:val="00394604"/>
    <w:rsid w:val="003A134B"/>
    <w:rsid w:val="003A63EE"/>
    <w:rsid w:val="003A78CD"/>
    <w:rsid w:val="003B31A9"/>
    <w:rsid w:val="003B326C"/>
    <w:rsid w:val="003B6569"/>
    <w:rsid w:val="003B7499"/>
    <w:rsid w:val="003B77D6"/>
    <w:rsid w:val="003C05B9"/>
    <w:rsid w:val="003C369D"/>
    <w:rsid w:val="003C3955"/>
    <w:rsid w:val="003C3AF3"/>
    <w:rsid w:val="003C6470"/>
    <w:rsid w:val="003C7871"/>
    <w:rsid w:val="003D3BD1"/>
    <w:rsid w:val="003D6DB0"/>
    <w:rsid w:val="003E5E27"/>
    <w:rsid w:val="003E6191"/>
    <w:rsid w:val="003E6412"/>
    <w:rsid w:val="003E7AC3"/>
    <w:rsid w:val="003F778F"/>
    <w:rsid w:val="00403992"/>
    <w:rsid w:val="00403FE4"/>
    <w:rsid w:val="00406757"/>
    <w:rsid w:val="00406BE8"/>
    <w:rsid w:val="004209DC"/>
    <w:rsid w:val="00422440"/>
    <w:rsid w:val="0042468A"/>
    <w:rsid w:val="00426808"/>
    <w:rsid w:val="004305C3"/>
    <w:rsid w:val="00440E64"/>
    <w:rsid w:val="004456EE"/>
    <w:rsid w:val="00445764"/>
    <w:rsid w:val="0044649C"/>
    <w:rsid w:val="00450015"/>
    <w:rsid w:val="004507DB"/>
    <w:rsid w:val="004511C4"/>
    <w:rsid w:val="00452551"/>
    <w:rsid w:val="00453558"/>
    <w:rsid w:val="00460A9D"/>
    <w:rsid w:val="0046107D"/>
    <w:rsid w:val="00466C05"/>
    <w:rsid w:val="00472151"/>
    <w:rsid w:val="00487C1A"/>
    <w:rsid w:val="00491DB2"/>
    <w:rsid w:val="00494B59"/>
    <w:rsid w:val="004A1436"/>
    <w:rsid w:val="004A4DE9"/>
    <w:rsid w:val="004B223D"/>
    <w:rsid w:val="004B2FFB"/>
    <w:rsid w:val="004B3873"/>
    <w:rsid w:val="004B3918"/>
    <w:rsid w:val="004B4978"/>
    <w:rsid w:val="004C182A"/>
    <w:rsid w:val="004C1995"/>
    <w:rsid w:val="004C4220"/>
    <w:rsid w:val="004C5156"/>
    <w:rsid w:val="004C60C9"/>
    <w:rsid w:val="004D36B8"/>
    <w:rsid w:val="004D47BE"/>
    <w:rsid w:val="004E19B0"/>
    <w:rsid w:val="004E3A62"/>
    <w:rsid w:val="0050271E"/>
    <w:rsid w:val="00502ED5"/>
    <w:rsid w:val="00503633"/>
    <w:rsid w:val="0050495B"/>
    <w:rsid w:val="00506CEF"/>
    <w:rsid w:val="00506E75"/>
    <w:rsid w:val="005157D1"/>
    <w:rsid w:val="00515F39"/>
    <w:rsid w:val="005211CF"/>
    <w:rsid w:val="0052316C"/>
    <w:rsid w:val="00525154"/>
    <w:rsid w:val="00525274"/>
    <w:rsid w:val="00526689"/>
    <w:rsid w:val="005271B1"/>
    <w:rsid w:val="00527A08"/>
    <w:rsid w:val="00527CEC"/>
    <w:rsid w:val="00531A33"/>
    <w:rsid w:val="00533348"/>
    <w:rsid w:val="00535236"/>
    <w:rsid w:val="00535913"/>
    <w:rsid w:val="00542DE2"/>
    <w:rsid w:val="00542F59"/>
    <w:rsid w:val="0055039E"/>
    <w:rsid w:val="00553111"/>
    <w:rsid w:val="00555402"/>
    <w:rsid w:val="005570C4"/>
    <w:rsid w:val="00560BA9"/>
    <w:rsid w:val="00561AB4"/>
    <w:rsid w:val="005654A6"/>
    <w:rsid w:val="005707D1"/>
    <w:rsid w:val="005735A4"/>
    <w:rsid w:val="00573A6D"/>
    <w:rsid w:val="0057616F"/>
    <w:rsid w:val="0057693F"/>
    <w:rsid w:val="005823EB"/>
    <w:rsid w:val="00582826"/>
    <w:rsid w:val="0058723F"/>
    <w:rsid w:val="00594423"/>
    <w:rsid w:val="005A4E3D"/>
    <w:rsid w:val="005A68BC"/>
    <w:rsid w:val="005B1C52"/>
    <w:rsid w:val="005B286D"/>
    <w:rsid w:val="005B41C6"/>
    <w:rsid w:val="005C3253"/>
    <w:rsid w:val="005C6444"/>
    <w:rsid w:val="005C739B"/>
    <w:rsid w:val="005C7FA3"/>
    <w:rsid w:val="005D38B4"/>
    <w:rsid w:val="005D3E13"/>
    <w:rsid w:val="005D5673"/>
    <w:rsid w:val="005D5D40"/>
    <w:rsid w:val="005E2D76"/>
    <w:rsid w:val="005F14D5"/>
    <w:rsid w:val="005F2C18"/>
    <w:rsid w:val="00600A19"/>
    <w:rsid w:val="00607A9C"/>
    <w:rsid w:val="00610E1E"/>
    <w:rsid w:val="0061132F"/>
    <w:rsid w:val="0061348D"/>
    <w:rsid w:val="00617EA9"/>
    <w:rsid w:val="006207DC"/>
    <w:rsid w:val="00620CD3"/>
    <w:rsid w:val="006245D1"/>
    <w:rsid w:val="006267C1"/>
    <w:rsid w:val="00632ADF"/>
    <w:rsid w:val="0063783A"/>
    <w:rsid w:val="006442A4"/>
    <w:rsid w:val="00651387"/>
    <w:rsid w:val="00652E54"/>
    <w:rsid w:val="00654D67"/>
    <w:rsid w:val="00661E9B"/>
    <w:rsid w:val="0066252C"/>
    <w:rsid w:val="00662A03"/>
    <w:rsid w:val="0066356A"/>
    <w:rsid w:val="00663E0E"/>
    <w:rsid w:val="00666133"/>
    <w:rsid w:val="00672853"/>
    <w:rsid w:val="00672B39"/>
    <w:rsid w:val="00675367"/>
    <w:rsid w:val="00680E35"/>
    <w:rsid w:val="006914F3"/>
    <w:rsid w:val="0069340B"/>
    <w:rsid w:val="00693CBE"/>
    <w:rsid w:val="0069449E"/>
    <w:rsid w:val="00697E44"/>
    <w:rsid w:val="006A1681"/>
    <w:rsid w:val="006B03C2"/>
    <w:rsid w:val="006B50A2"/>
    <w:rsid w:val="006B73C3"/>
    <w:rsid w:val="006C2FD5"/>
    <w:rsid w:val="006C4026"/>
    <w:rsid w:val="006D1F61"/>
    <w:rsid w:val="006D4DCF"/>
    <w:rsid w:val="006D53E8"/>
    <w:rsid w:val="006D7384"/>
    <w:rsid w:val="006E25A2"/>
    <w:rsid w:val="006E3720"/>
    <w:rsid w:val="006E39CC"/>
    <w:rsid w:val="006E5DE9"/>
    <w:rsid w:val="006F0A03"/>
    <w:rsid w:val="006F0A98"/>
    <w:rsid w:val="006F1E92"/>
    <w:rsid w:val="006F3152"/>
    <w:rsid w:val="006F7EDF"/>
    <w:rsid w:val="00700F59"/>
    <w:rsid w:val="00706229"/>
    <w:rsid w:val="007070F0"/>
    <w:rsid w:val="00707793"/>
    <w:rsid w:val="0071042B"/>
    <w:rsid w:val="00712818"/>
    <w:rsid w:val="0071294E"/>
    <w:rsid w:val="007224E4"/>
    <w:rsid w:val="00723B0E"/>
    <w:rsid w:val="007245BA"/>
    <w:rsid w:val="007248D8"/>
    <w:rsid w:val="00726E9D"/>
    <w:rsid w:val="0073195C"/>
    <w:rsid w:val="00732E3F"/>
    <w:rsid w:val="007341A8"/>
    <w:rsid w:val="00735074"/>
    <w:rsid w:val="00737B44"/>
    <w:rsid w:val="00741753"/>
    <w:rsid w:val="007427F0"/>
    <w:rsid w:val="0074582E"/>
    <w:rsid w:val="00751B39"/>
    <w:rsid w:val="00752817"/>
    <w:rsid w:val="00760F1B"/>
    <w:rsid w:val="00763584"/>
    <w:rsid w:val="007642A4"/>
    <w:rsid w:val="00764C97"/>
    <w:rsid w:val="0077708F"/>
    <w:rsid w:val="00787B08"/>
    <w:rsid w:val="00792EAE"/>
    <w:rsid w:val="00793962"/>
    <w:rsid w:val="00797C7F"/>
    <w:rsid w:val="007A6670"/>
    <w:rsid w:val="007A6949"/>
    <w:rsid w:val="007B6D20"/>
    <w:rsid w:val="007B6DBB"/>
    <w:rsid w:val="007B78A6"/>
    <w:rsid w:val="007C0C12"/>
    <w:rsid w:val="007C119C"/>
    <w:rsid w:val="007C6058"/>
    <w:rsid w:val="007C6B4F"/>
    <w:rsid w:val="007D2E0F"/>
    <w:rsid w:val="007E2EEC"/>
    <w:rsid w:val="007E37F4"/>
    <w:rsid w:val="007F04B8"/>
    <w:rsid w:val="007F42DC"/>
    <w:rsid w:val="00805EF6"/>
    <w:rsid w:val="00806A47"/>
    <w:rsid w:val="00806F3E"/>
    <w:rsid w:val="00820ADC"/>
    <w:rsid w:val="0082429E"/>
    <w:rsid w:val="00836D67"/>
    <w:rsid w:val="00840934"/>
    <w:rsid w:val="00843049"/>
    <w:rsid w:val="008464C5"/>
    <w:rsid w:val="008469BC"/>
    <w:rsid w:val="00847C32"/>
    <w:rsid w:val="00847E3F"/>
    <w:rsid w:val="00850A32"/>
    <w:rsid w:val="0085222C"/>
    <w:rsid w:val="00853C4E"/>
    <w:rsid w:val="00854B61"/>
    <w:rsid w:val="00855D88"/>
    <w:rsid w:val="00857E8A"/>
    <w:rsid w:val="0086476E"/>
    <w:rsid w:val="00864A56"/>
    <w:rsid w:val="00867669"/>
    <w:rsid w:val="00870A1B"/>
    <w:rsid w:val="00871DCA"/>
    <w:rsid w:val="00877701"/>
    <w:rsid w:val="00880BD1"/>
    <w:rsid w:val="0088193C"/>
    <w:rsid w:val="0088351A"/>
    <w:rsid w:val="008844EB"/>
    <w:rsid w:val="00885651"/>
    <w:rsid w:val="008901AA"/>
    <w:rsid w:val="00897C7A"/>
    <w:rsid w:val="008A0BAB"/>
    <w:rsid w:val="008A34C5"/>
    <w:rsid w:val="008A6108"/>
    <w:rsid w:val="008A7612"/>
    <w:rsid w:val="008B0319"/>
    <w:rsid w:val="008B0EA0"/>
    <w:rsid w:val="008B48C3"/>
    <w:rsid w:val="008C4547"/>
    <w:rsid w:val="008D0896"/>
    <w:rsid w:val="008D0ADE"/>
    <w:rsid w:val="008D0B75"/>
    <w:rsid w:val="008D2A15"/>
    <w:rsid w:val="008D3002"/>
    <w:rsid w:val="008E6F37"/>
    <w:rsid w:val="008F29C8"/>
    <w:rsid w:val="008F3A90"/>
    <w:rsid w:val="008F464C"/>
    <w:rsid w:val="008F7227"/>
    <w:rsid w:val="009008BF"/>
    <w:rsid w:val="0091404C"/>
    <w:rsid w:val="0091703D"/>
    <w:rsid w:val="0091791C"/>
    <w:rsid w:val="00917CE9"/>
    <w:rsid w:val="00920CE7"/>
    <w:rsid w:val="009211F1"/>
    <w:rsid w:val="0092371F"/>
    <w:rsid w:val="0092390B"/>
    <w:rsid w:val="00930A0F"/>
    <w:rsid w:val="0093102C"/>
    <w:rsid w:val="0093556A"/>
    <w:rsid w:val="00935CE6"/>
    <w:rsid w:val="0095000B"/>
    <w:rsid w:val="0095143A"/>
    <w:rsid w:val="009702D1"/>
    <w:rsid w:val="009708DE"/>
    <w:rsid w:val="0097183C"/>
    <w:rsid w:val="009748C3"/>
    <w:rsid w:val="00977742"/>
    <w:rsid w:val="009816D5"/>
    <w:rsid w:val="00987D4E"/>
    <w:rsid w:val="009A00D7"/>
    <w:rsid w:val="009A3DDC"/>
    <w:rsid w:val="009A7077"/>
    <w:rsid w:val="009A7116"/>
    <w:rsid w:val="009B03A6"/>
    <w:rsid w:val="009B13E6"/>
    <w:rsid w:val="009B35E0"/>
    <w:rsid w:val="009C0A42"/>
    <w:rsid w:val="009C0AFC"/>
    <w:rsid w:val="009C23EA"/>
    <w:rsid w:val="009C489E"/>
    <w:rsid w:val="009C673A"/>
    <w:rsid w:val="009D05CD"/>
    <w:rsid w:val="009D0CE5"/>
    <w:rsid w:val="009D29C0"/>
    <w:rsid w:val="009D2CB4"/>
    <w:rsid w:val="009D3279"/>
    <w:rsid w:val="009D3E9E"/>
    <w:rsid w:val="009D3ED8"/>
    <w:rsid w:val="009D74A4"/>
    <w:rsid w:val="009E0F05"/>
    <w:rsid w:val="009E1759"/>
    <w:rsid w:val="009E2A4E"/>
    <w:rsid w:val="009E3AD2"/>
    <w:rsid w:val="00A002B5"/>
    <w:rsid w:val="00A009D2"/>
    <w:rsid w:val="00A015C7"/>
    <w:rsid w:val="00A07042"/>
    <w:rsid w:val="00A07D67"/>
    <w:rsid w:val="00A10A90"/>
    <w:rsid w:val="00A15591"/>
    <w:rsid w:val="00A20917"/>
    <w:rsid w:val="00A2465C"/>
    <w:rsid w:val="00A3627D"/>
    <w:rsid w:val="00A41317"/>
    <w:rsid w:val="00A47E84"/>
    <w:rsid w:val="00A512A4"/>
    <w:rsid w:val="00A523D3"/>
    <w:rsid w:val="00A57521"/>
    <w:rsid w:val="00A65AFE"/>
    <w:rsid w:val="00A67995"/>
    <w:rsid w:val="00A72578"/>
    <w:rsid w:val="00A73AFD"/>
    <w:rsid w:val="00A77F8A"/>
    <w:rsid w:val="00A8323C"/>
    <w:rsid w:val="00A84A61"/>
    <w:rsid w:val="00A8673E"/>
    <w:rsid w:val="00A86F78"/>
    <w:rsid w:val="00A87D1C"/>
    <w:rsid w:val="00A9751E"/>
    <w:rsid w:val="00AA2AC3"/>
    <w:rsid w:val="00AA328D"/>
    <w:rsid w:val="00AA54B4"/>
    <w:rsid w:val="00AA7836"/>
    <w:rsid w:val="00AB7A5D"/>
    <w:rsid w:val="00AC1671"/>
    <w:rsid w:val="00AC2092"/>
    <w:rsid w:val="00AC2C0F"/>
    <w:rsid w:val="00AC5764"/>
    <w:rsid w:val="00AC5C0D"/>
    <w:rsid w:val="00AC5D19"/>
    <w:rsid w:val="00AD2923"/>
    <w:rsid w:val="00AD320A"/>
    <w:rsid w:val="00AD7DF2"/>
    <w:rsid w:val="00AE7719"/>
    <w:rsid w:val="00AE780B"/>
    <w:rsid w:val="00AF7736"/>
    <w:rsid w:val="00AF7B3E"/>
    <w:rsid w:val="00B032E0"/>
    <w:rsid w:val="00B14958"/>
    <w:rsid w:val="00B14F8D"/>
    <w:rsid w:val="00B15C47"/>
    <w:rsid w:val="00B2146C"/>
    <w:rsid w:val="00B252A4"/>
    <w:rsid w:val="00B268FF"/>
    <w:rsid w:val="00B26C5D"/>
    <w:rsid w:val="00B301B1"/>
    <w:rsid w:val="00B31339"/>
    <w:rsid w:val="00B347AA"/>
    <w:rsid w:val="00B34D9A"/>
    <w:rsid w:val="00B43CC5"/>
    <w:rsid w:val="00B44804"/>
    <w:rsid w:val="00B46B52"/>
    <w:rsid w:val="00B537A2"/>
    <w:rsid w:val="00B72270"/>
    <w:rsid w:val="00B72B43"/>
    <w:rsid w:val="00B73424"/>
    <w:rsid w:val="00B73D1B"/>
    <w:rsid w:val="00B74ECF"/>
    <w:rsid w:val="00B771D9"/>
    <w:rsid w:val="00B82E30"/>
    <w:rsid w:val="00B86A13"/>
    <w:rsid w:val="00B86A26"/>
    <w:rsid w:val="00B906B2"/>
    <w:rsid w:val="00BA0A85"/>
    <w:rsid w:val="00BA1F77"/>
    <w:rsid w:val="00BA2FBE"/>
    <w:rsid w:val="00BA5FFE"/>
    <w:rsid w:val="00BB22C9"/>
    <w:rsid w:val="00BB2DED"/>
    <w:rsid w:val="00BB33DF"/>
    <w:rsid w:val="00BB5419"/>
    <w:rsid w:val="00BB77D9"/>
    <w:rsid w:val="00BB79D1"/>
    <w:rsid w:val="00BC1E21"/>
    <w:rsid w:val="00BD0F42"/>
    <w:rsid w:val="00BD1C93"/>
    <w:rsid w:val="00BD28C6"/>
    <w:rsid w:val="00BE1C7A"/>
    <w:rsid w:val="00BE4626"/>
    <w:rsid w:val="00BE48DA"/>
    <w:rsid w:val="00BE5CFA"/>
    <w:rsid w:val="00BE641A"/>
    <w:rsid w:val="00BF0A5D"/>
    <w:rsid w:val="00BF16C3"/>
    <w:rsid w:val="00BF7077"/>
    <w:rsid w:val="00C00974"/>
    <w:rsid w:val="00C0695F"/>
    <w:rsid w:val="00C22EC0"/>
    <w:rsid w:val="00C26884"/>
    <w:rsid w:val="00C269BE"/>
    <w:rsid w:val="00C31DAD"/>
    <w:rsid w:val="00C328C2"/>
    <w:rsid w:val="00C3334A"/>
    <w:rsid w:val="00C34787"/>
    <w:rsid w:val="00C416E7"/>
    <w:rsid w:val="00C44683"/>
    <w:rsid w:val="00C4510C"/>
    <w:rsid w:val="00C45592"/>
    <w:rsid w:val="00C455E7"/>
    <w:rsid w:val="00C45E4B"/>
    <w:rsid w:val="00C50A16"/>
    <w:rsid w:val="00C54508"/>
    <w:rsid w:val="00C57611"/>
    <w:rsid w:val="00C623C4"/>
    <w:rsid w:val="00C6494A"/>
    <w:rsid w:val="00C70374"/>
    <w:rsid w:val="00C7125C"/>
    <w:rsid w:val="00C74CB6"/>
    <w:rsid w:val="00C80385"/>
    <w:rsid w:val="00C81BBD"/>
    <w:rsid w:val="00C856D7"/>
    <w:rsid w:val="00C86FA8"/>
    <w:rsid w:val="00C873BB"/>
    <w:rsid w:val="00C90941"/>
    <w:rsid w:val="00C954EE"/>
    <w:rsid w:val="00C97F7F"/>
    <w:rsid w:val="00CA5ECD"/>
    <w:rsid w:val="00CA6C53"/>
    <w:rsid w:val="00CB3A82"/>
    <w:rsid w:val="00CB67A5"/>
    <w:rsid w:val="00CB6C3A"/>
    <w:rsid w:val="00CB7D6B"/>
    <w:rsid w:val="00CC01D1"/>
    <w:rsid w:val="00CC1280"/>
    <w:rsid w:val="00CC1328"/>
    <w:rsid w:val="00CC33F2"/>
    <w:rsid w:val="00CC3B18"/>
    <w:rsid w:val="00CD2079"/>
    <w:rsid w:val="00CD4F9F"/>
    <w:rsid w:val="00CD5310"/>
    <w:rsid w:val="00CE0ACE"/>
    <w:rsid w:val="00CE29D6"/>
    <w:rsid w:val="00CF2D12"/>
    <w:rsid w:val="00CF3294"/>
    <w:rsid w:val="00CF5B13"/>
    <w:rsid w:val="00D003E9"/>
    <w:rsid w:val="00D00929"/>
    <w:rsid w:val="00D05443"/>
    <w:rsid w:val="00D05683"/>
    <w:rsid w:val="00D26196"/>
    <w:rsid w:val="00D3244B"/>
    <w:rsid w:val="00D3275A"/>
    <w:rsid w:val="00D33F6D"/>
    <w:rsid w:val="00D34C54"/>
    <w:rsid w:val="00D450CC"/>
    <w:rsid w:val="00D45B44"/>
    <w:rsid w:val="00D5001C"/>
    <w:rsid w:val="00D508EC"/>
    <w:rsid w:val="00D51A27"/>
    <w:rsid w:val="00D551A4"/>
    <w:rsid w:val="00D55C86"/>
    <w:rsid w:val="00D64CA6"/>
    <w:rsid w:val="00D71B72"/>
    <w:rsid w:val="00D737A9"/>
    <w:rsid w:val="00D75CE0"/>
    <w:rsid w:val="00D7686F"/>
    <w:rsid w:val="00D807FD"/>
    <w:rsid w:val="00D82A01"/>
    <w:rsid w:val="00D82E5A"/>
    <w:rsid w:val="00D84978"/>
    <w:rsid w:val="00D850F2"/>
    <w:rsid w:val="00D91222"/>
    <w:rsid w:val="00D92B62"/>
    <w:rsid w:val="00D937B1"/>
    <w:rsid w:val="00D95E3A"/>
    <w:rsid w:val="00D96493"/>
    <w:rsid w:val="00D96967"/>
    <w:rsid w:val="00D96F0D"/>
    <w:rsid w:val="00DA0EE3"/>
    <w:rsid w:val="00DA1D66"/>
    <w:rsid w:val="00DA35FB"/>
    <w:rsid w:val="00DA6D42"/>
    <w:rsid w:val="00DB5A77"/>
    <w:rsid w:val="00DB750B"/>
    <w:rsid w:val="00DC405F"/>
    <w:rsid w:val="00DC73C9"/>
    <w:rsid w:val="00DC7CD7"/>
    <w:rsid w:val="00DD0027"/>
    <w:rsid w:val="00DD02B5"/>
    <w:rsid w:val="00DD2771"/>
    <w:rsid w:val="00DD4867"/>
    <w:rsid w:val="00DD5541"/>
    <w:rsid w:val="00DD61B2"/>
    <w:rsid w:val="00DD67FB"/>
    <w:rsid w:val="00DE1E50"/>
    <w:rsid w:val="00DE2351"/>
    <w:rsid w:val="00DE330E"/>
    <w:rsid w:val="00DE4955"/>
    <w:rsid w:val="00DE4AC3"/>
    <w:rsid w:val="00DE516D"/>
    <w:rsid w:val="00DF2C66"/>
    <w:rsid w:val="00DF3784"/>
    <w:rsid w:val="00DF3C87"/>
    <w:rsid w:val="00DF566D"/>
    <w:rsid w:val="00DF5B5E"/>
    <w:rsid w:val="00DF62A0"/>
    <w:rsid w:val="00DF702D"/>
    <w:rsid w:val="00E0660B"/>
    <w:rsid w:val="00E13503"/>
    <w:rsid w:val="00E27ABC"/>
    <w:rsid w:val="00E31A98"/>
    <w:rsid w:val="00E3481D"/>
    <w:rsid w:val="00E34989"/>
    <w:rsid w:val="00E408A2"/>
    <w:rsid w:val="00E40AA2"/>
    <w:rsid w:val="00E42DBE"/>
    <w:rsid w:val="00E437D5"/>
    <w:rsid w:val="00E4604C"/>
    <w:rsid w:val="00E51CFD"/>
    <w:rsid w:val="00E541B7"/>
    <w:rsid w:val="00E57220"/>
    <w:rsid w:val="00E604DA"/>
    <w:rsid w:val="00E61DD3"/>
    <w:rsid w:val="00E636E4"/>
    <w:rsid w:val="00E6522E"/>
    <w:rsid w:val="00E65550"/>
    <w:rsid w:val="00E70836"/>
    <w:rsid w:val="00E76340"/>
    <w:rsid w:val="00E76A86"/>
    <w:rsid w:val="00E8013B"/>
    <w:rsid w:val="00E85A98"/>
    <w:rsid w:val="00E86850"/>
    <w:rsid w:val="00E927F4"/>
    <w:rsid w:val="00E937C4"/>
    <w:rsid w:val="00E939D8"/>
    <w:rsid w:val="00E94984"/>
    <w:rsid w:val="00E94CC8"/>
    <w:rsid w:val="00EA019F"/>
    <w:rsid w:val="00EA1227"/>
    <w:rsid w:val="00EA3A03"/>
    <w:rsid w:val="00EA5F70"/>
    <w:rsid w:val="00EA7537"/>
    <w:rsid w:val="00EA7A98"/>
    <w:rsid w:val="00EB216A"/>
    <w:rsid w:val="00EB25ED"/>
    <w:rsid w:val="00EB7DA8"/>
    <w:rsid w:val="00EC2985"/>
    <w:rsid w:val="00EC397F"/>
    <w:rsid w:val="00EC7AA8"/>
    <w:rsid w:val="00ED10F8"/>
    <w:rsid w:val="00ED179A"/>
    <w:rsid w:val="00ED1D52"/>
    <w:rsid w:val="00ED2D17"/>
    <w:rsid w:val="00ED3AC7"/>
    <w:rsid w:val="00EE1261"/>
    <w:rsid w:val="00EE18DA"/>
    <w:rsid w:val="00EE3BBA"/>
    <w:rsid w:val="00EF3827"/>
    <w:rsid w:val="00EF5CB9"/>
    <w:rsid w:val="00EF7A9A"/>
    <w:rsid w:val="00F02A58"/>
    <w:rsid w:val="00F03215"/>
    <w:rsid w:val="00F0438C"/>
    <w:rsid w:val="00F0680B"/>
    <w:rsid w:val="00F212E2"/>
    <w:rsid w:val="00F22280"/>
    <w:rsid w:val="00F23D67"/>
    <w:rsid w:val="00F24345"/>
    <w:rsid w:val="00F251E3"/>
    <w:rsid w:val="00F26AAD"/>
    <w:rsid w:val="00F2781D"/>
    <w:rsid w:val="00F32AAD"/>
    <w:rsid w:val="00F335B5"/>
    <w:rsid w:val="00F3472D"/>
    <w:rsid w:val="00F34BF0"/>
    <w:rsid w:val="00F40C23"/>
    <w:rsid w:val="00F50157"/>
    <w:rsid w:val="00F5296A"/>
    <w:rsid w:val="00F5723E"/>
    <w:rsid w:val="00F5737A"/>
    <w:rsid w:val="00F61B73"/>
    <w:rsid w:val="00F66E25"/>
    <w:rsid w:val="00F703A6"/>
    <w:rsid w:val="00F7058E"/>
    <w:rsid w:val="00F730BC"/>
    <w:rsid w:val="00F75467"/>
    <w:rsid w:val="00F80B0D"/>
    <w:rsid w:val="00F82EE7"/>
    <w:rsid w:val="00F8490B"/>
    <w:rsid w:val="00F86369"/>
    <w:rsid w:val="00F86DB9"/>
    <w:rsid w:val="00F94296"/>
    <w:rsid w:val="00FA154F"/>
    <w:rsid w:val="00FA3BF6"/>
    <w:rsid w:val="00FA7361"/>
    <w:rsid w:val="00FA7541"/>
    <w:rsid w:val="00FB0CAE"/>
    <w:rsid w:val="00FB1168"/>
    <w:rsid w:val="00FB3CE5"/>
    <w:rsid w:val="00FB44E6"/>
    <w:rsid w:val="00FB5C5C"/>
    <w:rsid w:val="00FB7983"/>
    <w:rsid w:val="00FC4095"/>
    <w:rsid w:val="00FC4E76"/>
    <w:rsid w:val="00FD66FE"/>
    <w:rsid w:val="00FE1143"/>
    <w:rsid w:val="00FE21A4"/>
    <w:rsid w:val="00FE36B2"/>
    <w:rsid w:val="00FE7C4D"/>
    <w:rsid w:val="00FF2E73"/>
    <w:rsid w:val="00FF3E98"/>
    <w:rsid w:val="11E75B44"/>
    <w:rsid w:val="13A56D66"/>
    <w:rsid w:val="154E7C87"/>
    <w:rsid w:val="3C1D112F"/>
    <w:rsid w:val="3D3434DA"/>
    <w:rsid w:val="740C1462"/>
    <w:rsid w:val="7CA25305"/>
  </w:rsids>
  <w:docVars>
    <w:docVar w:name="commondata" w:val="eyJoZGlkIjoiNWFhMWI5MDQwNDBiYWI1ZmY5ZTQxYWNiYzY0MTdmZDAifQ=="/>
  </w:docVar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uiPriority="0" w:unhideWhenUsed="0" w:qFormat="1"/>
    <w:lsdException w:name="header" w:semiHidden="0" w:qFormat="1"/>
    <w:lsdException w:name="footer" w:semiHidden="0" w:qFormat="1"/>
    <w:lsdException w:name="caption" w:uiPriority="35" w:qFormat="1"/>
    <w:lsdException w:name="footnote reference" w:semiHidden="0" w:uiPriority="0" w:unhideWhenUsed="0"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uiPriority w:val="9"/>
    <w:qFormat/>
    <w:pPr>
      <w:widowControl/>
      <w:spacing w:line="600" w:lineRule="exact"/>
      <w:ind w:firstLine="200" w:firstLineChars="200"/>
      <w:contextualSpacing/>
      <w:jc w:val="left"/>
      <w:outlineLvl w:val="0"/>
    </w:pPr>
    <w:rPr>
      <w:rFonts w:ascii="Cambria" w:eastAsia="宋体" w:hAnsi="Cambria" w:cs="Times New Roman"/>
      <w:b/>
      <w:smallCaps/>
      <w:spacing w:val="5"/>
      <w:kern w:val="0"/>
      <w:sz w:val="32"/>
      <w:szCs w:val="36"/>
    </w:rPr>
  </w:style>
  <w:style w:type="paragraph" w:styleId="Heading2">
    <w:name w:val="heading 2"/>
    <w:basedOn w:val="Normal"/>
    <w:next w:val="Normal"/>
    <w:link w:val="2Char"/>
    <w:uiPriority w:val="9"/>
    <w:unhideWhenUsed/>
    <w:qFormat/>
    <w:pPr>
      <w:widowControl/>
      <w:spacing w:line="600" w:lineRule="exact"/>
      <w:ind w:firstLine="200" w:firstLineChars="200"/>
      <w:outlineLvl w:val="1"/>
    </w:pPr>
    <w:rPr>
      <w:rFonts w:ascii="Cambria" w:eastAsia="宋体" w:hAnsi="Cambria" w:cs="Times New Roman"/>
      <w:b/>
      <w:smallCaps/>
      <w:kern w:val="0"/>
      <w:sz w:val="30"/>
      <w:szCs w:val="28"/>
    </w:rPr>
  </w:style>
  <w:style w:type="paragraph" w:styleId="Heading3">
    <w:name w:val="heading 3"/>
    <w:basedOn w:val="Normal"/>
    <w:next w:val="Normal"/>
    <w:link w:val="3Char"/>
    <w:uiPriority w:val="9"/>
    <w:unhideWhenUsed/>
    <w:qFormat/>
    <w:pPr>
      <w:widowControl/>
      <w:spacing w:line="600" w:lineRule="exact"/>
      <w:ind w:firstLine="200" w:firstLineChars="200"/>
      <w:outlineLvl w:val="2"/>
    </w:pPr>
    <w:rPr>
      <w:rFonts w:ascii="Cambria" w:hAnsi="Cambria" w:cs="Times New Roman"/>
      <w:b/>
      <w:iCs/>
      <w:smallCaps/>
      <w:spacing w:val="5"/>
      <w:kern w:val="0"/>
      <w:sz w:val="28"/>
      <w:szCs w:val="26"/>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character" w:customStyle="1" w:styleId="1Char">
    <w:name w:val="标题 1 Char"/>
    <w:basedOn w:val="DefaultParagraphFont"/>
    <w:link w:val="Heading1"/>
    <w:uiPriority w:val="9"/>
    <w:qFormat/>
    <w:rPr>
      <w:rFonts w:ascii="Cambria" w:eastAsia="宋体" w:hAnsi="Cambria" w:cs="Times New Roman"/>
      <w:b/>
      <w:smallCaps/>
      <w:spacing w:val="5"/>
      <w:kern w:val="0"/>
      <w:sz w:val="32"/>
      <w:szCs w:val="36"/>
    </w:rPr>
  </w:style>
  <w:style w:type="character" w:customStyle="1" w:styleId="2Char">
    <w:name w:val="标题 2 Char"/>
    <w:basedOn w:val="DefaultParagraphFont"/>
    <w:link w:val="Heading2"/>
    <w:uiPriority w:val="9"/>
    <w:qFormat/>
    <w:rPr>
      <w:rFonts w:ascii="Cambria" w:eastAsia="宋体" w:hAnsi="Cambria" w:cs="Times New Roman"/>
      <w:b/>
      <w:smallCaps/>
      <w:kern w:val="0"/>
      <w:sz w:val="30"/>
      <w:szCs w:val="28"/>
    </w:rPr>
  </w:style>
  <w:style w:type="character" w:customStyle="1" w:styleId="3Char">
    <w:name w:val="标题 3 Char"/>
    <w:basedOn w:val="DefaultParagraphFont"/>
    <w:link w:val="Heading3"/>
    <w:uiPriority w:val="9"/>
    <w:qFormat/>
    <w:rPr>
      <w:rFonts w:ascii="Cambria" w:eastAsia="宋体" w:hAnsi="Cambria" w:cs="Times New Roman"/>
      <w:b/>
      <w:iCs/>
      <w:smallCaps/>
      <w:spacing w:val="5"/>
      <w:kern w:val="0"/>
      <w:sz w:val="28"/>
      <w:szCs w:val="26"/>
    </w:rPr>
  </w:style>
  <w:style w:type="paragraph" w:styleId="BodyTextIndent">
    <w:name w:val="Body Text Indent"/>
    <w:basedOn w:val="Normal"/>
    <w:qFormat/>
    <w:pPr>
      <w:spacing w:after="120"/>
      <w:ind w:left="420" w:leftChars="200"/>
    </w:pPr>
  </w:style>
  <w:style w:type="paragraph" w:styleId="TOC3">
    <w:name w:val="toc 3"/>
    <w:basedOn w:val="Normal"/>
    <w:next w:val="Normal"/>
    <w:uiPriority w:val="39"/>
    <w:unhideWhenUsed/>
    <w:qFormat/>
    <w:pPr>
      <w:tabs>
        <w:tab w:val="right" w:leader="dot" w:pos="8296"/>
      </w:tabs>
      <w:ind w:left="630" w:leftChars="300"/>
    </w:pPr>
  </w:style>
  <w:style w:type="paragraph" w:styleId="BalloonText">
    <w:name w:val="Balloon Text"/>
    <w:basedOn w:val="Normal"/>
    <w:link w:val="Char"/>
    <w:uiPriority w:val="99"/>
    <w:unhideWhenUsed/>
    <w:qFormat/>
    <w:rPr>
      <w:sz w:val="18"/>
      <w:szCs w:val="18"/>
    </w:rPr>
  </w:style>
  <w:style w:type="character" w:customStyle="1" w:styleId="Char">
    <w:name w:val="批注框文本 Char"/>
    <w:basedOn w:val="DefaultParagraphFont"/>
    <w:link w:val="BalloonText"/>
    <w:uiPriority w:val="99"/>
    <w:semiHidden/>
    <w:qFormat/>
    <w:rPr>
      <w:rFonts w:ascii="Times New Roman" w:eastAsia="宋体" w:hAnsi="Times New Roman" w:cs="Times New Roman"/>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qFormat/>
    <w:rPr>
      <w:rFonts w:ascii="Times New Roman" w:eastAsia="宋体" w:hAnsi="Times New Roman" w:cs="Times New Roman"/>
      <w:sz w:val="18"/>
      <w:szCs w:val="18"/>
    </w:rPr>
  </w:style>
  <w:style w:type="paragraph" w:styleId="Header">
    <w:name w:val="header"/>
    <w:basedOn w:val="Normal"/>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DefaultParagraphFont"/>
    <w:link w:val="Header"/>
    <w:uiPriority w:val="99"/>
    <w:qFormat/>
    <w:rPr>
      <w:rFonts w:ascii="Times New Roman" w:eastAsia="宋体" w:hAnsi="Times New Roman" w:cs="Times New Roman"/>
      <w:sz w:val="18"/>
      <w:szCs w:val="18"/>
    </w:rPr>
  </w:style>
  <w:style w:type="paragraph" w:styleId="TOC1">
    <w:name w:val="toc 1"/>
    <w:basedOn w:val="Normal"/>
    <w:next w:val="Normal"/>
    <w:uiPriority w:val="39"/>
    <w:unhideWhenUsed/>
    <w:qFormat/>
    <w:pPr>
      <w:tabs>
        <w:tab w:val="right" w:leader="dot" w:pos="8296"/>
      </w:tabs>
    </w:pPr>
    <w:rPr>
      <w:b/>
    </w:rPr>
  </w:style>
  <w:style w:type="paragraph" w:styleId="FootnoteText">
    <w:name w:val="footnote text"/>
    <w:basedOn w:val="Normal"/>
    <w:link w:val="Char2"/>
    <w:qFormat/>
    <w:pPr>
      <w:snapToGrid w:val="0"/>
      <w:jc w:val="left"/>
    </w:pPr>
    <w:rPr>
      <w:rFonts w:ascii="Calibri" w:eastAsia="宋体" w:hAnsi="Calibri" w:cs="Times New Roman"/>
      <w:sz w:val="18"/>
      <w:szCs w:val="18"/>
    </w:rPr>
  </w:style>
  <w:style w:type="character" w:customStyle="1" w:styleId="Char2">
    <w:name w:val="脚注文本 Char"/>
    <w:link w:val="FootnoteText"/>
    <w:qFormat/>
    <w:rPr>
      <w:sz w:val="18"/>
      <w:szCs w:val="18"/>
    </w:rPr>
  </w:style>
  <w:style w:type="paragraph" w:styleId="TOC2">
    <w:name w:val="toc 2"/>
    <w:basedOn w:val="Normal"/>
    <w:next w:val="Normal"/>
    <w:uiPriority w:val="39"/>
    <w:unhideWhenUsed/>
    <w:qFormat/>
    <w:pPr>
      <w:tabs>
        <w:tab w:val="right" w:leader="dot" w:pos="8296"/>
      </w:tabs>
      <w:snapToGrid w:val="0"/>
      <w:ind w:left="210" w:leftChars="100"/>
    </w:p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cs="宋体"/>
      <w:kern w:val="0"/>
      <w:sz w:val="24"/>
    </w:rPr>
  </w:style>
  <w:style w:type="paragraph" w:styleId="Title">
    <w:name w:val="Title"/>
    <w:next w:val="Normal"/>
    <w:link w:val="Char3"/>
    <w:uiPriority w:val="10"/>
    <w:qFormat/>
    <w:pPr>
      <w:spacing w:after="300"/>
      <w:contextualSpacing/>
    </w:pPr>
    <w:rPr>
      <w:rFonts w:ascii="Cambria" w:eastAsia="宋体" w:hAnsi="Cambria" w:cs="Times New Roman"/>
      <w:smallCaps/>
      <w:kern w:val="0"/>
      <w:sz w:val="52"/>
      <w:szCs w:val="52"/>
      <w:lang w:val="en-US" w:eastAsia="zh-CN" w:bidi="ar-SA"/>
    </w:rPr>
  </w:style>
  <w:style w:type="character" w:customStyle="1" w:styleId="Char3">
    <w:name w:val="标题 Char"/>
    <w:basedOn w:val="DefaultParagraphFont"/>
    <w:link w:val="Title"/>
    <w:uiPriority w:val="10"/>
    <w:qFormat/>
    <w:rPr>
      <w:rFonts w:ascii="Cambria" w:eastAsia="宋体" w:hAnsi="Cambria" w:cs="Times New Roman"/>
      <w:smallCaps/>
      <w:kern w:val="0"/>
      <w:sz w:val="52"/>
      <w:szCs w:val="52"/>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qFormat/>
    <w:rPr>
      <w:color w:val="0000FF"/>
      <w:u w:val="single"/>
    </w:rPr>
  </w:style>
  <w:style w:type="character" w:styleId="FootnoteReference">
    <w:name w:val="footnote reference"/>
    <w:qFormat/>
    <w:rPr>
      <w:vertAlign w:val="superscript"/>
    </w:rPr>
  </w:style>
  <w:style w:type="paragraph" w:customStyle="1" w:styleId="a">
    <w:name w:val="附件正文"/>
    <w:link w:val="Char4"/>
    <w:qFormat/>
    <w:pPr>
      <w:spacing w:after="200" w:line="276" w:lineRule="auto"/>
    </w:pPr>
    <w:rPr>
      <w:rFonts w:ascii="Cambria" w:eastAsia="宋体" w:hAnsi="Cambria" w:cs="Times New Roman"/>
      <w:kern w:val="0"/>
      <w:sz w:val="22"/>
      <w:szCs w:val="22"/>
      <w:lang w:val="en-US" w:eastAsia="zh-CN" w:bidi="ar-SA"/>
    </w:rPr>
  </w:style>
  <w:style w:type="character" w:customStyle="1" w:styleId="Char4">
    <w:name w:val="附件正文 Char"/>
    <w:basedOn w:val="DefaultParagraphFont"/>
    <w:link w:val="a"/>
    <w:qFormat/>
    <w:rPr>
      <w:rFonts w:ascii="Cambria" w:eastAsia="宋体" w:hAnsi="Cambria" w:cs="Times New Roman"/>
      <w:kern w:val="0"/>
      <w:sz w:val="22"/>
    </w:rPr>
  </w:style>
  <w:style w:type="paragraph" w:customStyle="1" w:styleId="a0">
    <w:name w:val="编号"/>
    <w:link w:val="Char5"/>
    <w:qFormat/>
    <w:pPr>
      <w:spacing w:before="100" w:beforeAutospacing="1" w:after="100" w:afterAutospacing="1" w:line="405" w:lineRule="atLeast"/>
    </w:pPr>
    <w:rPr>
      <w:rFonts w:ascii="ˎ̥" w:eastAsia="宋体" w:hAnsi="ˎ̥" w:cs="宋体"/>
      <w:color w:val="000000"/>
      <w:kern w:val="0"/>
      <w:sz w:val="18"/>
      <w:szCs w:val="18"/>
      <w:lang w:val="en-US" w:eastAsia="zh-CN" w:bidi="ar-SA"/>
    </w:rPr>
  </w:style>
  <w:style w:type="character" w:customStyle="1" w:styleId="Char5">
    <w:name w:val="编号 Char"/>
    <w:basedOn w:val="DefaultParagraphFont"/>
    <w:link w:val="a0"/>
    <w:qFormat/>
    <w:rPr>
      <w:rFonts w:ascii="ˎ̥" w:eastAsia="宋体" w:hAnsi="ˎ̥" w:cs="宋体"/>
      <w:color w:val="000000"/>
      <w:kern w:val="0"/>
      <w:sz w:val="18"/>
      <w:szCs w:val="18"/>
    </w:rPr>
  </w:style>
  <w:style w:type="character" w:customStyle="1" w:styleId="Char10">
    <w:name w:val="脚注文本 Char1"/>
    <w:basedOn w:val="DefaultParagraphFont"/>
    <w:uiPriority w:val="99"/>
    <w:semiHidden/>
    <w:qFormat/>
    <w:rPr>
      <w:rFonts w:ascii="Times New Roman" w:eastAsia="宋体" w:hAnsi="Times New Roman" w:cs="Times New Roman"/>
      <w:sz w:val="18"/>
      <w:szCs w:val="18"/>
    </w:rPr>
  </w:style>
  <w:style w:type="paragraph" w:customStyle="1" w:styleId="TOCHeading">
    <w:name w:val="TOC Heading"/>
    <w:basedOn w:val="Heading1"/>
    <w:next w:val="Normal"/>
    <w:uiPriority w:val="39"/>
    <w:unhideWhenUsed/>
    <w:qFormat/>
    <w:pPr>
      <w:keepNext/>
      <w:keepLines/>
      <w:spacing w:before="480" w:line="276" w:lineRule="auto"/>
      <w:ind w:firstLine="0" w:firstLineChars="0"/>
      <w:contextualSpacing w:val="0"/>
      <w:outlineLvl w:val="9"/>
    </w:pPr>
    <w:rPr>
      <w:bCs/>
      <w:smallCaps w:val="0"/>
      <w:color w:val="366091"/>
      <w:spacing w:val="0"/>
      <w:sz w:val="28"/>
      <w:szCs w:val="28"/>
    </w:rPr>
  </w:style>
  <w:style w:type="paragraph" w:customStyle="1" w:styleId="21">
    <w:name w:val="正文首行缩进 21"/>
    <w:basedOn w:val="BodyTextIndent"/>
    <w:qFormat/>
    <w:pPr>
      <w:ind w:firstLine="420" w:firstLineChars="200"/>
    </w:pPr>
  </w:style>
  <w:style w:type="paragraph" w:customStyle="1" w:styleId="WPSOffice1">
    <w:name w:val="WPSOffice手动目录 1"/>
    <w:qFormat/>
    <w:pPr>
      <w:ind w:leftChars="0"/>
    </w:pPr>
    <w:rPr>
      <w:rFonts w:ascii="Calibri" w:eastAsia="宋体" w:hAnsi="Calibri" w:cs="Times New Roman"/>
      <w:sz w:val="20"/>
      <w:szCs w:val="20"/>
    </w:rPr>
  </w:style>
  <w:style w:type="paragraph" w:customStyle="1" w:styleId="WPSOffice2">
    <w:name w:val="WPSOffice手动目录 2"/>
    <w:qFormat/>
    <w:pPr>
      <w:ind w:leftChars="200"/>
    </w:pPr>
    <w:rPr>
      <w:rFonts w:ascii="Calibri" w:eastAsia="宋体" w:hAnsi="Calibri" w:cs="Times New Roman"/>
      <w:sz w:val="20"/>
      <w:szCs w:val="20"/>
    </w:rPr>
  </w:style>
  <w:style w:type="table" w:customStyle="1" w:styleId="0">
    <w:name w:val="网格型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_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27140002046006044" TargetMode="External" /><Relationship Id="rId11" Type="http://schemas.openxmlformats.org/officeDocument/2006/relationships/footer" Target="footer7.xm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157267680</TotalTime>
  <Pages>9</Pages>
  <Words>2800</Words>
  <Characters>15963</Characters>
  <Application>Microsoft Office Word</Application>
  <DocSecurity>0</DocSecurity>
  <Lines>133</Lines>
  <Paragraphs>37</Paragraphs>
  <ScaleCrop>false</ScaleCrop>
  <Company>微软中国</Company>
  <LinksUpToDate>false</LinksUpToDate>
  <CharactersWithSpaces>18726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292</cp:revision>
  <dcterms:created xsi:type="dcterms:W3CDTF">2020-12-23T13:49:00Z</dcterms:created>
  <dcterms:modified xsi:type="dcterms:W3CDTF">2024-02-02T17:02:05Z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35578B6538AB4868A627B05BD4346059_13</vt:lpwstr>
  </property>
  <property fmtid="{D5CDD505-2E9C-101B-9397-08002B2CF9AE}" pid="3" name="KSOProductBuildVer">
    <vt:lpwstr>2052-12.1.0.16120</vt:lpwstr>
  </property>
</Properties>
</file>