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0" w:line="775" w:lineRule="exact"/>
        <w:ind w:left="2537" w:right="0" w:firstLine="0"/>
        <w:jc w:val="left"/>
        <w:rPr>
          <w:rFonts w:ascii="Microsoft JhengHei" w:eastAsia="Microsoft JhengHei"/>
          <w:b/>
          <w:sz w:val="52"/>
        </w:rPr>
      </w:pPr>
      <w:r>
        <w:rPr>
          <w:rFonts w:ascii="Microsoft JhengHei" w:eastAsia="Microsoft JhengHei"/>
          <w:b/>
          <w:spacing w:val="-14"/>
          <w:sz w:val="52"/>
        </w:rPr>
        <w:t>110 千伏输变电工程</w:t>
      </w:r>
    </w:p>
    <w:p>
      <w:pPr>
        <w:spacing w:before="0" w:line="946" w:lineRule="exact"/>
        <w:ind w:left="2474" w:right="0" w:firstLine="0"/>
        <w:jc w:val="left"/>
        <w:rPr>
          <w:rFonts w:ascii="Microsoft JhengHei" w:eastAsia="Microsoft JhengHei"/>
          <w:b/>
          <w:sz w:val="52"/>
        </w:rPr>
      </w:pPr>
      <w:r>
        <w:rPr>
          <w:rFonts w:ascii="Microsoft JhengHei" w:eastAsia="Microsoft JhengHei"/>
          <w:b/>
          <w:spacing w:val="-2"/>
          <w:sz w:val="52"/>
        </w:rPr>
        <w:t>排水管、窨井改建</w:t>
      </w:r>
    </w:p>
    <w:p>
      <w:pPr>
        <w:pStyle w:val="BodyText"/>
        <w:rPr>
          <w:rFonts w:ascii="Microsoft JhengHei"/>
          <w:b/>
          <w:sz w:val="52"/>
        </w:rPr>
      </w:pPr>
    </w:p>
    <w:p>
      <w:pPr>
        <w:pStyle w:val="BodyText"/>
        <w:rPr>
          <w:rFonts w:ascii="Microsoft JhengHei"/>
          <w:b/>
          <w:sz w:val="52"/>
        </w:rPr>
      </w:pPr>
    </w:p>
    <w:p>
      <w:pPr>
        <w:pStyle w:val="BodyText"/>
        <w:spacing w:before="14"/>
        <w:rPr>
          <w:rFonts w:ascii="Microsoft JhengHei"/>
          <w:b/>
          <w:sz w:val="35"/>
        </w:rPr>
      </w:pPr>
    </w:p>
    <w:p>
      <w:pPr>
        <w:spacing w:before="0" w:line="175" w:lineRule="auto"/>
        <w:ind w:left="4192" w:right="5311" w:firstLine="0"/>
        <w:jc w:val="both"/>
        <w:rPr>
          <w:rFonts w:ascii="Microsoft JhengHei" w:eastAsia="Microsoft JhengHei"/>
          <w:b/>
          <w:sz w:val="48"/>
        </w:rPr>
      </w:pPr>
      <w:r>
        <w:rPr>
          <w:rFonts w:ascii="Microsoft JhengHei" w:eastAsia="Microsoft JhengHei"/>
          <w:b/>
          <w:spacing w:val="-10"/>
          <w:sz w:val="48"/>
        </w:rPr>
        <w:t>施</w:t>
      </w:r>
      <w:r>
        <w:rPr>
          <w:rFonts w:ascii="Microsoft JhengHei" w:eastAsia="Microsoft JhengHei"/>
          <w:b/>
          <w:spacing w:val="-10"/>
          <w:sz w:val="48"/>
        </w:rPr>
        <w:t>工</w:t>
      </w:r>
      <w:r>
        <w:rPr>
          <w:rFonts w:ascii="Microsoft JhengHei" w:eastAsia="Microsoft JhengHei"/>
          <w:b/>
          <w:spacing w:val="-10"/>
          <w:sz w:val="48"/>
        </w:rPr>
        <w:t>专</w:t>
      </w:r>
      <w:r>
        <w:rPr>
          <w:rFonts w:ascii="Microsoft JhengHei" w:eastAsia="Microsoft JhengHei"/>
          <w:b/>
          <w:spacing w:val="-10"/>
          <w:sz w:val="48"/>
        </w:rPr>
        <w:t>项</w:t>
      </w:r>
      <w:r>
        <w:rPr>
          <w:rFonts w:ascii="Microsoft JhengHei" w:eastAsia="Microsoft JhengHei"/>
          <w:b/>
          <w:spacing w:val="-10"/>
          <w:sz w:val="48"/>
        </w:rPr>
        <w:t>方</w:t>
      </w:r>
      <w:r>
        <w:rPr>
          <w:rFonts w:ascii="Microsoft JhengHei" w:eastAsia="Microsoft JhengHei"/>
          <w:b/>
          <w:spacing w:val="-10"/>
          <w:sz w:val="48"/>
        </w:rPr>
        <w:t>案</w:t>
      </w:r>
    </w:p>
    <w:p>
      <w:pPr>
        <w:pStyle w:val="BodyText"/>
        <w:rPr>
          <w:rFonts w:ascii="Microsoft JhengHei"/>
          <w:b/>
          <w:sz w:val="48"/>
        </w:rPr>
      </w:pPr>
    </w:p>
    <w:p>
      <w:pPr>
        <w:pStyle w:val="BodyText"/>
        <w:rPr>
          <w:rFonts w:ascii="Microsoft JhengHei"/>
          <w:b/>
          <w:sz w:val="48"/>
        </w:rPr>
      </w:pPr>
    </w:p>
    <w:p>
      <w:pPr>
        <w:pStyle w:val="BodyText"/>
        <w:spacing w:before="3"/>
        <w:rPr>
          <w:rFonts w:ascii="Microsoft JhengHei"/>
          <w:b/>
          <w:sz w:val="26"/>
        </w:rPr>
      </w:pPr>
    </w:p>
    <w:p>
      <w:pPr>
        <w:tabs>
          <w:tab w:val="left" w:pos="6504"/>
        </w:tabs>
        <w:spacing w:before="1"/>
        <w:ind w:left="2380" w:right="0" w:firstLine="0"/>
        <w:jc w:val="left"/>
        <w:rPr>
          <w:rFonts w:ascii="Times New Roman" w:eastAsia="Times New Roman"/>
          <w:sz w:val="28"/>
        </w:rPr>
      </w:pPr>
      <w:r>
        <w:rPr>
          <w:rFonts w:ascii="宋体" w:eastAsia="宋体"/>
          <w:sz w:val="28"/>
        </w:rPr>
        <w:t>编写</w:t>
      </w:r>
      <w:r>
        <w:rPr>
          <w:rFonts w:ascii="宋体" w:eastAsia="宋体"/>
          <w:spacing w:val="-10"/>
          <w:sz w:val="28"/>
        </w:rPr>
        <w:t>：</w:t>
      </w:r>
      <w:r>
        <w:rPr>
          <w:rFonts w:ascii="Times New Roman" w:eastAsia="Times New Roman"/>
          <w:sz w:val="28"/>
          <w:u w:val="single"/>
        </w:rPr>
        <w:tab/>
      </w:r>
    </w:p>
    <w:p>
      <w:pPr>
        <w:pStyle w:val="BodyText"/>
        <w:rPr>
          <w:rFonts w:ascii="Times New Roman"/>
          <w:sz w:val="17"/>
        </w:rPr>
      </w:pPr>
    </w:p>
    <w:p>
      <w:pPr>
        <w:tabs>
          <w:tab w:val="left" w:pos="6504"/>
        </w:tabs>
        <w:spacing w:before="69"/>
        <w:ind w:left="2380" w:right="0" w:firstLine="0"/>
        <w:jc w:val="left"/>
        <w:rPr>
          <w:rFonts w:ascii="Times New Roman" w:eastAsia="Times New Roman"/>
          <w:sz w:val="28"/>
        </w:rPr>
      </w:pPr>
      <w:r>
        <w:rPr>
          <w:rFonts w:ascii="宋体" w:eastAsia="宋体"/>
          <w:sz w:val="28"/>
        </w:rPr>
        <w:t>审核</w:t>
      </w:r>
      <w:r>
        <w:rPr>
          <w:rFonts w:ascii="宋体" w:eastAsia="宋体"/>
          <w:spacing w:val="-10"/>
          <w:sz w:val="28"/>
        </w:rPr>
        <w:t>：</w:t>
      </w:r>
      <w:r>
        <w:rPr>
          <w:rFonts w:ascii="Times New Roman" w:eastAsia="Times New Roman"/>
          <w:sz w:val="28"/>
          <w:u w:val="single"/>
        </w:rPr>
        <w:tab/>
      </w:r>
    </w:p>
    <w:p>
      <w:pPr>
        <w:pStyle w:val="BodyText"/>
        <w:rPr>
          <w:rFonts w:ascii="Times New Roman"/>
          <w:sz w:val="17"/>
        </w:rPr>
      </w:pPr>
    </w:p>
    <w:p>
      <w:pPr>
        <w:tabs>
          <w:tab w:val="left" w:pos="6504"/>
        </w:tabs>
        <w:spacing w:before="70"/>
        <w:ind w:left="2380" w:right="0" w:firstLine="0"/>
        <w:jc w:val="left"/>
        <w:rPr>
          <w:rFonts w:ascii="Times New Roman" w:eastAsia="Times New Roman"/>
          <w:sz w:val="28"/>
        </w:rPr>
      </w:pPr>
      <w:r>
        <w:rPr>
          <w:rFonts w:ascii="宋体" w:eastAsia="宋体"/>
          <w:sz w:val="28"/>
        </w:rPr>
        <w:t>审批</w:t>
      </w:r>
      <w:r>
        <w:rPr>
          <w:rFonts w:ascii="宋体" w:eastAsia="宋体"/>
          <w:spacing w:val="-10"/>
          <w:sz w:val="28"/>
        </w:rPr>
        <w:t>：</w:t>
      </w:r>
      <w:r>
        <w:rPr>
          <w:rFonts w:ascii="Times New Roman" w:eastAsia="Times New Roman"/>
          <w:sz w:val="28"/>
          <w:u w:val="single"/>
        </w:rPr>
        <w:tab/>
      </w:r>
    </w:p>
    <w:p>
      <w:pPr>
        <w:pStyle w:val="BodyText"/>
        <w:rPr>
          <w:rFonts w:ascii="Times New Roman"/>
          <w:sz w:val="17"/>
        </w:rPr>
      </w:pPr>
    </w:p>
    <w:p>
      <w:pPr>
        <w:tabs>
          <w:tab w:val="left" w:pos="6574"/>
        </w:tabs>
        <w:spacing w:before="70"/>
        <w:ind w:left="2170" w:right="0" w:firstLine="0"/>
        <w:jc w:val="left"/>
        <w:rPr>
          <w:rFonts w:ascii="Times New Roman" w:eastAsia="Times New Roman"/>
          <w:sz w:val="28"/>
        </w:rPr>
      </w:pPr>
      <w:r>
        <w:rPr>
          <w:rFonts w:ascii="宋体" w:eastAsia="宋体"/>
          <w:sz w:val="28"/>
        </w:rPr>
        <w:t>施工单位</w:t>
      </w:r>
      <w:r>
        <w:rPr>
          <w:rFonts w:ascii="宋体" w:eastAsia="宋体"/>
          <w:spacing w:val="-10"/>
          <w:sz w:val="28"/>
        </w:rPr>
        <w:t>：</w:t>
      </w:r>
      <w:r>
        <w:rPr>
          <w:rFonts w:ascii="Times New Roman" w:eastAsia="Times New Roman"/>
          <w:sz w:val="28"/>
          <w:u w:val="single"/>
        </w:rPr>
        <w:tab/>
      </w:r>
    </w:p>
    <w:p>
      <w:pPr>
        <w:pStyle w:val="BodyText"/>
        <w:spacing w:before="9"/>
        <w:rPr>
          <w:rFonts w:ascii="Times New Roman"/>
          <w:sz w:val="17"/>
        </w:rPr>
      </w:pPr>
    </w:p>
    <w:p>
      <w:pPr>
        <w:tabs>
          <w:tab w:val="left" w:pos="3009"/>
          <w:tab w:val="left" w:pos="6574"/>
        </w:tabs>
        <w:spacing w:before="61"/>
        <w:ind w:left="2170" w:right="0" w:firstLine="0"/>
        <w:jc w:val="left"/>
        <w:rPr>
          <w:rFonts w:ascii="Times New Roman" w:eastAsia="Times New Roman"/>
          <w:sz w:val="28"/>
        </w:rPr>
      </w:pPr>
      <w:r>
        <w:rPr>
          <w:rFonts w:ascii="宋体" w:eastAsia="宋体"/>
          <w:spacing w:val="-10"/>
          <w:sz w:val="28"/>
        </w:rPr>
        <w:t>日</w:t>
      </w:r>
      <w:r>
        <w:rPr>
          <w:rFonts w:ascii="宋体" w:eastAsia="宋体"/>
          <w:sz w:val="28"/>
        </w:rPr>
        <w:tab/>
        <w:t>期</w:t>
      </w:r>
      <w:r>
        <w:rPr>
          <w:rFonts w:ascii="宋体" w:eastAsia="宋体"/>
          <w:spacing w:val="-10"/>
          <w:sz w:val="28"/>
        </w:rPr>
        <w:t>：</w:t>
      </w:r>
      <w:r>
        <w:rPr>
          <w:rFonts w:ascii="Times New Roman" w:eastAsia="Times New Roman"/>
          <w:sz w:val="28"/>
          <w:u w:val="single"/>
        </w:rPr>
        <w:tab/>
      </w:r>
    </w:p>
    <w:p>
      <w:pPr>
        <w:spacing w:after="0"/>
        <w:jc w:val="left"/>
        <w:rPr>
          <w:rFonts w:ascii="Times New Roman" w:eastAsia="Times New Roman"/>
          <w:sz w:val="28"/>
        </w:rPr>
        <w:sectPr>
          <w:type w:val="continuous"/>
          <w:pgSz w:w="11910" w:h="16840"/>
          <w:pgMar w:top="1560" w:right="400" w:bottom="280" w:left="1520" w:header="708" w:footer="708"/>
          <w:cols w:space="708"/>
        </w:sectPr>
      </w:pPr>
    </w:p>
    <w:p>
      <w:pPr>
        <w:spacing w:before="0" w:line="775" w:lineRule="exact"/>
        <w:ind w:left="0" w:right="860" w:firstLine="0"/>
        <w:jc w:val="center"/>
        <w:rPr>
          <w:rFonts w:ascii="Microsoft JhengHei" w:eastAsia="Microsoft JhengHei"/>
          <w:b/>
          <w:sz w:val="52"/>
        </w:rPr>
      </w:pPr>
      <w:r>
        <w:rPr>
          <w:rFonts w:ascii="Microsoft JhengHei" w:eastAsia="Microsoft JhengHei"/>
          <w:b/>
          <w:spacing w:val="-14"/>
          <w:sz w:val="52"/>
        </w:rPr>
        <w:t>110 千伏输变电工程</w:t>
      </w:r>
    </w:p>
    <w:p>
      <w:pPr>
        <w:spacing w:before="0" w:line="946" w:lineRule="exact"/>
        <w:ind w:left="0" w:right="860" w:firstLine="0"/>
        <w:jc w:val="center"/>
        <w:rPr>
          <w:rFonts w:ascii="Microsoft JhengHei" w:eastAsia="Microsoft JhengHei"/>
          <w:b/>
          <w:sz w:val="52"/>
        </w:rPr>
      </w:pPr>
      <w:r>
        <w:rPr>
          <w:rFonts w:ascii="Microsoft JhengHei" w:eastAsia="Microsoft JhengHei"/>
          <w:b/>
          <w:spacing w:val="-2"/>
          <w:sz w:val="52"/>
        </w:rPr>
        <w:t>排水管、窨井改建</w:t>
      </w:r>
    </w:p>
    <w:p>
      <w:pPr>
        <w:pStyle w:val="BodyText"/>
        <w:rPr>
          <w:rFonts w:ascii="Microsoft JhengHei"/>
          <w:b/>
          <w:sz w:val="52"/>
        </w:rPr>
      </w:pPr>
    </w:p>
    <w:p>
      <w:pPr>
        <w:pStyle w:val="BodyText"/>
        <w:rPr>
          <w:rFonts w:ascii="Microsoft JhengHei"/>
          <w:b/>
          <w:sz w:val="52"/>
        </w:rPr>
      </w:pPr>
    </w:p>
    <w:p>
      <w:pPr>
        <w:pStyle w:val="BodyText"/>
        <w:spacing w:before="6"/>
        <w:rPr>
          <w:rFonts w:ascii="Microsoft JhengHei"/>
          <w:b/>
          <w:sz w:val="72"/>
        </w:rPr>
      </w:pPr>
    </w:p>
    <w:p>
      <w:pPr>
        <w:spacing w:before="0" w:line="175" w:lineRule="auto"/>
        <w:ind w:left="4192" w:right="5311" w:firstLine="0"/>
        <w:jc w:val="both"/>
        <w:rPr>
          <w:rFonts w:ascii="Microsoft JhengHei" w:eastAsia="Microsoft JhengHei"/>
          <w:b/>
          <w:sz w:val="48"/>
        </w:rPr>
      </w:pPr>
      <w:r>
        <w:rPr>
          <w:rFonts w:ascii="Microsoft JhengHei" w:eastAsia="Microsoft JhengHei"/>
          <w:b/>
          <w:spacing w:val="-10"/>
          <w:sz w:val="48"/>
        </w:rPr>
        <w:t>施</w:t>
      </w:r>
      <w:r>
        <w:rPr>
          <w:rFonts w:ascii="Microsoft JhengHei" w:eastAsia="Microsoft JhengHei"/>
          <w:b/>
          <w:spacing w:val="-10"/>
          <w:sz w:val="48"/>
        </w:rPr>
        <w:t>工</w:t>
      </w:r>
      <w:r>
        <w:rPr>
          <w:rFonts w:ascii="Microsoft JhengHei" w:eastAsia="Microsoft JhengHei"/>
          <w:b/>
          <w:spacing w:val="-10"/>
          <w:sz w:val="48"/>
        </w:rPr>
        <w:t>专</w:t>
      </w:r>
      <w:r>
        <w:rPr>
          <w:rFonts w:ascii="Microsoft JhengHei" w:eastAsia="Microsoft JhengHei"/>
          <w:b/>
          <w:spacing w:val="-10"/>
          <w:sz w:val="48"/>
        </w:rPr>
        <w:t>项</w:t>
      </w:r>
      <w:r>
        <w:rPr>
          <w:rFonts w:ascii="Microsoft JhengHei" w:eastAsia="Microsoft JhengHei"/>
          <w:b/>
          <w:spacing w:val="-10"/>
          <w:sz w:val="48"/>
        </w:rPr>
        <w:t>方</w:t>
      </w:r>
      <w:r>
        <w:rPr>
          <w:rFonts w:ascii="Microsoft JhengHei" w:eastAsia="Microsoft JhengHei"/>
          <w:b/>
          <w:spacing w:val="-10"/>
          <w:sz w:val="48"/>
        </w:rPr>
        <w:t>案</w:t>
      </w:r>
    </w:p>
    <w:p>
      <w:pPr>
        <w:pStyle w:val="BodyText"/>
        <w:rPr>
          <w:rFonts w:ascii="Microsoft JhengHei"/>
          <w:b/>
          <w:sz w:val="48"/>
        </w:rPr>
      </w:pPr>
    </w:p>
    <w:p>
      <w:pPr>
        <w:pStyle w:val="BodyText"/>
        <w:spacing w:before="4"/>
        <w:rPr>
          <w:rFonts w:ascii="Microsoft JhengHei"/>
          <w:b/>
          <w:sz w:val="57"/>
        </w:rPr>
      </w:pPr>
    </w:p>
    <w:p>
      <w:pPr>
        <w:tabs>
          <w:tab w:val="left" w:pos="4264"/>
        </w:tabs>
        <w:spacing w:before="0"/>
        <w:ind w:left="0" w:right="960" w:firstLine="0"/>
        <w:jc w:val="center"/>
        <w:rPr>
          <w:rFonts w:ascii="Times New Roman" w:eastAsia="Times New Roman"/>
          <w:sz w:val="28"/>
        </w:rPr>
      </w:pPr>
      <w:r>
        <w:rPr>
          <w:rFonts w:ascii="宋体" w:eastAsia="宋体"/>
          <w:sz w:val="28"/>
        </w:rPr>
        <w:t>初审</w:t>
      </w:r>
      <w:r>
        <w:rPr>
          <w:rFonts w:ascii="宋体" w:eastAsia="宋体"/>
          <w:spacing w:val="-10"/>
          <w:sz w:val="28"/>
        </w:rPr>
        <w:t>：</w:t>
      </w:r>
      <w:r>
        <w:rPr>
          <w:rFonts w:ascii="Times New Roman" w:eastAsia="Times New Roman"/>
          <w:sz w:val="28"/>
          <w:u w:val="single"/>
        </w:rPr>
        <w:tab/>
      </w:r>
    </w:p>
    <w:p>
      <w:pPr>
        <w:pStyle w:val="BodyText"/>
        <w:rPr>
          <w:rFonts w:ascii="Times New Roman"/>
          <w:sz w:val="17"/>
        </w:rPr>
      </w:pPr>
    </w:p>
    <w:p>
      <w:pPr>
        <w:tabs>
          <w:tab w:val="left" w:pos="6644"/>
        </w:tabs>
        <w:spacing w:before="70"/>
        <w:ind w:left="2380" w:right="0" w:firstLine="0"/>
        <w:jc w:val="left"/>
        <w:rPr>
          <w:rFonts w:ascii="Times New Roman" w:eastAsia="Times New Roman"/>
          <w:sz w:val="28"/>
        </w:rPr>
      </w:pPr>
      <w:r>
        <w:rPr>
          <w:rFonts w:ascii="宋体" w:eastAsia="宋体"/>
          <w:sz w:val="28"/>
        </w:rPr>
        <w:t>审核</w:t>
      </w:r>
      <w:r>
        <w:rPr>
          <w:rFonts w:ascii="宋体" w:eastAsia="宋体"/>
          <w:spacing w:val="-10"/>
          <w:sz w:val="28"/>
        </w:rPr>
        <w:t>：</w:t>
      </w:r>
      <w:r>
        <w:rPr>
          <w:rFonts w:ascii="Times New Roman" w:eastAsia="Times New Roman"/>
          <w:sz w:val="28"/>
          <w:u w:val="single"/>
        </w:rPr>
        <w:tab/>
      </w:r>
    </w:p>
    <w:p>
      <w:pPr>
        <w:pStyle w:val="BodyText"/>
        <w:rPr>
          <w:rFonts w:ascii="Times New Roman"/>
          <w:sz w:val="17"/>
        </w:rPr>
      </w:pPr>
    </w:p>
    <w:p>
      <w:pPr>
        <w:tabs>
          <w:tab w:val="left" w:pos="6644"/>
        </w:tabs>
        <w:spacing w:before="69"/>
        <w:ind w:left="2380" w:right="0" w:firstLine="0"/>
        <w:jc w:val="left"/>
        <w:rPr>
          <w:rFonts w:ascii="Times New Roman" w:eastAsia="Times New Roman"/>
          <w:sz w:val="28"/>
        </w:rPr>
      </w:pPr>
      <w:r>
        <w:rPr>
          <w:rFonts w:ascii="宋体" w:eastAsia="宋体"/>
          <w:sz w:val="28"/>
        </w:rPr>
        <w:t>审批</w:t>
      </w:r>
      <w:r>
        <w:rPr>
          <w:rFonts w:ascii="宋体" w:eastAsia="宋体"/>
          <w:spacing w:val="-10"/>
          <w:sz w:val="28"/>
        </w:rPr>
        <w:t>：</w:t>
      </w:r>
      <w:r>
        <w:rPr>
          <w:rFonts w:ascii="Times New Roman" w:eastAsia="Times New Roman"/>
          <w:sz w:val="28"/>
          <w:u w:val="single"/>
        </w:rPr>
        <w:tab/>
      </w:r>
    </w:p>
    <w:p>
      <w:pPr>
        <w:pStyle w:val="BodyText"/>
        <w:rPr>
          <w:rFonts w:ascii="Times New Roman"/>
          <w:sz w:val="17"/>
        </w:rPr>
      </w:pPr>
    </w:p>
    <w:p>
      <w:pPr>
        <w:tabs>
          <w:tab w:val="left" w:pos="6574"/>
        </w:tabs>
        <w:spacing w:before="70"/>
        <w:ind w:left="2170" w:right="0" w:firstLine="0"/>
        <w:jc w:val="left"/>
        <w:rPr>
          <w:rFonts w:ascii="Times New Roman" w:eastAsia="Times New Roman"/>
          <w:sz w:val="28"/>
        </w:rPr>
      </w:pPr>
      <w:r>
        <w:rPr>
          <w:rFonts w:ascii="宋体" w:eastAsia="宋体"/>
          <w:sz w:val="28"/>
        </w:rPr>
        <w:t>施工单位</w:t>
      </w:r>
      <w:r>
        <w:rPr>
          <w:rFonts w:ascii="宋体" w:eastAsia="宋体"/>
          <w:spacing w:val="-10"/>
          <w:sz w:val="28"/>
        </w:rPr>
        <w:t>：</w:t>
      </w:r>
      <w:r>
        <w:rPr>
          <w:rFonts w:ascii="Times New Roman" w:eastAsia="Times New Roman"/>
          <w:sz w:val="28"/>
          <w:u w:val="single"/>
        </w:rPr>
        <w:tab/>
      </w:r>
    </w:p>
    <w:p>
      <w:pPr>
        <w:pStyle w:val="BodyText"/>
        <w:spacing w:before="9"/>
        <w:rPr>
          <w:rFonts w:ascii="Times New Roman"/>
          <w:sz w:val="17"/>
        </w:rPr>
      </w:pPr>
    </w:p>
    <w:p>
      <w:pPr>
        <w:tabs>
          <w:tab w:val="left" w:pos="3009"/>
          <w:tab w:val="left" w:pos="6714"/>
        </w:tabs>
        <w:spacing w:before="61"/>
        <w:ind w:left="2170" w:right="0" w:firstLine="0"/>
        <w:jc w:val="left"/>
        <w:rPr>
          <w:rFonts w:ascii="Times New Roman" w:eastAsia="Times New Roman"/>
          <w:sz w:val="28"/>
        </w:rPr>
      </w:pPr>
      <w:r>
        <w:rPr>
          <w:rFonts w:ascii="宋体" w:eastAsia="宋体"/>
          <w:spacing w:val="-10"/>
          <w:sz w:val="28"/>
        </w:rPr>
        <w:t>日</w:t>
      </w:r>
      <w:r>
        <w:rPr>
          <w:rFonts w:ascii="宋体" w:eastAsia="宋体"/>
          <w:sz w:val="28"/>
        </w:rPr>
        <w:tab/>
        <w:t>期</w:t>
      </w:r>
      <w:r>
        <w:rPr>
          <w:rFonts w:ascii="宋体" w:eastAsia="宋体"/>
          <w:spacing w:val="-10"/>
          <w:sz w:val="28"/>
        </w:rPr>
        <w:t>：</w:t>
      </w:r>
      <w:r>
        <w:rPr>
          <w:rFonts w:ascii="Times New Roman" w:eastAsia="Times New Roman"/>
          <w:sz w:val="28"/>
          <w:u w:val="single"/>
        </w:rPr>
        <w:tab/>
      </w:r>
    </w:p>
    <w:p>
      <w:pPr>
        <w:spacing w:after="0"/>
        <w:jc w:val="left"/>
        <w:rPr>
          <w:rFonts w:ascii="Times New Roman" w:eastAsia="Times New Roman"/>
          <w:sz w:val="28"/>
        </w:rPr>
        <w:sectPr>
          <w:pgSz w:w="11910" w:h="16840"/>
          <w:pgMar w:top="1560" w:right="400" w:bottom="280" w:left="1520" w:header="708" w:footer="708"/>
          <w:pgNumType w:start="2"/>
          <w:cols w:space="708"/>
        </w:sectPr>
      </w:pPr>
    </w:p>
    <w:p>
      <w:pPr>
        <w:pStyle w:val="Heading3"/>
        <w:tabs>
          <w:tab w:val="left" w:pos="999"/>
        </w:tabs>
        <w:spacing w:line="408" w:lineRule="exact"/>
        <w:rPr>
          <w:rFonts w:ascii="Microsoft JhengHei" w:eastAsia="Microsoft JhengHei"/>
        </w:rPr>
      </w:pPr>
      <w:r>
        <w:rPr>
          <w:rFonts w:ascii="Microsoft JhengHei" w:eastAsia="Microsoft JhengHei"/>
        </w:rPr>
        <w:t>一</w:t>
      </w:r>
      <w:r>
        <w:rPr>
          <w:rFonts w:ascii="Microsoft JhengHei" w:eastAsia="Microsoft JhengHei"/>
          <w:spacing w:val="-10"/>
        </w:rPr>
        <w:t>、</w:t>
      </w:r>
      <w:r>
        <w:rPr>
          <w:rFonts w:ascii="Microsoft JhengHei" w:eastAsia="Microsoft JhengHei"/>
        </w:rPr>
        <w:tab/>
        <w:t>编制目的及适用范</w:t>
      </w:r>
      <w:r>
        <w:rPr>
          <w:rFonts w:ascii="Microsoft JhengHei" w:eastAsia="Microsoft JhengHei"/>
          <w:spacing w:val="-10"/>
        </w:rPr>
        <w:t>围</w:t>
      </w:r>
    </w:p>
    <w:p>
      <w:pPr>
        <w:pStyle w:val="BodyText"/>
        <w:spacing w:before="28"/>
        <w:ind w:left="760"/>
      </w:pPr>
      <w:r>
        <w:t>1</w:t>
      </w:r>
      <w:r>
        <w:rPr>
          <w:spacing w:val="-2"/>
        </w:rPr>
        <w:t>、编制目的</w:t>
      </w:r>
    </w:p>
    <w:p>
      <w:pPr>
        <w:pStyle w:val="BodyText"/>
        <w:spacing w:before="160" w:line="364" w:lineRule="auto"/>
        <w:ind w:left="280" w:right="1305" w:firstLine="480"/>
      </w:pPr>
      <w:r>
        <w:rPr>
          <w:spacing w:val="-8"/>
        </w:rPr>
        <w:t xml:space="preserve">为确保 </w:t>
      </w:r>
      <w:r>
        <w:t>110千伏输变电工程施工质量及进度，为满足破除原排水管、窨井，</w:t>
      </w:r>
      <w:r>
        <w:rPr>
          <w:spacing w:val="-1"/>
        </w:rPr>
        <w:t>为规范改建后排水管、窨井施工过程中的施工方法及作业程序，特制定本方案。</w:t>
      </w:r>
    </w:p>
    <w:p>
      <w:pPr>
        <w:pStyle w:val="BodyText"/>
        <w:spacing w:before="1"/>
        <w:ind w:left="760"/>
      </w:pPr>
      <w:r>
        <w:t>2</w:t>
      </w:r>
      <w:r>
        <w:rPr>
          <w:spacing w:val="-2"/>
        </w:rPr>
        <w:t>、适用范围</w:t>
      </w:r>
    </w:p>
    <w:p>
      <w:pPr>
        <w:pStyle w:val="BodyText"/>
        <w:spacing w:before="161"/>
        <w:ind w:left="760"/>
      </w:pPr>
      <w:r>
        <w:t>本施工方案适用于 110</w:t>
      </w:r>
      <w:r>
        <w:rPr>
          <w:spacing w:val="-1"/>
        </w:rPr>
        <w:t>千伏输变电工程侧排水管、窨井施工。</w:t>
      </w:r>
    </w:p>
    <w:p>
      <w:pPr>
        <w:pStyle w:val="Heading3"/>
        <w:tabs>
          <w:tab w:val="left" w:pos="999"/>
        </w:tabs>
        <w:spacing w:before="3"/>
        <w:rPr>
          <w:rFonts w:ascii="Microsoft JhengHei" w:eastAsia="Microsoft JhengHei"/>
        </w:rPr>
      </w:pPr>
      <w:r>
        <w:rPr>
          <w:rFonts w:ascii="Microsoft JhengHei" w:eastAsia="Microsoft JhengHei"/>
        </w:rPr>
        <w:t>二</w:t>
      </w:r>
      <w:r>
        <w:rPr>
          <w:rFonts w:ascii="Microsoft JhengHei" w:eastAsia="Microsoft JhengHei"/>
          <w:spacing w:val="-10"/>
        </w:rPr>
        <w:t>、</w:t>
      </w:r>
      <w:r>
        <w:rPr>
          <w:rFonts w:ascii="Microsoft JhengHei" w:eastAsia="Microsoft JhengHei"/>
        </w:rPr>
        <w:tab/>
        <w:t>编制依据</w:t>
      </w:r>
      <w:r>
        <w:rPr>
          <w:rFonts w:ascii="Microsoft JhengHei" w:eastAsia="Microsoft JhengHei"/>
          <w:spacing w:val="-10"/>
        </w:rPr>
        <w:t>：</w:t>
      </w:r>
    </w:p>
    <w:p>
      <w:pPr>
        <w:pStyle w:val="BodyText"/>
        <w:spacing w:before="28"/>
        <w:ind w:left="760"/>
      </w:pPr>
      <w:r>
        <w:t>1、《 110</w:t>
      </w:r>
      <w:r>
        <w:rPr>
          <w:spacing w:val="-1"/>
        </w:rPr>
        <w:t>千伏输变电工程设计资料》</w:t>
      </w:r>
    </w:p>
    <w:p>
      <w:pPr>
        <w:pStyle w:val="BodyText"/>
        <w:spacing w:before="160"/>
        <w:ind w:left="760"/>
      </w:pPr>
      <w:r>
        <w:t>2、《城市给排水技术规范》（GB50788-</w:t>
      </w:r>
      <w:r>
        <w:rPr>
          <w:spacing w:val="-2"/>
        </w:rPr>
        <w:t>2012）</w:t>
      </w:r>
    </w:p>
    <w:p>
      <w:pPr>
        <w:pStyle w:val="BodyText"/>
        <w:spacing w:before="161"/>
        <w:ind w:left="760"/>
      </w:pPr>
      <w:r>
        <w:t>3、《室外排水设计规范》（GB50014-2006）（2014版</w:t>
      </w:r>
      <w:r>
        <w:rPr>
          <w:spacing w:val="-10"/>
        </w:rPr>
        <w:t>）</w:t>
      </w:r>
    </w:p>
    <w:p>
      <w:pPr>
        <w:pStyle w:val="BodyText"/>
        <w:spacing w:before="160"/>
        <w:ind w:left="760"/>
      </w:pPr>
      <w:r>
        <w:t>4、《给排水管道工程施工及验收规范》（GB50268-</w:t>
      </w:r>
      <w:r>
        <w:rPr>
          <w:spacing w:val="-2"/>
        </w:rPr>
        <w:t>2008）</w:t>
      </w:r>
    </w:p>
    <w:p>
      <w:pPr>
        <w:pStyle w:val="BodyText"/>
        <w:spacing w:before="161"/>
        <w:ind w:left="760"/>
      </w:pPr>
      <w:r>
        <w:t>5、国家标准图集：04MS201-1、2、3、4、8、9</w:t>
      </w:r>
      <w:r>
        <w:rPr>
          <w:spacing w:val="-5"/>
        </w:rPr>
        <w:t>等。</w:t>
      </w:r>
    </w:p>
    <w:p>
      <w:pPr>
        <w:pStyle w:val="BodyText"/>
        <w:spacing w:before="160"/>
        <w:ind w:left="760"/>
      </w:pPr>
      <w:r>
        <w:t>6</w:t>
      </w:r>
      <w:r>
        <w:rPr>
          <w:spacing w:val="-1"/>
        </w:rPr>
        <w:t>、监理、建管部门及业主要求。</w:t>
      </w:r>
    </w:p>
    <w:p>
      <w:pPr>
        <w:pStyle w:val="BodyText"/>
        <w:spacing w:before="161"/>
        <w:ind w:left="760"/>
      </w:pPr>
      <w:r>
        <w:t>7</w:t>
      </w:r>
      <w:r>
        <w:rPr>
          <w:spacing w:val="-1"/>
        </w:rPr>
        <w:t>、我单位进一步现场踏勘所掌握的情况和资料；</w:t>
      </w:r>
    </w:p>
    <w:p>
      <w:pPr>
        <w:pStyle w:val="BodyText"/>
        <w:spacing w:before="160"/>
        <w:ind w:left="760"/>
      </w:pPr>
      <w:r>
        <w:t>8、 110</w:t>
      </w:r>
      <w:r>
        <w:rPr>
          <w:spacing w:val="-1"/>
        </w:rPr>
        <w:t>千伏输变电工程招标文件规定的适用于本工程的各种施工规范；</w:t>
      </w:r>
    </w:p>
    <w:p>
      <w:pPr>
        <w:pStyle w:val="BodyText"/>
        <w:spacing w:before="161" w:line="364" w:lineRule="auto"/>
        <w:ind w:left="280" w:right="1425" w:firstLine="480"/>
      </w:pPr>
      <w:r>
        <w:rPr>
          <w:spacing w:val="-2"/>
        </w:rPr>
        <w:t>9、我单位现有的施工技术、管理水平和机械设备配备能力及从事电缆沟工</w:t>
      </w:r>
      <w:r>
        <w:rPr>
          <w:spacing w:val="-2"/>
        </w:rPr>
        <w:t>程建设的经验。</w:t>
      </w:r>
    </w:p>
    <w:p>
      <w:pPr>
        <w:pStyle w:val="Heading3"/>
        <w:tabs>
          <w:tab w:val="left" w:pos="999"/>
        </w:tabs>
        <w:spacing w:line="285" w:lineRule="exact"/>
        <w:rPr>
          <w:rFonts w:ascii="Microsoft JhengHei" w:eastAsia="Microsoft JhengHei"/>
        </w:rPr>
      </w:pPr>
      <w:r>
        <w:rPr>
          <w:rFonts w:ascii="Microsoft JhengHei" w:eastAsia="Microsoft JhengHei"/>
        </w:rPr>
        <w:t>三</w:t>
      </w:r>
      <w:r>
        <w:rPr>
          <w:rFonts w:ascii="Microsoft JhengHei" w:eastAsia="Microsoft JhengHei"/>
          <w:spacing w:val="-10"/>
        </w:rPr>
        <w:t>、</w:t>
      </w:r>
      <w:r>
        <w:rPr>
          <w:rFonts w:ascii="Microsoft JhengHei" w:eastAsia="Microsoft JhengHei"/>
        </w:rPr>
        <w:tab/>
        <w:t>工程概况</w:t>
      </w:r>
      <w:r>
        <w:rPr>
          <w:rFonts w:ascii="Microsoft JhengHei" w:eastAsia="Microsoft JhengHei"/>
          <w:spacing w:val="-10"/>
        </w:rPr>
        <w:t>：</w:t>
      </w:r>
    </w:p>
    <w:p>
      <w:pPr>
        <w:pStyle w:val="BodyText"/>
        <w:spacing w:before="28" w:line="364" w:lineRule="auto"/>
        <w:ind w:left="280" w:right="1398" w:firstLine="480"/>
      </w:pPr>
      <w:r>
        <w:t>为保障本工程新建工程顺利实施，需敲除 及路径内临近有限公司沿 大道</w:t>
      </w:r>
      <w:r>
        <w:rPr>
          <w:spacing w:val="-2"/>
        </w:rPr>
        <w:t>侧原排污管及2座原污水井。该段地质松软、交叉管线多、开挖面宽且深，沿线</w:t>
      </w:r>
      <w:r>
        <w:rPr>
          <w:spacing w:val="-2"/>
        </w:rPr>
        <w:t>障碍物较多、临近建筑物、有一段穿越路面（15米）</w:t>
      </w:r>
      <w:r>
        <w:rPr>
          <w:spacing w:val="-6"/>
        </w:rPr>
        <w:t xml:space="preserve">等特点，根据 </w:t>
      </w:r>
      <w:r>
        <w:rPr>
          <w:spacing w:val="-2"/>
        </w:rPr>
        <w:t>110千伏输变</w:t>
      </w:r>
      <w:r>
        <w:rPr>
          <w:spacing w:val="-4"/>
        </w:rPr>
        <w:t>电工程施工图、勘查资料与现场情况核实，破除后需将原污水管及污水井进行改</w:t>
      </w:r>
      <w:r>
        <w:rPr>
          <w:spacing w:val="-6"/>
        </w:rPr>
        <w:t>建。</w:t>
      </w:r>
    </w:p>
    <w:p>
      <w:pPr>
        <w:pStyle w:val="BodyText"/>
        <w:spacing w:before="3" w:line="364" w:lineRule="auto"/>
        <w:ind w:left="280" w:right="1398" w:firstLine="480"/>
      </w:pPr>
      <w:r>
        <w:rPr>
          <w:spacing w:val="-4"/>
        </w:rPr>
        <w:t>主要工程内容为：开挖沟槽、冲砂、安管、穿越马路处排水管砼包封、土方</w:t>
      </w:r>
      <w:r>
        <w:rPr>
          <w:spacing w:val="-2"/>
        </w:rPr>
        <w:t>回填、窨井施工。</w:t>
      </w:r>
    </w:p>
    <w:p>
      <w:pPr>
        <w:pStyle w:val="BodyText"/>
        <w:spacing w:before="1" w:line="364" w:lineRule="auto"/>
        <w:ind w:left="760" w:right="6225" w:firstLine="120"/>
      </w:pPr>
      <w:r>
        <w:pict>
          <v:shapetype id="_x0000_t202" coordsize="21600,21600" o:spt="202" path="m,l,21600r21600,l21600,xe">
            <v:stroke joinstyle="miter"/>
            <v:path gradientshapeok="t" o:connecttype="rect"/>
          </v:shapetype>
          <v:shape id="_x0000_s1025" type="#_x0000_t202" style="width:433.6pt;height:76.55pt;margin-top:42.74pt;margin-left:89pt;mso-position-horizontal-relative:page;position:absolute;z-index:251658240" filled="f" stroked="f">
            <v:textbox inset="0,0,0,0">
              <w:txbxContent>
                <w:tbl>
                  <w:tblPr>
                    <w:tblStyle w:val="TableNormal0"/>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41"/>
                    <w:gridCol w:w="3343"/>
                    <w:gridCol w:w="1418"/>
                    <w:gridCol w:w="850"/>
                    <w:gridCol w:w="851"/>
                    <w:gridCol w:w="1559"/>
                  </w:tblGrid>
                  <w:tr>
                    <w:tblPrEx>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497"/>
                      <w:jc w:val="left"/>
                    </w:trPr>
                    <w:tc>
                      <w:tcPr>
                        <w:tcW w:w="641" w:type="dxa"/>
                      </w:tcPr>
                      <w:p>
                        <w:pPr>
                          <w:pStyle w:val="TableParagraph"/>
                          <w:spacing w:before="97"/>
                          <w:ind w:left="15"/>
                          <w:jc w:val="left"/>
                          <w:rPr>
                            <w:rFonts w:ascii="仿宋" w:eastAsia="仿宋"/>
                            <w:sz w:val="24"/>
                          </w:rPr>
                        </w:pPr>
                        <w:r>
                          <w:rPr>
                            <w:rFonts w:ascii="仿宋" w:eastAsia="仿宋"/>
                            <w:spacing w:val="-5"/>
                            <w:sz w:val="24"/>
                          </w:rPr>
                          <w:t>序号</w:t>
                        </w:r>
                      </w:p>
                    </w:tc>
                    <w:tc>
                      <w:tcPr>
                        <w:tcW w:w="3343" w:type="dxa"/>
                      </w:tcPr>
                      <w:p>
                        <w:pPr>
                          <w:pStyle w:val="TableParagraph"/>
                          <w:spacing w:before="97"/>
                          <w:ind w:left="494"/>
                          <w:jc w:val="left"/>
                          <w:rPr>
                            <w:rFonts w:ascii="仿宋" w:eastAsia="仿宋"/>
                            <w:sz w:val="24"/>
                          </w:rPr>
                        </w:pPr>
                        <w:r>
                          <w:rPr>
                            <w:rFonts w:ascii="仿宋" w:eastAsia="仿宋"/>
                            <w:spacing w:val="-3"/>
                            <w:sz w:val="24"/>
                          </w:rPr>
                          <w:t>项目名称</w:t>
                        </w:r>
                      </w:p>
                    </w:tc>
                    <w:tc>
                      <w:tcPr>
                        <w:tcW w:w="1418" w:type="dxa"/>
                      </w:tcPr>
                      <w:p>
                        <w:pPr>
                          <w:pStyle w:val="TableParagraph"/>
                          <w:spacing w:before="97"/>
                          <w:ind w:left="479" w:right="418"/>
                          <w:rPr>
                            <w:rFonts w:ascii="仿宋" w:eastAsia="仿宋"/>
                            <w:sz w:val="24"/>
                          </w:rPr>
                        </w:pPr>
                        <w:r>
                          <w:rPr>
                            <w:rFonts w:ascii="仿宋" w:eastAsia="仿宋"/>
                            <w:spacing w:val="-5"/>
                            <w:sz w:val="24"/>
                          </w:rPr>
                          <w:t>规格</w:t>
                        </w:r>
                      </w:p>
                    </w:tc>
                    <w:tc>
                      <w:tcPr>
                        <w:tcW w:w="850" w:type="dxa"/>
                      </w:tcPr>
                      <w:p>
                        <w:pPr>
                          <w:pStyle w:val="TableParagraph"/>
                          <w:spacing w:before="97"/>
                          <w:ind w:left="15"/>
                          <w:jc w:val="left"/>
                          <w:rPr>
                            <w:rFonts w:ascii="仿宋" w:eastAsia="仿宋"/>
                            <w:sz w:val="24"/>
                          </w:rPr>
                        </w:pPr>
                        <w:r>
                          <w:rPr>
                            <w:rFonts w:ascii="仿宋" w:eastAsia="仿宋"/>
                            <w:spacing w:val="-5"/>
                            <w:sz w:val="24"/>
                          </w:rPr>
                          <w:t>单位</w:t>
                        </w:r>
                      </w:p>
                    </w:tc>
                    <w:tc>
                      <w:tcPr>
                        <w:tcW w:w="851" w:type="dxa"/>
                      </w:tcPr>
                      <w:p>
                        <w:pPr>
                          <w:pStyle w:val="TableParagraph"/>
                          <w:spacing w:before="97"/>
                          <w:ind w:left="15"/>
                          <w:jc w:val="left"/>
                          <w:rPr>
                            <w:rFonts w:ascii="仿宋" w:eastAsia="仿宋"/>
                            <w:sz w:val="24"/>
                          </w:rPr>
                        </w:pPr>
                        <w:r>
                          <w:rPr>
                            <w:rFonts w:ascii="仿宋" w:eastAsia="仿宋"/>
                            <w:spacing w:val="-5"/>
                            <w:sz w:val="24"/>
                          </w:rPr>
                          <w:t>数量</w:t>
                        </w:r>
                      </w:p>
                    </w:tc>
                    <w:tc>
                      <w:tcPr>
                        <w:tcW w:w="1559" w:type="dxa"/>
                      </w:tcPr>
                      <w:p>
                        <w:pPr>
                          <w:pStyle w:val="TableParagraph"/>
                          <w:spacing w:before="97"/>
                          <w:ind w:left="494"/>
                          <w:jc w:val="left"/>
                          <w:rPr>
                            <w:rFonts w:ascii="仿宋" w:eastAsia="仿宋"/>
                            <w:sz w:val="24"/>
                          </w:rPr>
                        </w:pPr>
                        <w:r>
                          <w:rPr>
                            <w:rFonts w:ascii="仿宋" w:eastAsia="仿宋"/>
                            <w:spacing w:val="-5"/>
                            <w:sz w:val="24"/>
                          </w:rPr>
                          <w:t>备注</w:t>
                        </w:r>
                      </w:p>
                    </w:tc>
                  </w:tr>
                  <w:tr>
                    <w:tblPrEx>
                      <w:tblW w:w="0" w:type="auto"/>
                      <w:jc w:val="left"/>
                      <w:tblInd w:w="5" w:type="dxa"/>
                      <w:tblLayout w:type="fixed"/>
                      <w:tblCellMar>
                        <w:top w:w="0" w:type="dxa"/>
                        <w:left w:w="0" w:type="dxa"/>
                        <w:bottom w:w="0" w:type="dxa"/>
                        <w:right w:w="0" w:type="dxa"/>
                      </w:tblCellMar>
                      <w:tblLook w:val="01E0"/>
                    </w:tblPrEx>
                    <w:trPr>
                      <w:trHeight w:val="497"/>
                      <w:jc w:val="left"/>
                    </w:trPr>
                    <w:tc>
                      <w:tcPr>
                        <w:tcW w:w="641" w:type="dxa"/>
                      </w:tcPr>
                      <w:p>
                        <w:pPr>
                          <w:pStyle w:val="TableParagraph"/>
                          <w:spacing w:before="97"/>
                          <w:ind w:right="15"/>
                          <w:jc w:val="right"/>
                          <w:rPr>
                            <w:rFonts w:ascii="仿宋"/>
                            <w:sz w:val="24"/>
                          </w:rPr>
                        </w:pPr>
                        <w:r>
                          <w:rPr>
                            <w:rFonts w:ascii="仿宋"/>
                            <w:sz w:val="24"/>
                          </w:rPr>
                          <w:t>1</w:t>
                        </w:r>
                      </w:p>
                    </w:tc>
                    <w:tc>
                      <w:tcPr>
                        <w:tcW w:w="3343" w:type="dxa"/>
                      </w:tcPr>
                      <w:p>
                        <w:pPr>
                          <w:pStyle w:val="TableParagraph"/>
                          <w:spacing w:before="97"/>
                          <w:ind w:left="254"/>
                          <w:jc w:val="left"/>
                          <w:rPr>
                            <w:rFonts w:ascii="仿宋" w:eastAsia="仿宋"/>
                            <w:sz w:val="24"/>
                          </w:rPr>
                        </w:pPr>
                        <w:r>
                          <w:rPr>
                            <w:rFonts w:ascii="仿宋" w:eastAsia="仿宋"/>
                            <w:sz w:val="24"/>
                          </w:rPr>
                          <w:t>HDPE缠绕增强管</w:t>
                        </w:r>
                        <w:r>
                          <w:rPr>
                            <w:rFonts w:ascii="仿宋" w:eastAsia="仿宋"/>
                            <w:spacing w:val="-2"/>
                            <w:sz w:val="24"/>
                          </w:rPr>
                          <w:t>（D400）</w:t>
                        </w:r>
                      </w:p>
                    </w:tc>
                    <w:tc>
                      <w:tcPr>
                        <w:tcW w:w="1418" w:type="dxa"/>
                      </w:tcPr>
                      <w:p>
                        <w:pPr>
                          <w:pStyle w:val="TableParagraph"/>
                          <w:spacing w:before="97"/>
                          <w:ind w:left="479" w:right="418"/>
                          <w:rPr>
                            <w:rFonts w:ascii="仿宋"/>
                            <w:sz w:val="24"/>
                          </w:rPr>
                        </w:pPr>
                        <w:r>
                          <w:rPr>
                            <w:rFonts w:ascii="仿宋"/>
                            <w:spacing w:val="-4"/>
                            <w:sz w:val="24"/>
                          </w:rPr>
                          <w:t>D400</w:t>
                        </w:r>
                      </w:p>
                    </w:tc>
                    <w:tc>
                      <w:tcPr>
                        <w:tcW w:w="850" w:type="dxa"/>
                      </w:tcPr>
                      <w:p>
                        <w:pPr>
                          <w:pStyle w:val="TableParagraph"/>
                          <w:spacing w:before="97"/>
                          <w:ind w:right="224"/>
                          <w:jc w:val="right"/>
                          <w:rPr>
                            <w:rFonts w:ascii="仿宋"/>
                            <w:sz w:val="24"/>
                          </w:rPr>
                        </w:pPr>
                        <w:r>
                          <w:rPr>
                            <w:rFonts w:ascii="仿宋"/>
                            <w:sz w:val="24"/>
                          </w:rPr>
                          <w:t>m</w:t>
                        </w:r>
                      </w:p>
                    </w:tc>
                    <w:tc>
                      <w:tcPr>
                        <w:tcW w:w="851" w:type="dxa"/>
                      </w:tcPr>
                      <w:p>
                        <w:pPr>
                          <w:pStyle w:val="TableParagraph"/>
                          <w:spacing w:before="97"/>
                          <w:ind w:right="105"/>
                          <w:jc w:val="right"/>
                          <w:rPr>
                            <w:rFonts w:ascii="仿宋"/>
                            <w:sz w:val="24"/>
                          </w:rPr>
                        </w:pPr>
                        <w:r>
                          <w:rPr>
                            <w:rFonts w:ascii="仿宋"/>
                            <w:spacing w:val="-5"/>
                            <w:sz w:val="24"/>
                          </w:rPr>
                          <w:t>100</w:t>
                        </w:r>
                      </w:p>
                    </w:tc>
                    <w:tc>
                      <w:tcPr>
                        <w:tcW w:w="1559" w:type="dxa"/>
                      </w:tcPr>
                      <w:p>
                        <w:pPr>
                          <w:pStyle w:val="TableParagraph"/>
                          <w:spacing w:before="0"/>
                          <w:jc w:val="left"/>
                          <w:rPr>
                            <w:rFonts w:ascii="Times New Roman"/>
                            <w:sz w:val="24"/>
                          </w:rPr>
                        </w:pPr>
                      </w:p>
                    </w:tc>
                  </w:tr>
                  <w:tr>
                    <w:tblPrEx>
                      <w:tblW w:w="0" w:type="auto"/>
                      <w:jc w:val="left"/>
                      <w:tblInd w:w="5" w:type="dxa"/>
                      <w:tblLayout w:type="fixed"/>
                      <w:tblCellMar>
                        <w:top w:w="0" w:type="dxa"/>
                        <w:left w:w="0" w:type="dxa"/>
                        <w:bottom w:w="0" w:type="dxa"/>
                        <w:right w:w="0" w:type="dxa"/>
                      </w:tblCellMar>
                      <w:tblLook w:val="01E0"/>
                    </w:tblPrEx>
                    <w:trPr>
                      <w:trHeight w:val="497"/>
                      <w:jc w:val="left"/>
                    </w:trPr>
                    <w:tc>
                      <w:tcPr>
                        <w:tcW w:w="641" w:type="dxa"/>
                      </w:tcPr>
                      <w:p>
                        <w:pPr>
                          <w:pStyle w:val="TableParagraph"/>
                          <w:spacing w:before="97"/>
                          <w:ind w:right="15"/>
                          <w:jc w:val="right"/>
                          <w:rPr>
                            <w:rFonts w:ascii="仿宋"/>
                            <w:sz w:val="24"/>
                          </w:rPr>
                        </w:pPr>
                        <w:r>
                          <w:rPr>
                            <w:rFonts w:ascii="仿宋"/>
                            <w:sz w:val="24"/>
                          </w:rPr>
                          <w:t>2</w:t>
                        </w:r>
                      </w:p>
                    </w:tc>
                    <w:tc>
                      <w:tcPr>
                        <w:tcW w:w="3343" w:type="dxa"/>
                      </w:tcPr>
                      <w:p>
                        <w:pPr>
                          <w:pStyle w:val="TableParagraph"/>
                          <w:spacing w:before="97"/>
                          <w:ind w:left="254"/>
                          <w:jc w:val="left"/>
                          <w:rPr>
                            <w:rFonts w:ascii="仿宋" w:eastAsia="仿宋"/>
                            <w:sz w:val="24"/>
                          </w:rPr>
                        </w:pPr>
                        <w:r>
                          <w:rPr>
                            <w:rFonts w:ascii="仿宋" w:eastAsia="仿宋"/>
                            <w:spacing w:val="-4"/>
                            <w:sz w:val="24"/>
                          </w:rPr>
                          <w:t>HDPE缠绕增强管（D400）</w:t>
                        </w:r>
                        <w:r>
                          <w:rPr>
                            <w:rFonts w:ascii="仿宋" w:eastAsia="仿宋"/>
                            <w:spacing w:val="-7"/>
                            <w:sz w:val="24"/>
                          </w:rPr>
                          <w:t>、包</w:t>
                        </w:r>
                      </w:p>
                    </w:tc>
                    <w:tc>
                      <w:tcPr>
                        <w:tcW w:w="1418" w:type="dxa"/>
                      </w:tcPr>
                      <w:p>
                        <w:pPr>
                          <w:pStyle w:val="TableParagraph"/>
                          <w:spacing w:before="97"/>
                          <w:ind w:left="479" w:right="418"/>
                          <w:rPr>
                            <w:rFonts w:ascii="仿宋"/>
                            <w:sz w:val="24"/>
                          </w:rPr>
                        </w:pPr>
                        <w:r>
                          <w:rPr>
                            <w:rFonts w:ascii="仿宋"/>
                            <w:spacing w:val="-4"/>
                            <w:sz w:val="24"/>
                          </w:rPr>
                          <w:t>D400</w:t>
                        </w:r>
                      </w:p>
                    </w:tc>
                    <w:tc>
                      <w:tcPr>
                        <w:tcW w:w="850" w:type="dxa"/>
                      </w:tcPr>
                      <w:p>
                        <w:pPr>
                          <w:pStyle w:val="TableParagraph"/>
                          <w:spacing w:before="97"/>
                          <w:ind w:right="224"/>
                          <w:jc w:val="right"/>
                          <w:rPr>
                            <w:rFonts w:ascii="仿宋"/>
                            <w:sz w:val="24"/>
                          </w:rPr>
                        </w:pPr>
                        <w:r>
                          <w:rPr>
                            <w:rFonts w:ascii="仿宋"/>
                            <w:sz w:val="24"/>
                          </w:rPr>
                          <w:t>m</w:t>
                        </w:r>
                      </w:p>
                    </w:tc>
                    <w:tc>
                      <w:tcPr>
                        <w:tcW w:w="851" w:type="dxa"/>
                      </w:tcPr>
                      <w:p>
                        <w:pPr>
                          <w:pStyle w:val="TableParagraph"/>
                          <w:spacing w:before="97"/>
                          <w:ind w:right="105"/>
                          <w:jc w:val="right"/>
                          <w:rPr>
                            <w:rFonts w:ascii="仿宋"/>
                            <w:sz w:val="24"/>
                          </w:rPr>
                        </w:pPr>
                        <w:r>
                          <w:rPr>
                            <w:rFonts w:ascii="仿宋"/>
                            <w:spacing w:val="-5"/>
                            <w:sz w:val="24"/>
                          </w:rPr>
                          <w:t>15</w:t>
                        </w:r>
                      </w:p>
                    </w:tc>
                    <w:tc>
                      <w:tcPr>
                        <w:tcW w:w="1559" w:type="dxa"/>
                      </w:tcPr>
                      <w:p>
                        <w:pPr>
                          <w:pStyle w:val="TableParagraph"/>
                          <w:spacing w:before="97"/>
                          <w:ind w:left="494"/>
                          <w:jc w:val="left"/>
                          <w:rPr>
                            <w:rFonts w:ascii="仿宋" w:eastAsia="仿宋"/>
                            <w:sz w:val="24"/>
                          </w:rPr>
                        </w:pPr>
                        <w:r>
                          <w:rPr>
                            <w:rFonts w:ascii="仿宋" w:eastAsia="仿宋"/>
                            <w:spacing w:val="-3"/>
                            <w:sz w:val="24"/>
                          </w:rPr>
                          <w:t>穿越厂门</w:t>
                        </w:r>
                      </w:p>
                    </w:tc>
                  </w:tr>
                </w:tbl>
                <w:p>
                  <w:pPr>
                    <w:pStyle w:val="BodyText"/>
                  </w:pPr>
                </w:p>
              </w:txbxContent>
            </v:textbox>
          </v:shape>
        </w:pict>
      </w:r>
      <w:r>
        <w:rPr>
          <w:spacing w:val="-2"/>
        </w:rPr>
        <w:t>计划施工工期：15日历天。</w:t>
      </w:r>
      <w:r>
        <w:rPr>
          <w:spacing w:val="-2"/>
        </w:rPr>
        <w:t>具体工程数量表如下：</w:t>
      </w:r>
    </w:p>
    <w:p>
      <w:pPr>
        <w:spacing w:after="0" w:line="364" w:lineRule="auto"/>
        <w:sectPr>
          <w:pgSz w:w="11910" w:h="16840"/>
          <w:pgMar w:top="1380" w:right="400" w:bottom="280" w:left="1520" w:header="708" w:footer="708"/>
          <w:pgNumType w:start="3"/>
          <w:cols w:space="708"/>
        </w:sectPr>
      </w:pPr>
    </w:p>
    <w:tbl>
      <w:tblPr>
        <w:tblStyle w:val="TableNormal1"/>
        <w:tblW w:w="0" w:type="auto"/>
        <w:jc w:val="left"/>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41"/>
        <w:gridCol w:w="3343"/>
        <w:gridCol w:w="1418"/>
        <w:gridCol w:w="850"/>
        <w:gridCol w:w="851"/>
        <w:gridCol w:w="1559"/>
      </w:tblGrid>
      <w:tr>
        <w:tblPrEx>
          <w:tblW w:w="0" w:type="auto"/>
          <w:jc w:val="left"/>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497"/>
          <w:jc w:val="left"/>
        </w:trPr>
        <w:tc>
          <w:tcPr>
            <w:tcW w:w="641" w:type="dxa"/>
          </w:tcPr>
          <w:p>
            <w:pPr>
              <w:pStyle w:val="TableParagraph"/>
              <w:spacing w:before="0"/>
              <w:jc w:val="left"/>
              <w:rPr>
                <w:rFonts w:ascii="Times New Roman"/>
                <w:sz w:val="24"/>
              </w:rPr>
            </w:pPr>
          </w:p>
        </w:tc>
        <w:tc>
          <w:tcPr>
            <w:tcW w:w="3343" w:type="dxa"/>
          </w:tcPr>
          <w:p>
            <w:pPr>
              <w:pStyle w:val="TableParagraph"/>
              <w:spacing w:before="97"/>
              <w:ind w:left="14"/>
              <w:jc w:val="left"/>
              <w:rPr>
                <w:rFonts w:ascii="仿宋" w:eastAsia="仿宋"/>
                <w:sz w:val="24"/>
              </w:rPr>
            </w:pPr>
            <w:r>
              <w:rPr>
                <w:rFonts w:ascii="仿宋" w:eastAsia="仿宋"/>
                <w:spacing w:val="-3"/>
                <w:sz w:val="24"/>
              </w:rPr>
              <w:t>封混凝土</w:t>
            </w:r>
          </w:p>
        </w:tc>
        <w:tc>
          <w:tcPr>
            <w:tcW w:w="1418" w:type="dxa"/>
          </w:tcPr>
          <w:p>
            <w:pPr>
              <w:pStyle w:val="TableParagraph"/>
              <w:spacing w:before="0"/>
              <w:jc w:val="left"/>
              <w:rPr>
                <w:rFonts w:ascii="Times New Roman"/>
                <w:sz w:val="24"/>
              </w:rPr>
            </w:pPr>
          </w:p>
        </w:tc>
        <w:tc>
          <w:tcPr>
            <w:tcW w:w="850" w:type="dxa"/>
          </w:tcPr>
          <w:p>
            <w:pPr>
              <w:pStyle w:val="TableParagraph"/>
              <w:spacing w:before="0"/>
              <w:jc w:val="left"/>
              <w:rPr>
                <w:rFonts w:ascii="Times New Roman"/>
                <w:sz w:val="24"/>
              </w:rPr>
            </w:pPr>
          </w:p>
        </w:tc>
        <w:tc>
          <w:tcPr>
            <w:tcW w:w="851" w:type="dxa"/>
          </w:tcPr>
          <w:p>
            <w:pPr>
              <w:pStyle w:val="TableParagraph"/>
              <w:spacing w:before="0"/>
              <w:jc w:val="left"/>
              <w:rPr>
                <w:rFonts w:ascii="Times New Roman"/>
                <w:sz w:val="24"/>
              </w:rPr>
            </w:pPr>
          </w:p>
        </w:tc>
        <w:tc>
          <w:tcPr>
            <w:tcW w:w="1559" w:type="dxa"/>
          </w:tcPr>
          <w:p>
            <w:pPr>
              <w:pStyle w:val="TableParagraph"/>
              <w:spacing w:before="97"/>
              <w:ind w:left="14"/>
              <w:jc w:val="left"/>
              <w:rPr>
                <w:rFonts w:ascii="仿宋" w:eastAsia="仿宋"/>
                <w:sz w:val="24"/>
              </w:rPr>
            </w:pPr>
            <w:r>
              <w:rPr>
                <w:rFonts w:ascii="仿宋" w:eastAsia="仿宋"/>
                <w:spacing w:val="-2"/>
                <w:sz w:val="24"/>
              </w:rPr>
              <w:t>出入口路面</w:t>
            </w:r>
          </w:p>
        </w:tc>
      </w:tr>
      <w:tr>
        <w:tblPrEx>
          <w:tblW w:w="0" w:type="auto"/>
          <w:jc w:val="left"/>
          <w:tblInd w:w="270" w:type="dxa"/>
          <w:tblLayout w:type="fixed"/>
          <w:tblCellMar>
            <w:top w:w="0" w:type="dxa"/>
            <w:left w:w="0" w:type="dxa"/>
            <w:bottom w:w="0" w:type="dxa"/>
            <w:right w:w="0" w:type="dxa"/>
          </w:tblCellMar>
          <w:tblLook w:val="01E0"/>
        </w:tblPrEx>
        <w:trPr>
          <w:trHeight w:val="965"/>
          <w:jc w:val="left"/>
        </w:trPr>
        <w:tc>
          <w:tcPr>
            <w:tcW w:w="641" w:type="dxa"/>
          </w:tcPr>
          <w:p>
            <w:pPr>
              <w:pStyle w:val="TableParagraph"/>
              <w:spacing w:before="10"/>
              <w:jc w:val="left"/>
              <w:rPr>
                <w:rFonts w:ascii="仿宋"/>
                <w:sz w:val="25"/>
              </w:rPr>
            </w:pPr>
          </w:p>
          <w:p>
            <w:pPr>
              <w:pStyle w:val="TableParagraph"/>
              <w:spacing w:before="1"/>
              <w:ind w:right="15"/>
              <w:jc w:val="right"/>
              <w:rPr>
                <w:rFonts w:ascii="仿宋"/>
                <w:sz w:val="24"/>
              </w:rPr>
            </w:pPr>
            <w:r>
              <w:rPr>
                <w:rFonts w:ascii="仿宋"/>
                <w:sz w:val="24"/>
              </w:rPr>
              <w:t>3</w:t>
            </w:r>
          </w:p>
        </w:tc>
        <w:tc>
          <w:tcPr>
            <w:tcW w:w="3343" w:type="dxa"/>
          </w:tcPr>
          <w:p>
            <w:pPr>
              <w:pStyle w:val="TableParagraph"/>
              <w:spacing w:before="10"/>
              <w:jc w:val="left"/>
              <w:rPr>
                <w:rFonts w:ascii="仿宋"/>
                <w:sz w:val="25"/>
              </w:rPr>
            </w:pPr>
          </w:p>
          <w:p>
            <w:pPr>
              <w:pStyle w:val="TableParagraph"/>
              <w:spacing w:before="1"/>
              <w:ind w:left="494"/>
              <w:jc w:val="left"/>
              <w:rPr>
                <w:rFonts w:ascii="仿宋" w:eastAsia="仿宋"/>
                <w:sz w:val="24"/>
              </w:rPr>
            </w:pPr>
            <w:r>
              <w:rPr>
                <w:rFonts w:ascii="仿宋" w:eastAsia="仿宋"/>
                <w:spacing w:val="-2"/>
                <w:sz w:val="24"/>
              </w:rPr>
              <w:t>砖砌检查井</w:t>
            </w:r>
          </w:p>
        </w:tc>
        <w:tc>
          <w:tcPr>
            <w:tcW w:w="1418" w:type="dxa"/>
          </w:tcPr>
          <w:p>
            <w:pPr>
              <w:pStyle w:val="TableParagraph"/>
              <w:spacing w:before="97"/>
              <w:ind w:left="14"/>
              <w:jc w:val="left"/>
              <w:rPr>
                <w:rFonts w:ascii="仿宋" w:eastAsia="仿宋" w:hAnsi="仿宋"/>
                <w:sz w:val="24"/>
              </w:rPr>
            </w:pPr>
            <w:r>
              <w:rPr>
                <w:rFonts w:ascii="Calibri" w:eastAsia="Calibri" w:hAnsi="Calibri"/>
                <w:sz w:val="24"/>
              </w:rPr>
              <w:t>Ø</w:t>
            </w:r>
            <w:r>
              <w:rPr>
                <w:rFonts w:ascii="仿宋" w:eastAsia="仿宋" w:hAnsi="仿宋"/>
                <w:sz w:val="24"/>
              </w:rPr>
              <w:t>600mmx</w:t>
            </w:r>
            <w:r>
              <w:rPr>
                <w:rFonts w:ascii="仿宋" w:eastAsia="仿宋" w:hAnsi="仿宋"/>
                <w:spacing w:val="-10"/>
                <w:sz w:val="24"/>
              </w:rPr>
              <w:t>深</w:t>
            </w:r>
          </w:p>
          <w:p>
            <w:pPr>
              <w:pStyle w:val="TableParagraph"/>
              <w:spacing w:before="160"/>
              <w:ind w:left="14"/>
              <w:jc w:val="left"/>
              <w:rPr>
                <w:rFonts w:ascii="仿宋"/>
                <w:sz w:val="24"/>
              </w:rPr>
            </w:pPr>
            <w:r>
              <w:rPr>
                <w:rFonts w:ascii="仿宋"/>
                <w:spacing w:val="-2"/>
                <w:sz w:val="24"/>
              </w:rPr>
              <w:t>1250mm</w:t>
            </w:r>
          </w:p>
        </w:tc>
        <w:tc>
          <w:tcPr>
            <w:tcW w:w="850" w:type="dxa"/>
          </w:tcPr>
          <w:p>
            <w:pPr>
              <w:pStyle w:val="TableParagraph"/>
              <w:spacing w:before="10"/>
              <w:jc w:val="left"/>
              <w:rPr>
                <w:rFonts w:ascii="仿宋"/>
                <w:sz w:val="25"/>
              </w:rPr>
            </w:pPr>
          </w:p>
          <w:p>
            <w:pPr>
              <w:pStyle w:val="TableParagraph"/>
              <w:spacing w:before="1"/>
              <w:ind w:left="495"/>
              <w:jc w:val="left"/>
              <w:rPr>
                <w:rFonts w:ascii="仿宋" w:eastAsia="仿宋"/>
                <w:sz w:val="24"/>
              </w:rPr>
            </w:pPr>
            <w:r>
              <w:rPr>
                <w:rFonts w:ascii="仿宋" w:eastAsia="仿宋"/>
                <w:sz w:val="24"/>
              </w:rPr>
              <w:t>座</w:t>
            </w:r>
          </w:p>
        </w:tc>
        <w:tc>
          <w:tcPr>
            <w:tcW w:w="851" w:type="dxa"/>
          </w:tcPr>
          <w:p>
            <w:pPr>
              <w:pStyle w:val="TableParagraph"/>
              <w:spacing w:before="10"/>
              <w:jc w:val="left"/>
              <w:rPr>
                <w:rFonts w:ascii="仿宋"/>
                <w:sz w:val="25"/>
              </w:rPr>
            </w:pPr>
          </w:p>
          <w:p>
            <w:pPr>
              <w:pStyle w:val="TableParagraph"/>
              <w:spacing w:before="1"/>
              <w:ind w:left="495"/>
              <w:jc w:val="left"/>
              <w:rPr>
                <w:rFonts w:ascii="仿宋"/>
                <w:sz w:val="24"/>
              </w:rPr>
            </w:pPr>
            <w:r>
              <w:rPr>
                <w:rFonts w:ascii="仿宋"/>
                <w:sz w:val="24"/>
              </w:rPr>
              <w:t>2</w:t>
            </w:r>
          </w:p>
        </w:tc>
        <w:tc>
          <w:tcPr>
            <w:tcW w:w="1559" w:type="dxa"/>
          </w:tcPr>
          <w:p>
            <w:pPr>
              <w:pStyle w:val="TableParagraph"/>
              <w:spacing w:before="0"/>
              <w:jc w:val="left"/>
              <w:rPr>
                <w:rFonts w:ascii="Times New Roman"/>
                <w:sz w:val="24"/>
              </w:rPr>
            </w:pPr>
          </w:p>
        </w:tc>
      </w:tr>
    </w:tbl>
    <w:p>
      <w:pPr>
        <w:pStyle w:val="BodyText"/>
        <w:spacing w:before="106"/>
        <w:ind w:left="760"/>
      </w:pPr>
      <w:r>
        <w:rPr>
          <w:spacing w:val="-2"/>
        </w:rPr>
        <w:t>具体方案如下。</w:t>
      </w:r>
    </w:p>
    <w:p>
      <w:pPr>
        <w:pStyle w:val="Heading3"/>
        <w:tabs>
          <w:tab w:val="left" w:pos="999"/>
        </w:tabs>
        <w:spacing w:before="3"/>
        <w:rPr>
          <w:rFonts w:ascii="Microsoft JhengHei" w:eastAsia="Microsoft JhengHei"/>
        </w:rPr>
      </w:pPr>
      <w:r>
        <w:rPr>
          <w:rFonts w:ascii="Microsoft JhengHei" w:eastAsia="Microsoft JhengHei"/>
        </w:rPr>
        <w:t>四</w:t>
      </w:r>
      <w:r>
        <w:rPr>
          <w:rFonts w:ascii="Microsoft JhengHei" w:eastAsia="Microsoft JhengHei"/>
          <w:spacing w:val="-10"/>
        </w:rPr>
        <w:t>、</w:t>
      </w:r>
      <w:r>
        <w:rPr>
          <w:rFonts w:ascii="Microsoft JhengHei" w:eastAsia="Microsoft JhengHei"/>
        </w:rPr>
        <w:tab/>
        <w:t>总体施工方案</w:t>
      </w:r>
      <w:r>
        <w:rPr>
          <w:rFonts w:ascii="Microsoft JhengHei" w:eastAsia="Microsoft JhengHei"/>
          <w:spacing w:val="-10"/>
        </w:rPr>
        <w:t>：</w:t>
      </w:r>
    </w:p>
    <w:p>
      <w:pPr>
        <w:pStyle w:val="BodyText"/>
        <w:spacing w:before="28"/>
        <w:ind w:left="760"/>
      </w:pPr>
      <w:r>
        <w:t>1</w:t>
      </w:r>
      <w:r>
        <w:rPr>
          <w:spacing w:val="-2"/>
        </w:rPr>
        <w:t>、施工要求</w:t>
      </w:r>
    </w:p>
    <w:p>
      <w:pPr>
        <w:pStyle w:val="ListParagraph"/>
        <w:numPr>
          <w:ilvl w:val="0"/>
          <w:numId w:val="23"/>
        </w:numPr>
        <w:tabs>
          <w:tab w:val="left" w:pos="1240"/>
        </w:tabs>
        <w:spacing w:before="160" w:after="0" w:line="240" w:lineRule="auto"/>
        <w:ind w:left="1240" w:right="0" w:hanging="480"/>
        <w:jc w:val="left"/>
        <w:rPr>
          <w:sz w:val="24"/>
        </w:rPr>
      </w:pPr>
      <w:r>
        <w:rPr>
          <w:spacing w:val="-2"/>
          <w:sz w:val="24"/>
        </w:rPr>
        <w:t>总体要求内容</w:t>
      </w:r>
    </w:p>
    <w:p>
      <w:pPr>
        <w:pStyle w:val="BodyText"/>
        <w:spacing w:before="161"/>
        <w:ind w:left="760"/>
      </w:pPr>
      <w:r>
        <w:rPr>
          <w:spacing w:val="-1"/>
        </w:rPr>
        <w:t>本改建段排水管及窨井为 大道兼顾 有限公司排水功能。</w:t>
      </w:r>
    </w:p>
    <w:p>
      <w:pPr>
        <w:pStyle w:val="ListParagraph"/>
        <w:numPr>
          <w:ilvl w:val="0"/>
          <w:numId w:val="23"/>
        </w:numPr>
        <w:tabs>
          <w:tab w:val="left" w:pos="1241"/>
        </w:tabs>
        <w:spacing w:before="160" w:after="0" w:line="240" w:lineRule="auto"/>
        <w:ind w:left="1241" w:right="0" w:hanging="361"/>
        <w:jc w:val="left"/>
        <w:rPr>
          <w:sz w:val="24"/>
        </w:rPr>
      </w:pPr>
      <w:r>
        <w:rPr>
          <w:spacing w:val="-2"/>
          <w:sz w:val="24"/>
        </w:rPr>
        <w:t>施工要求原则</w:t>
      </w:r>
    </w:p>
    <w:p>
      <w:pPr>
        <w:pStyle w:val="BodyText"/>
        <w:spacing w:before="161"/>
        <w:ind w:left="760"/>
      </w:pPr>
      <w:r>
        <w:rPr>
          <w:spacing w:val="-1"/>
        </w:rPr>
        <w:t>① 管道布置考虑尽量减少对交通的影响，尽量减少对区块用地的影响。</w:t>
      </w:r>
    </w:p>
    <w:p>
      <w:pPr>
        <w:pStyle w:val="BodyText"/>
        <w:spacing w:before="160"/>
        <w:ind w:left="760"/>
      </w:pPr>
      <w:r>
        <w:rPr>
          <w:spacing w:val="-1"/>
        </w:rPr>
        <w:t>② 道路部分管道施工方法：采用开槽埋管。</w:t>
      </w:r>
    </w:p>
    <w:p>
      <w:pPr>
        <w:pStyle w:val="ListParagraph"/>
        <w:numPr>
          <w:ilvl w:val="0"/>
          <w:numId w:val="23"/>
        </w:numPr>
        <w:tabs>
          <w:tab w:val="left" w:pos="1240"/>
        </w:tabs>
        <w:spacing w:before="161" w:after="0" w:line="240" w:lineRule="auto"/>
        <w:ind w:left="1240" w:right="0" w:hanging="480"/>
        <w:jc w:val="left"/>
        <w:rPr>
          <w:sz w:val="24"/>
        </w:rPr>
      </w:pPr>
      <w:r>
        <w:rPr>
          <w:spacing w:val="-1"/>
          <w:sz w:val="24"/>
        </w:rPr>
        <w:t>排水管道选材、窨井及施工要求</w:t>
      </w:r>
    </w:p>
    <w:p>
      <w:pPr>
        <w:pStyle w:val="BodyText"/>
        <w:spacing w:before="160"/>
        <w:ind w:left="760"/>
      </w:pPr>
      <w:r>
        <w:t xml:space="preserve">①本段改建排水管管径为 DN400，坡度 2.5‰～1.5‰。管道材料： </w:t>
      </w:r>
      <w:r>
        <w:rPr>
          <w:spacing w:val="-2"/>
        </w:rPr>
        <w:t>DN400</w:t>
      </w:r>
    </w:p>
    <w:p>
      <w:pPr>
        <w:pStyle w:val="BodyText"/>
        <w:spacing w:before="161"/>
        <w:ind w:left="280"/>
      </w:pPr>
      <w:r>
        <w:rPr>
          <w:spacing w:val="-5"/>
        </w:rPr>
        <w:t xml:space="preserve">采用 </w:t>
      </w:r>
      <w:r>
        <w:rPr>
          <w:spacing w:val="-4"/>
        </w:rPr>
        <w:t>HDPE</w:t>
      </w:r>
      <w:r>
        <w:rPr>
          <w:spacing w:val="-12"/>
        </w:rPr>
        <w:t xml:space="preserve"> 缠绕增强管</w:t>
      </w:r>
      <w:r>
        <w:rPr>
          <w:spacing w:val="-4"/>
        </w:rPr>
        <w:t>（B 型结构壁管），SN环刚度≥8KN/m2</w:t>
      </w:r>
      <w:r>
        <w:rPr>
          <w:spacing w:val="-5"/>
        </w:rPr>
        <w:t>，承插电热熔接口。</w:t>
      </w:r>
    </w:p>
    <w:p>
      <w:pPr>
        <w:pStyle w:val="BodyText"/>
        <w:spacing w:before="160" w:line="364" w:lineRule="auto"/>
        <w:ind w:left="280" w:right="1398" w:firstLine="480"/>
      </w:pPr>
      <w:r>
        <w:rPr>
          <w:spacing w:val="-4"/>
        </w:rPr>
        <w:t>②本段改建检查窨井采用砖砌圆口井，每隔一定距离设置一座，根据现场情</w:t>
      </w:r>
      <w:r>
        <w:rPr>
          <w:spacing w:val="-2"/>
        </w:rPr>
        <w:t>况需新建2座窨井。</w:t>
      </w:r>
    </w:p>
    <w:p>
      <w:pPr>
        <w:pStyle w:val="BodyText"/>
        <w:spacing w:before="2" w:line="364" w:lineRule="auto"/>
        <w:ind w:left="280" w:right="1425" w:firstLine="480"/>
      </w:pPr>
      <w:r>
        <w:rPr>
          <w:spacing w:val="-1"/>
        </w:rPr>
        <w:t xml:space="preserve">本项目范围内检查井均采用砖砌井，材料为 </w:t>
      </w:r>
      <w:r>
        <w:t>M10</w:t>
      </w:r>
      <w:r>
        <w:rPr>
          <w:spacing w:val="-4"/>
        </w:rPr>
        <w:t xml:space="preserve"> 水泥砂浆砌筑 </w:t>
      </w:r>
      <w:r>
        <w:t>MU15</w:t>
      </w:r>
      <w:r>
        <w:rPr>
          <w:spacing w:val="-4"/>
        </w:rPr>
        <w:t xml:space="preserve"> 砖。</w:t>
      </w:r>
      <w:r>
        <w:t xml:space="preserve">根据管径大小控制检查井尺寸，其中管径 DN400 的管道配置 </w:t>
      </w:r>
      <w:r>
        <w:rPr>
          <w:rFonts w:ascii="Calibri" w:eastAsia="Calibri" w:hAnsi="Calibri"/>
        </w:rPr>
        <w:t>Ø</w:t>
      </w:r>
      <w:r>
        <w:t>600圆井。检查井至地面时均收口为φ700 圆井。井盖及箅子采用复合材料，荷载等级采用 D400 级。所有检查井内均设置安全网。</w:t>
      </w:r>
    </w:p>
    <w:p>
      <w:pPr>
        <w:pStyle w:val="BodyText"/>
        <w:spacing w:before="2"/>
        <w:ind w:left="760"/>
      </w:pPr>
      <w:r>
        <w:rPr>
          <w:spacing w:val="-2"/>
        </w:rPr>
        <w:t>③管道基础</w:t>
      </w:r>
    </w:p>
    <w:p>
      <w:pPr>
        <w:pStyle w:val="BodyText"/>
        <w:spacing w:before="161" w:line="364" w:lineRule="auto"/>
        <w:ind w:left="280" w:right="1425" w:firstLine="480"/>
      </w:pPr>
      <w:r>
        <w:t>a、绿化带内HDPE</w:t>
      </w:r>
      <w:r>
        <w:rPr>
          <w:spacing w:val="-5"/>
        </w:rPr>
        <w:t xml:space="preserve"> 缠绕增强管采用中粗砂基础</w:t>
      </w:r>
      <w:r>
        <w:t>（压实度≥95％）</w:t>
      </w:r>
      <w:r>
        <w:rPr>
          <w:spacing w:val="-4"/>
        </w:rPr>
        <w:t>。穿越 有</w:t>
      </w:r>
      <w:r>
        <w:t>限公司门口路面道路段时采用 360°混凝土包封。</w:t>
      </w:r>
    </w:p>
    <w:p>
      <w:pPr>
        <w:pStyle w:val="BodyText"/>
        <w:spacing w:before="1" w:line="364" w:lineRule="auto"/>
        <w:ind w:left="280" w:right="1425" w:firstLine="480"/>
      </w:pPr>
      <w:r>
        <w:rPr>
          <w:spacing w:val="-2"/>
        </w:rPr>
        <w:t xml:space="preserve">b、如施工时管道基础遇到淤泥层或淤泥质粘土层时，采用基础垫层下超挖 </w:t>
      </w:r>
      <w:r>
        <w:t>65cm，先回填50cm 块石加碎石，其上再回填 15cm 砂砾石（压实度≥90％）</w:t>
      </w:r>
      <w:r>
        <w:rPr>
          <w:spacing w:val="-10"/>
        </w:rPr>
        <w:t>。</w:t>
      </w:r>
    </w:p>
    <w:p>
      <w:pPr>
        <w:pStyle w:val="BodyText"/>
        <w:spacing w:before="1"/>
        <w:ind w:left="760"/>
      </w:pPr>
      <w:r>
        <w:rPr>
          <w:spacing w:val="-1"/>
        </w:rPr>
        <w:t>④ 管道沟槽开挖与回填</w:t>
      </w:r>
    </w:p>
    <w:p>
      <w:pPr>
        <w:pStyle w:val="BodyText"/>
        <w:spacing w:before="160"/>
        <w:ind w:left="760"/>
      </w:pPr>
      <w:r>
        <w:t>a</w:t>
      </w:r>
      <w:r>
        <w:rPr>
          <w:spacing w:val="-2"/>
        </w:rPr>
        <w:t>、沟槽开挖</w:t>
      </w:r>
    </w:p>
    <w:p>
      <w:pPr>
        <w:pStyle w:val="BodyText"/>
        <w:spacing w:before="161" w:line="364" w:lineRule="auto"/>
        <w:ind w:left="280" w:right="1305" w:firstLine="480"/>
      </w:pPr>
      <w:r>
        <w:t>基坑深度为1.5m ，采取1:1.03放坡。应确保边坡稳定，尽量避免对管基下</w:t>
      </w:r>
      <w:r>
        <w:rPr>
          <w:spacing w:val="-2"/>
        </w:rPr>
        <w:t>原状土的扰动，机械开挖时不准超挖，要求人工清底。因地下雨水位埋藏较浅，</w:t>
      </w:r>
      <w:r>
        <w:rPr>
          <w:spacing w:val="-2"/>
        </w:rPr>
        <w:t>所以施工时应合理采用明沟排雨水或井点降雨水措施，防止积雨水浸泡沟槽，软</w:t>
      </w:r>
    </w:p>
    <w:p>
      <w:pPr>
        <w:spacing w:after="0" w:line="364" w:lineRule="auto"/>
        <w:sectPr>
          <w:pgSz w:w="11910" w:h="16840"/>
          <w:pgMar w:top="1400" w:right="400" w:bottom="280" w:left="1520" w:header="708" w:footer="708"/>
          <w:pgNumType w:start="4"/>
          <w:cols w:space="708"/>
        </w:sectPr>
      </w:pPr>
    </w:p>
    <w:p>
      <w:pPr>
        <w:pStyle w:val="BodyText"/>
        <w:spacing w:before="44"/>
        <w:ind w:left="280"/>
      </w:pPr>
      <w:r>
        <w:rPr>
          <w:spacing w:val="-1"/>
        </w:rPr>
        <w:t>化土质和流砂、管涌的出现。</w:t>
      </w:r>
    </w:p>
    <w:p>
      <w:pPr>
        <w:pStyle w:val="BodyText"/>
        <w:spacing w:before="160"/>
        <w:ind w:left="760"/>
      </w:pPr>
      <w:r>
        <w:t>b</w:t>
      </w:r>
      <w:r>
        <w:rPr>
          <w:spacing w:val="-2"/>
        </w:rPr>
        <w:t>、沟槽回填</w:t>
      </w:r>
    </w:p>
    <w:p>
      <w:pPr>
        <w:pStyle w:val="BodyText"/>
        <w:spacing w:before="161" w:line="364" w:lineRule="auto"/>
        <w:ind w:left="280" w:right="1398" w:firstLine="480"/>
        <w:jc w:val="both"/>
      </w:pPr>
      <w:r>
        <w:rPr>
          <w:spacing w:val="-4"/>
        </w:rPr>
        <w:t>管道位于绿化带内采用中粗砂回填并压实（压实度≥93％），回填冲砂，管</w:t>
      </w:r>
      <w:r>
        <w:rPr>
          <w:spacing w:val="-4"/>
        </w:rPr>
        <w:t>顶起厚度为0.2米，后采用原土覆土（覆土≥500mm）要求与地面相同。管道在路</w:t>
      </w:r>
      <w:r>
        <w:rPr>
          <w:spacing w:val="-4"/>
        </w:rPr>
        <w:t>面下，需采用C25砼360°包封，后修复路面、标高与原道路相同；素土回填要求</w:t>
      </w:r>
      <w:r>
        <w:rPr>
          <w:spacing w:val="-2"/>
        </w:rPr>
        <w:t>按《给排水管道工程施工及验收规范》(GB50268-2008</w:t>
      </w:r>
      <w:r>
        <w:rPr>
          <w:spacing w:val="-7"/>
        </w:rPr>
        <w:t xml:space="preserve"> 执行。由于本地区雨水充</w:t>
      </w:r>
      <w:r>
        <w:rPr>
          <w:spacing w:val="-4"/>
        </w:rPr>
        <w:t>沛地下水位较高，需注意控制回填土的含水量。水量严禁用淤泥、淤泥质土或杂</w:t>
      </w:r>
      <w:r>
        <w:rPr>
          <w:spacing w:val="-2"/>
        </w:rPr>
        <w:t>填土回填。</w:t>
      </w:r>
    </w:p>
    <w:p>
      <w:pPr>
        <w:pStyle w:val="Heading3"/>
        <w:tabs>
          <w:tab w:val="left" w:pos="999"/>
        </w:tabs>
        <w:spacing w:line="288" w:lineRule="exact"/>
        <w:rPr>
          <w:rFonts w:ascii="Microsoft JhengHei" w:eastAsia="Microsoft JhengHei"/>
        </w:rPr>
      </w:pPr>
      <w:r>
        <w:rPr>
          <w:rFonts w:ascii="Microsoft JhengHei" w:eastAsia="Microsoft JhengHei"/>
        </w:rPr>
        <w:t>五</w:t>
      </w:r>
      <w:r>
        <w:rPr>
          <w:rFonts w:ascii="Microsoft JhengHei" w:eastAsia="Microsoft JhengHei"/>
          <w:spacing w:val="-10"/>
        </w:rPr>
        <w:t>、</w:t>
      </w:r>
      <w:r>
        <w:rPr>
          <w:rFonts w:ascii="Microsoft JhengHei" w:eastAsia="Microsoft JhengHei"/>
        </w:rPr>
        <w:tab/>
        <w:t>总体施工安</w:t>
      </w:r>
      <w:r>
        <w:rPr>
          <w:rFonts w:ascii="Microsoft JhengHei" w:eastAsia="Microsoft JhengHei"/>
          <w:spacing w:val="-10"/>
        </w:rPr>
        <w:t>排</w:t>
      </w:r>
    </w:p>
    <w:p>
      <w:pPr>
        <w:pStyle w:val="BodyText"/>
        <w:spacing w:before="28"/>
        <w:ind w:left="760"/>
      </w:pPr>
      <w:r>
        <w:t>（一）</w:t>
      </w:r>
      <w:r>
        <w:rPr>
          <w:spacing w:val="-3"/>
        </w:rPr>
        <w:t>人员配置</w:t>
      </w:r>
    </w:p>
    <w:p>
      <w:pPr>
        <w:pStyle w:val="BodyText"/>
        <w:spacing w:before="160"/>
        <w:ind w:left="760"/>
      </w:pPr>
      <w:r>
        <w:t>1</w:t>
      </w:r>
      <w:r>
        <w:rPr>
          <w:spacing w:val="-1"/>
        </w:rPr>
        <w:t>、主要施工管理人员配备</w:t>
      </w:r>
    </w:p>
    <w:p>
      <w:pPr>
        <w:pStyle w:val="BodyText"/>
        <w:spacing w:before="161" w:line="364" w:lineRule="auto"/>
        <w:ind w:left="280" w:right="1305" w:firstLine="480"/>
      </w:pPr>
      <w:r>
        <w:rPr>
          <w:spacing w:val="-2"/>
        </w:rPr>
        <w:t>本段排水工程配备一名副经理任现场施工负责人，同时配备有技术负责人、</w:t>
      </w:r>
      <w:r>
        <w:rPr>
          <w:spacing w:val="-2"/>
        </w:rPr>
        <w:t>质检员、安全员、技术员、试验员、材料员、领工员。现场施工在项目部各部门</w:t>
      </w:r>
      <w:r>
        <w:rPr>
          <w:spacing w:val="-2"/>
        </w:rPr>
        <w:t>的统一指导下进行，项目经理、总工严格把关。</w:t>
      </w:r>
    </w:p>
    <w:p>
      <w:pPr>
        <w:pStyle w:val="BodyText"/>
        <w:tabs>
          <w:tab w:val="left" w:pos="1599"/>
        </w:tabs>
        <w:spacing w:before="2" w:line="364" w:lineRule="auto"/>
        <w:ind w:left="760" w:right="5265"/>
      </w:pPr>
      <w:r>
        <w:pict>
          <v:shape id="_x0000_s1026" type="#_x0000_t202" style="width:234.45pt;height:248.5pt;margin-top:42.79pt;margin-left:180.43pt;mso-position-horizontal-relative:page;position:absolute;z-index:251659264" filled="f" stroked="f">
            <v:textbox inset="0,0,0,0">
              <w:txbxContent>
                <w:tbl>
                  <w:tblPr>
                    <w:tblStyle w:val="TableNormal2"/>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63"/>
                    <w:gridCol w:w="2213"/>
                    <w:gridCol w:w="803"/>
                    <w:gridCol w:w="800"/>
                  </w:tblGrid>
                  <w:tr>
                    <w:tblPrEx>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445"/>
                      <w:jc w:val="left"/>
                    </w:trPr>
                    <w:tc>
                      <w:tcPr>
                        <w:tcW w:w="863" w:type="dxa"/>
                      </w:tcPr>
                      <w:p>
                        <w:pPr>
                          <w:pStyle w:val="TableParagraph"/>
                          <w:ind w:left="176" w:right="166"/>
                          <w:rPr>
                            <w:rFonts w:ascii="仿宋" w:eastAsia="仿宋"/>
                            <w:sz w:val="24"/>
                          </w:rPr>
                        </w:pPr>
                        <w:r>
                          <w:rPr>
                            <w:rFonts w:ascii="仿宋" w:eastAsia="仿宋"/>
                            <w:spacing w:val="-5"/>
                            <w:sz w:val="24"/>
                          </w:rPr>
                          <w:t>序号</w:t>
                        </w:r>
                      </w:p>
                    </w:tc>
                    <w:tc>
                      <w:tcPr>
                        <w:tcW w:w="2213" w:type="dxa"/>
                      </w:tcPr>
                      <w:p>
                        <w:pPr>
                          <w:pStyle w:val="TableParagraph"/>
                          <w:ind w:left="491" w:right="481"/>
                          <w:rPr>
                            <w:rFonts w:ascii="仿宋" w:eastAsia="仿宋"/>
                            <w:sz w:val="24"/>
                          </w:rPr>
                        </w:pPr>
                        <w:r>
                          <w:rPr>
                            <w:rFonts w:ascii="仿宋" w:eastAsia="仿宋"/>
                            <w:spacing w:val="-2"/>
                            <w:sz w:val="24"/>
                          </w:rPr>
                          <w:t>职位或工种</w:t>
                        </w:r>
                      </w:p>
                    </w:tc>
                    <w:tc>
                      <w:tcPr>
                        <w:tcW w:w="803" w:type="dxa"/>
                      </w:tcPr>
                      <w:p>
                        <w:pPr>
                          <w:pStyle w:val="TableParagraph"/>
                          <w:ind w:left="146" w:right="136"/>
                          <w:rPr>
                            <w:rFonts w:ascii="仿宋" w:eastAsia="仿宋"/>
                            <w:sz w:val="24"/>
                          </w:rPr>
                        </w:pPr>
                        <w:r>
                          <w:rPr>
                            <w:rFonts w:ascii="仿宋" w:eastAsia="仿宋"/>
                            <w:spacing w:val="-5"/>
                            <w:sz w:val="24"/>
                          </w:rPr>
                          <w:t>人数</w:t>
                        </w:r>
                      </w:p>
                    </w:tc>
                    <w:tc>
                      <w:tcPr>
                        <w:tcW w:w="800" w:type="dxa"/>
                      </w:tcPr>
                      <w:p>
                        <w:pPr>
                          <w:pStyle w:val="TableParagraph"/>
                          <w:ind w:left="159"/>
                          <w:jc w:val="left"/>
                          <w:rPr>
                            <w:rFonts w:ascii="仿宋" w:eastAsia="仿宋"/>
                            <w:sz w:val="24"/>
                          </w:rPr>
                        </w:pPr>
                        <w:r>
                          <w:rPr>
                            <w:rFonts w:ascii="仿宋" w:eastAsia="仿宋"/>
                            <w:spacing w:val="-5"/>
                            <w:sz w:val="24"/>
                          </w:rPr>
                          <w:t>备注</w:t>
                        </w:r>
                      </w:p>
                    </w:tc>
                  </w:tr>
                  <w:tr>
                    <w:tblPrEx>
                      <w:tblW w:w="0" w:type="auto"/>
                      <w:jc w:val="left"/>
                      <w:tblInd w:w="5" w:type="dxa"/>
                      <w:tblLayout w:type="fixed"/>
                      <w:tblCellMar>
                        <w:top w:w="0" w:type="dxa"/>
                        <w:left w:w="0" w:type="dxa"/>
                        <w:bottom w:w="0" w:type="dxa"/>
                        <w:right w:w="0" w:type="dxa"/>
                      </w:tblCellMar>
                      <w:tblLook w:val="01E0"/>
                    </w:tblPrEx>
                    <w:trPr>
                      <w:trHeight w:val="505"/>
                      <w:jc w:val="left"/>
                    </w:trPr>
                    <w:tc>
                      <w:tcPr>
                        <w:tcW w:w="863" w:type="dxa"/>
                      </w:tcPr>
                      <w:p>
                        <w:pPr>
                          <w:pStyle w:val="TableParagraph"/>
                          <w:spacing w:before="100"/>
                          <w:ind w:left="10"/>
                          <w:rPr>
                            <w:rFonts w:ascii="仿宋"/>
                            <w:sz w:val="24"/>
                          </w:rPr>
                        </w:pPr>
                        <w:r>
                          <w:rPr>
                            <w:rFonts w:ascii="仿宋"/>
                            <w:sz w:val="24"/>
                          </w:rPr>
                          <w:t>1</w:t>
                        </w:r>
                      </w:p>
                    </w:tc>
                    <w:tc>
                      <w:tcPr>
                        <w:tcW w:w="2213" w:type="dxa"/>
                      </w:tcPr>
                      <w:p>
                        <w:pPr>
                          <w:pStyle w:val="TableParagraph"/>
                          <w:spacing w:before="100"/>
                          <w:ind w:left="491" w:right="481"/>
                          <w:rPr>
                            <w:rFonts w:ascii="仿宋" w:eastAsia="仿宋"/>
                            <w:sz w:val="24"/>
                          </w:rPr>
                        </w:pPr>
                        <w:r>
                          <w:rPr>
                            <w:rFonts w:ascii="仿宋" w:eastAsia="仿宋"/>
                            <w:spacing w:val="-4"/>
                            <w:sz w:val="24"/>
                          </w:rPr>
                          <w:t>技术员</w:t>
                        </w:r>
                      </w:p>
                    </w:tc>
                    <w:tc>
                      <w:tcPr>
                        <w:tcW w:w="803" w:type="dxa"/>
                      </w:tcPr>
                      <w:p>
                        <w:pPr>
                          <w:pStyle w:val="TableParagraph"/>
                          <w:spacing w:before="100"/>
                          <w:ind w:left="10"/>
                          <w:rPr>
                            <w:rFonts w:ascii="仿宋"/>
                            <w:sz w:val="24"/>
                          </w:rPr>
                        </w:pPr>
                        <w:r>
                          <w:rPr>
                            <w:rFonts w:ascii="仿宋"/>
                            <w:sz w:val="24"/>
                          </w:rPr>
                          <w:t>2</w:t>
                        </w:r>
                      </w:p>
                    </w:tc>
                    <w:tc>
                      <w:tcPr>
                        <w:tcW w:w="800" w:type="dxa"/>
                      </w:tcPr>
                      <w:p>
                        <w:pPr>
                          <w:pStyle w:val="TableParagraph"/>
                          <w:spacing w:before="0"/>
                          <w:jc w:val="left"/>
                          <w:rPr>
                            <w:rFonts w:ascii="Times New Roman"/>
                            <w:sz w:val="24"/>
                          </w:rPr>
                        </w:pPr>
                      </w:p>
                    </w:tc>
                  </w:tr>
                  <w:tr>
                    <w:tblPrEx>
                      <w:tblW w:w="0" w:type="auto"/>
                      <w:jc w:val="left"/>
                      <w:tblInd w:w="5" w:type="dxa"/>
                      <w:tblLayout w:type="fixed"/>
                      <w:tblCellMar>
                        <w:top w:w="0" w:type="dxa"/>
                        <w:left w:w="0" w:type="dxa"/>
                        <w:bottom w:w="0" w:type="dxa"/>
                        <w:right w:w="0" w:type="dxa"/>
                      </w:tblCellMar>
                      <w:tblLook w:val="01E0"/>
                    </w:tblPrEx>
                    <w:trPr>
                      <w:trHeight w:val="460"/>
                      <w:jc w:val="left"/>
                    </w:trPr>
                    <w:tc>
                      <w:tcPr>
                        <w:tcW w:w="863" w:type="dxa"/>
                      </w:tcPr>
                      <w:p>
                        <w:pPr>
                          <w:pStyle w:val="TableParagraph"/>
                          <w:ind w:left="10"/>
                          <w:rPr>
                            <w:rFonts w:ascii="仿宋"/>
                            <w:sz w:val="24"/>
                          </w:rPr>
                        </w:pPr>
                        <w:r>
                          <w:rPr>
                            <w:rFonts w:ascii="仿宋"/>
                            <w:sz w:val="24"/>
                          </w:rPr>
                          <w:t>2</w:t>
                        </w:r>
                      </w:p>
                    </w:tc>
                    <w:tc>
                      <w:tcPr>
                        <w:tcW w:w="2213" w:type="dxa"/>
                      </w:tcPr>
                      <w:p>
                        <w:pPr>
                          <w:pStyle w:val="TableParagraph"/>
                          <w:ind w:left="491" w:right="481"/>
                          <w:rPr>
                            <w:rFonts w:ascii="仿宋" w:eastAsia="仿宋"/>
                            <w:sz w:val="24"/>
                          </w:rPr>
                        </w:pPr>
                        <w:r>
                          <w:rPr>
                            <w:rFonts w:ascii="仿宋" w:eastAsia="仿宋"/>
                            <w:spacing w:val="-3"/>
                            <w:sz w:val="24"/>
                          </w:rPr>
                          <w:t>质检人员</w:t>
                        </w:r>
                      </w:p>
                    </w:tc>
                    <w:tc>
                      <w:tcPr>
                        <w:tcW w:w="803" w:type="dxa"/>
                      </w:tcPr>
                      <w:p>
                        <w:pPr>
                          <w:pStyle w:val="TableParagraph"/>
                          <w:ind w:left="10"/>
                          <w:rPr>
                            <w:rFonts w:ascii="仿宋"/>
                            <w:sz w:val="24"/>
                          </w:rPr>
                        </w:pPr>
                        <w:r>
                          <w:rPr>
                            <w:rFonts w:ascii="仿宋"/>
                            <w:sz w:val="24"/>
                          </w:rPr>
                          <w:t>1</w:t>
                        </w:r>
                      </w:p>
                    </w:tc>
                    <w:tc>
                      <w:tcPr>
                        <w:tcW w:w="800" w:type="dxa"/>
                      </w:tcPr>
                      <w:p>
                        <w:pPr>
                          <w:pStyle w:val="TableParagraph"/>
                          <w:spacing w:before="0"/>
                          <w:jc w:val="left"/>
                          <w:rPr>
                            <w:rFonts w:ascii="Times New Roman"/>
                            <w:sz w:val="24"/>
                          </w:rPr>
                        </w:pPr>
                      </w:p>
                    </w:tc>
                  </w:tr>
                  <w:tr>
                    <w:tblPrEx>
                      <w:tblW w:w="0" w:type="auto"/>
                      <w:jc w:val="left"/>
                      <w:tblInd w:w="5" w:type="dxa"/>
                      <w:tblLayout w:type="fixed"/>
                      <w:tblCellMar>
                        <w:top w:w="0" w:type="dxa"/>
                        <w:left w:w="0" w:type="dxa"/>
                        <w:bottom w:w="0" w:type="dxa"/>
                        <w:right w:w="0" w:type="dxa"/>
                      </w:tblCellMar>
                      <w:tblLook w:val="01E0"/>
                    </w:tblPrEx>
                    <w:trPr>
                      <w:trHeight w:val="430"/>
                      <w:jc w:val="left"/>
                    </w:trPr>
                    <w:tc>
                      <w:tcPr>
                        <w:tcW w:w="863" w:type="dxa"/>
                      </w:tcPr>
                      <w:p>
                        <w:pPr>
                          <w:pStyle w:val="TableParagraph"/>
                          <w:ind w:left="10"/>
                          <w:rPr>
                            <w:rFonts w:ascii="仿宋"/>
                            <w:sz w:val="24"/>
                          </w:rPr>
                        </w:pPr>
                        <w:r>
                          <w:rPr>
                            <w:rFonts w:ascii="仿宋"/>
                            <w:sz w:val="24"/>
                          </w:rPr>
                          <w:t>3</w:t>
                        </w:r>
                      </w:p>
                    </w:tc>
                    <w:tc>
                      <w:tcPr>
                        <w:tcW w:w="2213" w:type="dxa"/>
                      </w:tcPr>
                      <w:p>
                        <w:pPr>
                          <w:pStyle w:val="TableParagraph"/>
                          <w:ind w:left="491" w:right="481"/>
                          <w:rPr>
                            <w:rFonts w:ascii="仿宋" w:eastAsia="仿宋"/>
                            <w:sz w:val="24"/>
                          </w:rPr>
                        </w:pPr>
                        <w:r>
                          <w:rPr>
                            <w:rFonts w:ascii="仿宋" w:eastAsia="仿宋"/>
                            <w:spacing w:val="-2"/>
                            <w:sz w:val="24"/>
                          </w:rPr>
                          <w:t>试验负责人</w:t>
                        </w:r>
                      </w:p>
                    </w:tc>
                    <w:tc>
                      <w:tcPr>
                        <w:tcW w:w="803" w:type="dxa"/>
                      </w:tcPr>
                      <w:p>
                        <w:pPr>
                          <w:pStyle w:val="TableParagraph"/>
                          <w:ind w:left="10"/>
                          <w:rPr>
                            <w:rFonts w:ascii="仿宋"/>
                            <w:sz w:val="24"/>
                          </w:rPr>
                        </w:pPr>
                        <w:r>
                          <w:rPr>
                            <w:rFonts w:ascii="仿宋"/>
                            <w:sz w:val="24"/>
                          </w:rPr>
                          <w:t>1</w:t>
                        </w:r>
                      </w:p>
                    </w:tc>
                    <w:tc>
                      <w:tcPr>
                        <w:tcW w:w="800" w:type="dxa"/>
                      </w:tcPr>
                      <w:p>
                        <w:pPr>
                          <w:pStyle w:val="TableParagraph"/>
                          <w:spacing w:before="0"/>
                          <w:jc w:val="left"/>
                          <w:rPr>
                            <w:rFonts w:ascii="Times New Roman"/>
                            <w:sz w:val="24"/>
                          </w:rPr>
                        </w:pPr>
                      </w:p>
                    </w:tc>
                  </w:tr>
                  <w:tr>
                    <w:tblPrEx>
                      <w:tblW w:w="0" w:type="auto"/>
                      <w:jc w:val="left"/>
                      <w:tblInd w:w="5" w:type="dxa"/>
                      <w:tblLayout w:type="fixed"/>
                      <w:tblCellMar>
                        <w:top w:w="0" w:type="dxa"/>
                        <w:left w:w="0" w:type="dxa"/>
                        <w:bottom w:w="0" w:type="dxa"/>
                        <w:right w:w="0" w:type="dxa"/>
                      </w:tblCellMar>
                      <w:tblLook w:val="01E0"/>
                    </w:tblPrEx>
                    <w:trPr>
                      <w:trHeight w:val="415"/>
                      <w:jc w:val="left"/>
                    </w:trPr>
                    <w:tc>
                      <w:tcPr>
                        <w:tcW w:w="863" w:type="dxa"/>
                      </w:tcPr>
                      <w:p>
                        <w:pPr>
                          <w:pStyle w:val="TableParagraph"/>
                          <w:ind w:left="10"/>
                          <w:rPr>
                            <w:rFonts w:ascii="仿宋"/>
                            <w:sz w:val="24"/>
                          </w:rPr>
                        </w:pPr>
                        <w:r>
                          <w:rPr>
                            <w:rFonts w:ascii="仿宋"/>
                            <w:sz w:val="24"/>
                          </w:rPr>
                          <w:t>4</w:t>
                        </w:r>
                      </w:p>
                    </w:tc>
                    <w:tc>
                      <w:tcPr>
                        <w:tcW w:w="2213" w:type="dxa"/>
                      </w:tcPr>
                      <w:p>
                        <w:pPr>
                          <w:pStyle w:val="TableParagraph"/>
                          <w:ind w:left="491" w:right="481"/>
                          <w:rPr>
                            <w:rFonts w:ascii="仿宋" w:eastAsia="仿宋"/>
                            <w:sz w:val="24"/>
                          </w:rPr>
                        </w:pPr>
                        <w:r>
                          <w:rPr>
                            <w:rFonts w:ascii="仿宋" w:eastAsia="仿宋"/>
                            <w:spacing w:val="-4"/>
                            <w:sz w:val="24"/>
                          </w:rPr>
                          <w:t>试验员</w:t>
                        </w:r>
                      </w:p>
                    </w:tc>
                    <w:tc>
                      <w:tcPr>
                        <w:tcW w:w="803" w:type="dxa"/>
                      </w:tcPr>
                      <w:p>
                        <w:pPr>
                          <w:pStyle w:val="TableParagraph"/>
                          <w:ind w:left="10"/>
                          <w:rPr>
                            <w:rFonts w:ascii="仿宋"/>
                            <w:sz w:val="24"/>
                          </w:rPr>
                        </w:pPr>
                        <w:r>
                          <w:rPr>
                            <w:rFonts w:ascii="仿宋"/>
                            <w:sz w:val="24"/>
                          </w:rPr>
                          <w:t>2</w:t>
                        </w:r>
                      </w:p>
                    </w:tc>
                    <w:tc>
                      <w:tcPr>
                        <w:tcW w:w="800" w:type="dxa"/>
                      </w:tcPr>
                      <w:p>
                        <w:pPr>
                          <w:pStyle w:val="TableParagraph"/>
                          <w:spacing w:before="0"/>
                          <w:jc w:val="left"/>
                          <w:rPr>
                            <w:rFonts w:ascii="Times New Roman"/>
                            <w:sz w:val="24"/>
                          </w:rPr>
                        </w:pPr>
                      </w:p>
                    </w:tc>
                  </w:tr>
                  <w:tr>
                    <w:tblPrEx>
                      <w:tblW w:w="0" w:type="auto"/>
                      <w:jc w:val="left"/>
                      <w:tblInd w:w="5" w:type="dxa"/>
                      <w:tblLayout w:type="fixed"/>
                      <w:tblCellMar>
                        <w:top w:w="0" w:type="dxa"/>
                        <w:left w:w="0" w:type="dxa"/>
                        <w:bottom w:w="0" w:type="dxa"/>
                        <w:right w:w="0" w:type="dxa"/>
                      </w:tblCellMar>
                      <w:tblLook w:val="01E0"/>
                    </w:tblPrEx>
                    <w:trPr>
                      <w:trHeight w:val="475"/>
                      <w:jc w:val="left"/>
                    </w:trPr>
                    <w:tc>
                      <w:tcPr>
                        <w:tcW w:w="863" w:type="dxa"/>
                      </w:tcPr>
                      <w:p>
                        <w:pPr>
                          <w:pStyle w:val="TableParagraph"/>
                          <w:spacing w:before="85"/>
                          <w:ind w:left="10"/>
                          <w:rPr>
                            <w:rFonts w:ascii="仿宋"/>
                            <w:sz w:val="24"/>
                          </w:rPr>
                        </w:pPr>
                        <w:r>
                          <w:rPr>
                            <w:rFonts w:ascii="仿宋"/>
                            <w:sz w:val="24"/>
                          </w:rPr>
                          <w:t>5</w:t>
                        </w:r>
                      </w:p>
                    </w:tc>
                    <w:tc>
                      <w:tcPr>
                        <w:tcW w:w="2213" w:type="dxa"/>
                      </w:tcPr>
                      <w:p>
                        <w:pPr>
                          <w:pStyle w:val="TableParagraph"/>
                          <w:spacing w:before="85"/>
                          <w:ind w:left="491" w:right="481"/>
                          <w:rPr>
                            <w:rFonts w:ascii="仿宋" w:eastAsia="仿宋"/>
                            <w:sz w:val="24"/>
                          </w:rPr>
                        </w:pPr>
                        <w:r>
                          <w:rPr>
                            <w:rFonts w:ascii="仿宋" w:eastAsia="仿宋"/>
                            <w:spacing w:val="-4"/>
                            <w:sz w:val="24"/>
                          </w:rPr>
                          <w:t>安全员</w:t>
                        </w:r>
                      </w:p>
                    </w:tc>
                    <w:tc>
                      <w:tcPr>
                        <w:tcW w:w="803" w:type="dxa"/>
                      </w:tcPr>
                      <w:p>
                        <w:pPr>
                          <w:pStyle w:val="TableParagraph"/>
                          <w:spacing w:before="85"/>
                          <w:ind w:left="10"/>
                          <w:rPr>
                            <w:rFonts w:ascii="仿宋"/>
                            <w:sz w:val="24"/>
                          </w:rPr>
                        </w:pPr>
                        <w:r>
                          <w:rPr>
                            <w:rFonts w:ascii="仿宋"/>
                            <w:sz w:val="24"/>
                          </w:rPr>
                          <w:t>1</w:t>
                        </w:r>
                      </w:p>
                    </w:tc>
                    <w:tc>
                      <w:tcPr>
                        <w:tcW w:w="800" w:type="dxa"/>
                      </w:tcPr>
                      <w:p>
                        <w:pPr>
                          <w:pStyle w:val="TableParagraph"/>
                          <w:spacing w:before="0"/>
                          <w:jc w:val="left"/>
                          <w:rPr>
                            <w:rFonts w:ascii="Times New Roman"/>
                            <w:sz w:val="24"/>
                          </w:rPr>
                        </w:pPr>
                      </w:p>
                    </w:tc>
                  </w:tr>
                  <w:tr>
                    <w:tblPrEx>
                      <w:tblW w:w="0" w:type="auto"/>
                      <w:jc w:val="left"/>
                      <w:tblInd w:w="5" w:type="dxa"/>
                      <w:tblLayout w:type="fixed"/>
                      <w:tblCellMar>
                        <w:top w:w="0" w:type="dxa"/>
                        <w:left w:w="0" w:type="dxa"/>
                        <w:bottom w:w="0" w:type="dxa"/>
                        <w:right w:w="0" w:type="dxa"/>
                      </w:tblCellMar>
                      <w:tblLook w:val="01E0"/>
                    </w:tblPrEx>
                    <w:trPr>
                      <w:trHeight w:val="460"/>
                      <w:jc w:val="left"/>
                    </w:trPr>
                    <w:tc>
                      <w:tcPr>
                        <w:tcW w:w="863" w:type="dxa"/>
                      </w:tcPr>
                      <w:p>
                        <w:pPr>
                          <w:pStyle w:val="TableParagraph"/>
                          <w:ind w:left="10"/>
                          <w:rPr>
                            <w:rFonts w:ascii="仿宋"/>
                            <w:sz w:val="24"/>
                          </w:rPr>
                        </w:pPr>
                        <w:r>
                          <w:rPr>
                            <w:rFonts w:ascii="仿宋"/>
                            <w:sz w:val="24"/>
                          </w:rPr>
                          <w:t>6</w:t>
                        </w:r>
                      </w:p>
                    </w:tc>
                    <w:tc>
                      <w:tcPr>
                        <w:tcW w:w="2213" w:type="dxa"/>
                      </w:tcPr>
                      <w:p>
                        <w:pPr>
                          <w:pStyle w:val="TableParagraph"/>
                          <w:ind w:left="491" w:right="481"/>
                          <w:rPr>
                            <w:rFonts w:ascii="仿宋" w:eastAsia="仿宋"/>
                            <w:sz w:val="24"/>
                          </w:rPr>
                        </w:pPr>
                        <w:r>
                          <w:rPr>
                            <w:rFonts w:ascii="仿宋" w:eastAsia="仿宋"/>
                            <w:spacing w:val="-3"/>
                            <w:sz w:val="24"/>
                          </w:rPr>
                          <w:t>测量人员</w:t>
                        </w:r>
                      </w:p>
                    </w:tc>
                    <w:tc>
                      <w:tcPr>
                        <w:tcW w:w="803" w:type="dxa"/>
                      </w:tcPr>
                      <w:p>
                        <w:pPr>
                          <w:pStyle w:val="TableParagraph"/>
                          <w:ind w:left="10"/>
                          <w:rPr>
                            <w:rFonts w:ascii="仿宋"/>
                            <w:sz w:val="24"/>
                          </w:rPr>
                        </w:pPr>
                        <w:r>
                          <w:rPr>
                            <w:rFonts w:ascii="仿宋"/>
                            <w:sz w:val="24"/>
                          </w:rPr>
                          <w:t>2</w:t>
                        </w:r>
                      </w:p>
                    </w:tc>
                    <w:tc>
                      <w:tcPr>
                        <w:tcW w:w="800" w:type="dxa"/>
                      </w:tcPr>
                      <w:p>
                        <w:pPr>
                          <w:pStyle w:val="TableParagraph"/>
                          <w:spacing w:before="0"/>
                          <w:jc w:val="left"/>
                          <w:rPr>
                            <w:rFonts w:ascii="Times New Roman"/>
                            <w:sz w:val="24"/>
                          </w:rPr>
                        </w:pPr>
                      </w:p>
                    </w:tc>
                  </w:tr>
                  <w:tr>
                    <w:tblPrEx>
                      <w:tblW w:w="0" w:type="auto"/>
                      <w:jc w:val="left"/>
                      <w:tblInd w:w="5" w:type="dxa"/>
                      <w:tblLayout w:type="fixed"/>
                      <w:tblCellMar>
                        <w:top w:w="0" w:type="dxa"/>
                        <w:left w:w="0" w:type="dxa"/>
                        <w:bottom w:w="0" w:type="dxa"/>
                        <w:right w:w="0" w:type="dxa"/>
                      </w:tblCellMar>
                      <w:tblLook w:val="01E0"/>
                    </w:tblPrEx>
                    <w:trPr>
                      <w:trHeight w:val="445"/>
                      <w:jc w:val="left"/>
                    </w:trPr>
                    <w:tc>
                      <w:tcPr>
                        <w:tcW w:w="863" w:type="dxa"/>
                      </w:tcPr>
                      <w:p>
                        <w:pPr>
                          <w:pStyle w:val="TableParagraph"/>
                          <w:ind w:left="10"/>
                          <w:rPr>
                            <w:rFonts w:ascii="仿宋"/>
                            <w:sz w:val="24"/>
                          </w:rPr>
                        </w:pPr>
                        <w:r>
                          <w:rPr>
                            <w:rFonts w:ascii="仿宋"/>
                            <w:sz w:val="24"/>
                          </w:rPr>
                          <w:t>7</w:t>
                        </w:r>
                      </w:p>
                    </w:tc>
                    <w:tc>
                      <w:tcPr>
                        <w:tcW w:w="2213" w:type="dxa"/>
                      </w:tcPr>
                      <w:p>
                        <w:pPr>
                          <w:pStyle w:val="TableParagraph"/>
                          <w:ind w:left="491" w:right="481"/>
                          <w:rPr>
                            <w:rFonts w:ascii="仿宋" w:eastAsia="仿宋"/>
                            <w:sz w:val="24"/>
                          </w:rPr>
                        </w:pPr>
                        <w:r>
                          <w:rPr>
                            <w:rFonts w:ascii="仿宋" w:eastAsia="仿宋"/>
                            <w:spacing w:val="-2"/>
                            <w:sz w:val="24"/>
                          </w:rPr>
                          <w:t>物资管理员</w:t>
                        </w:r>
                      </w:p>
                    </w:tc>
                    <w:tc>
                      <w:tcPr>
                        <w:tcW w:w="803" w:type="dxa"/>
                      </w:tcPr>
                      <w:p>
                        <w:pPr>
                          <w:pStyle w:val="TableParagraph"/>
                          <w:ind w:left="10"/>
                          <w:rPr>
                            <w:rFonts w:ascii="仿宋"/>
                            <w:sz w:val="24"/>
                          </w:rPr>
                        </w:pPr>
                        <w:r>
                          <w:rPr>
                            <w:rFonts w:ascii="仿宋"/>
                            <w:sz w:val="24"/>
                          </w:rPr>
                          <w:t>1</w:t>
                        </w:r>
                      </w:p>
                    </w:tc>
                    <w:tc>
                      <w:tcPr>
                        <w:tcW w:w="800" w:type="dxa"/>
                      </w:tcPr>
                      <w:p>
                        <w:pPr>
                          <w:pStyle w:val="TableParagraph"/>
                          <w:spacing w:before="0"/>
                          <w:jc w:val="left"/>
                          <w:rPr>
                            <w:rFonts w:ascii="Times New Roman"/>
                            <w:sz w:val="24"/>
                          </w:rPr>
                        </w:pPr>
                      </w:p>
                    </w:tc>
                  </w:tr>
                  <w:tr>
                    <w:tblPrEx>
                      <w:tblW w:w="0" w:type="auto"/>
                      <w:jc w:val="left"/>
                      <w:tblInd w:w="5" w:type="dxa"/>
                      <w:tblLayout w:type="fixed"/>
                      <w:tblCellMar>
                        <w:top w:w="0" w:type="dxa"/>
                        <w:left w:w="0" w:type="dxa"/>
                        <w:bottom w:w="0" w:type="dxa"/>
                        <w:right w:w="0" w:type="dxa"/>
                      </w:tblCellMar>
                      <w:tblLook w:val="01E0"/>
                    </w:tblPrEx>
                    <w:trPr>
                      <w:trHeight w:val="385"/>
                      <w:jc w:val="left"/>
                    </w:trPr>
                    <w:tc>
                      <w:tcPr>
                        <w:tcW w:w="863" w:type="dxa"/>
                      </w:tcPr>
                      <w:p>
                        <w:pPr>
                          <w:pStyle w:val="TableParagraph"/>
                          <w:spacing w:line="283" w:lineRule="exact"/>
                          <w:ind w:left="10"/>
                          <w:rPr>
                            <w:rFonts w:ascii="仿宋"/>
                            <w:sz w:val="24"/>
                          </w:rPr>
                        </w:pPr>
                        <w:r>
                          <w:rPr>
                            <w:rFonts w:ascii="仿宋"/>
                            <w:sz w:val="24"/>
                          </w:rPr>
                          <w:t>8</w:t>
                        </w:r>
                      </w:p>
                    </w:tc>
                    <w:tc>
                      <w:tcPr>
                        <w:tcW w:w="2213" w:type="dxa"/>
                      </w:tcPr>
                      <w:p>
                        <w:pPr>
                          <w:pStyle w:val="TableParagraph"/>
                          <w:spacing w:line="283" w:lineRule="exact"/>
                          <w:ind w:left="491" w:right="481"/>
                          <w:rPr>
                            <w:rFonts w:ascii="仿宋" w:eastAsia="仿宋"/>
                            <w:sz w:val="24"/>
                          </w:rPr>
                        </w:pPr>
                        <w:r>
                          <w:rPr>
                            <w:rFonts w:ascii="仿宋" w:eastAsia="仿宋"/>
                            <w:spacing w:val="-2"/>
                            <w:sz w:val="24"/>
                          </w:rPr>
                          <w:t>物资采购员</w:t>
                        </w:r>
                      </w:p>
                    </w:tc>
                    <w:tc>
                      <w:tcPr>
                        <w:tcW w:w="803" w:type="dxa"/>
                      </w:tcPr>
                      <w:p>
                        <w:pPr>
                          <w:pStyle w:val="TableParagraph"/>
                          <w:spacing w:line="283" w:lineRule="exact"/>
                          <w:ind w:left="10"/>
                          <w:rPr>
                            <w:rFonts w:ascii="仿宋"/>
                            <w:sz w:val="24"/>
                          </w:rPr>
                        </w:pPr>
                        <w:r>
                          <w:rPr>
                            <w:rFonts w:ascii="仿宋"/>
                            <w:sz w:val="24"/>
                          </w:rPr>
                          <w:t>1</w:t>
                        </w:r>
                      </w:p>
                    </w:tc>
                    <w:tc>
                      <w:tcPr>
                        <w:tcW w:w="800" w:type="dxa"/>
                      </w:tcPr>
                      <w:p>
                        <w:pPr>
                          <w:pStyle w:val="TableParagraph"/>
                          <w:spacing w:before="0"/>
                          <w:jc w:val="left"/>
                          <w:rPr>
                            <w:rFonts w:ascii="Times New Roman"/>
                            <w:sz w:val="24"/>
                          </w:rPr>
                        </w:pPr>
                      </w:p>
                    </w:tc>
                  </w:tr>
                  <w:tr>
                    <w:tblPrEx>
                      <w:tblW w:w="0" w:type="auto"/>
                      <w:jc w:val="left"/>
                      <w:tblInd w:w="5" w:type="dxa"/>
                      <w:tblLayout w:type="fixed"/>
                      <w:tblCellMar>
                        <w:top w:w="0" w:type="dxa"/>
                        <w:left w:w="0" w:type="dxa"/>
                        <w:bottom w:w="0" w:type="dxa"/>
                        <w:right w:w="0" w:type="dxa"/>
                      </w:tblCellMar>
                      <w:tblLook w:val="01E0"/>
                    </w:tblPrEx>
                    <w:trPr>
                      <w:trHeight w:val="385"/>
                      <w:jc w:val="left"/>
                    </w:trPr>
                    <w:tc>
                      <w:tcPr>
                        <w:tcW w:w="863" w:type="dxa"/>
                      </w:tcPr>
                      <w:p>
                        <w:pPr>
                          <w:pStyle w:val="TableParagraph"/>
                          <w:spacing w:line="283" w:lineRule="exact"/>
                          <w:ind w:left="10"/>
                          <w:rPr>
                            <w:rFonts w:ascii="仿宋"/>
                            <w:sz w:val="24"/>
                          </w:rPr>
                        </w:pPr>
                        <w:r>
                          <w:rPr>
                            <w:rFonts w:ascii="仿宋"/>
                            <w:sz w:val="24"/>
                          </w:rPr>
                          <w:t>9</w:t>
                        </w:r>
                      </w:p>
                    </w:tc>
                    <w:tc>
                      <w:tcPr>
                        <w:tcW w:w="2213" w:type="dxa"/>
                      </w:tcPr>
                      <w:p>
                        <w:pPr>
                          <w:pStyle w:val="TableParagraph"/>
                          <w:spacing w:line="283" w:lineRule="exact"/>
                          <w:ind w:left="491" w:right="481"/>
                          <w:rPr>
                            <w:rFonts w:ascii="仿宋" w:eastAsia="仿宋"/>
                            <w:sz w:val="24"/>
                          </w:rPr>
                        </w:pPr>
                        <w:r>
                          <w:rPr>
                            <w:rFonts w:ascii="仿宋" w:eastAsia="仿宋"/>
                            <w:spacing w:val="-2"/>
                            <w:sz w:val="24"/>
                          </w:rPr>
                          <w:t>机械管理员</w:t>
                        </w:r>
                      </w:p>
                    </w:tc>
                    <w:tc>
                      <w:tcPr>
                        <w:tcW w:w="803" w:type="dxa"/>
                      </w:tcPr>
                      <w:p>
                        <w:pPr>
                          <w:pStyle w:val="TableParagraph"/>
                          <w:spacing w:line="283" w:lineRule="exact"/>
                          <w:ind w:left="10"/>
                          <w:rPr>
                            <w:rFonts w:ascii="仿宋"/>
                            <w:sz w:val="24"/>
                          </w:rPr>
                        </w:pPr>
                        <w:r>
                          <w:rPr>
                            <w:rFonts w:ascii="仿宋"/>
                            <w:sz w:val="24"/>
                          </w:rPr>
                          <w:t>1</w:t>
                        </w:r>
                      </w:p>
                    </w:tc>
                    <w:tc>
                      <w:tcPr>
                        <w:tcW w:w="800" w:type="dxa"/>
                      </w:tcPr>
                      <w:p>
                        <w:pPr>
                          <w:pStyle w:val="TableParagraph"/>
                          <w:spacing w:before="0"/>
                          <w:jc w:val="left"/>
                          <w:rPr>
                            <w:rFonts w:ascii="Times New Roman"/>
                            <w:sz w:val="24"/>
                          </w:rPr>
                        </w:pPr>
                      </w:p>
                    </w:tc>
                  </w:tr>
                  <w:tr>
                    <w:tblPrEx>
                      <w:tblW w:w="0" w:type="auto"/>
                      <w:jc w:val="left"/>
                      <w:tblInd w:w="5" w:type="dxa"/>
                      <w:tblLayout w:type="fixed"/>
                      <w:tblCellMar>
                        <w:top w:w="0" w:type="dxa"/>
                        <w:left w:w="0" w:type="dxa"/>
                        <w:bottom w:w="0" w:type="dxa"/>
                        <w:right w:w="0" w:type="dxa"/>
                      </w:tblCellMar>
                      <w:tblLook w:val="01E0"/>
                    </w:tblPrEx>
                    <w:trPr>
                      <w:trHeight w:val="445"/>
                      <w:jc w:val="left"/>
                    </w:trPr>
                    <w:tc>
                      <w:tcPr>
                        <w:tcW w:w="863" w:type="dxa"/>
                      </w:tcPr>
                      <w:p>
                        <w:pPr>
                          <w:pStyle w:val="TableParagraph"/>
                          <w:ind w:left="176" w:right="166"/>
                          <w:rPr>
                            <w:rFonts w:ascii="仿宋"/>
                            <w:sz w:val="24"/>
                          </w:rPr>
                        </w:pPr>
                        <w:r>
                          <w:rPr>
                            <w:rFonts w:ascii="仿宋"/>
                            <w:spacing w:val="-5"/>
                            <w:sz w:val="24"/>
                          </w:rPr>
                          <w:t>10</w:t>
                        </w:r>
                      </w:p>
                    </w:tc>
                    <w:tc>
                      <w:tcPr>
                        <w:tcW w:w="2213" w:type="dxa"/>
                      </w:tcPr>
                      <w:p>
                        <w:pPr>
                          <w:pStyle w:val="TableParagraph"/>
                          <w:ind w:left="491" w:right="481"/>
                          <w:rPr>
                            <w:rFonts w:ascii="仿宋" w:eastAsia="仿宋"/>
                            <w:sz w:val="24"/>
                          </w:rPr>
                        </w:pPr>
                        <w:r>
                          <w:rPr>
                            <w:rFonts w:ascii="仿宋" w:eastAsia="仿宋"/>
                            <w:spacing w:val="-4"/>
                            <w:sz w:val="24"/>
                          </w:rPr>
                          <w:t>班组长</w:t>
                        </w:r>
                      </w:p>
                    </w:tc>
                    <w:tc>
                      <w:tcPr>
                        <w:tcW w:w="803" w:type="dxa"/>
                      </w:tcPr>
                      <w:p>
                        <w:pPr>
                          <w:pStyle w:val="TableParagraph"/>
                          <w:ind w:left="10"/>
                          <w:rPr>
                            <w:rFonts w:ascii="仿宋"/>
                            <w:sz w:val="24"/>
                          </w:rPr>
                        </w:pPr>
                        <w:r>
                          <w:rPr>
                            <w:rFonts w:ascii="仿宋"/>
                            <w:sz w:val="24"/>
                          </w:rPr>
                          <w:t>2</w:t>
                        </w:r>
                      </w:p>
                    </w:tc>
                    <w:tc>
                      <w:tcPr>
                        <w:tcW w:w="800" w:type="dxa"/>
                      </w:tcPr>
                      <w:p>
                        <w:pPr>
                          <w:pStyle w:val="TableParagraph"/>
                          <w:spacing w:before="0"/>
                          <w:jc w:val="left"/>
                          <w:rPr>
                            <w:rFonts w:ascii="Times New Roman"/>
                            <w:sz w:val="24"/>
                          </w:rPr>
                        </w:pPr>
                      </w:p>
                    </w:tc>
                  </w:tr>
                </w:tbl>
                <w:p>
                  <w:pPr>
                    <w:pStyle w:val="BodyText"/>
                  </w:pPr>
                </w:p>
              </w:txbxContent>
            </v:textbox>
          </v:shape>
        </w:pict>
      </w:r>
      <w:r>
        <w:rPr>
          <w:spacing w:val="-2"/>
        </w:rPr>
        <w:t>主</w:t>
      </w:r>
      <w:r>
        <w:rPr>
          <w:spacing w:val="-2"/>
        </w:rPr>
        <w:t>要</w:t>
      </w:r>
      <w:r>
        <w:rPr>
          <w:spacing w:val="-2"/>
        </w:rPr>
        <w:t>施</w:t>
      </w:r>
      <w:r>
        <w:rPr>
          <w:spacing w:val="-2"/>
        </w:rPr>
        <w:t>工</w:t>
      </w:r>
      <w:r>
        <w:rPr>
          <w:spacing w:val="-2"/>
        </w:rPr>
        <w:t>管</w:t>
      </w:r>
      <w:r>
        <w:rPr>
          <w:spacing w:val="-2"/>
        </w:rPr>
        <w:t>理</w:t>
      </w:r>
      <w:r>
        <w:rPr>
          <w:spacing w:val="-2"/>
        </w:rPr>
        <w:t>人</w:t>
      </w:r>
      <w:r>
        <w:rPr>
          <w:spacing w:val="-2"/>
        </w:rPr>
        <w:t>员</w:t>
      </w:r>
      <w:r>
        <w:rPr>
          <w:spacing w:val="-2"/>
        </w:rPr>
        <w:t>配</w:t>
      </w:r>
      <w:r>
        <w:rPr>
          <w:spacing w:val="-2"/>
        </w:rPr>
        <w:t>置</w:t>
      </w:r>
      <w:r>
        <w:rPr>
          <w:spacing w:val="-2"/>
        </w:rPr>
        <w:t>情</w:t>
      </w:r>
      <w:r>
        <w:rPr>
          <w:spacing w:val="-2"/>
        </w:rPr>
        <w:t>况</w:t>
      </w:r>
      <w:r>
        <w:rPr>
          <w:spacing w:val="-2"/>
        </w:rPr>
        <w:t>见</w:t>
      </w:r>
      <w:r>
        <w:rPr>
          <w:spacing w:val="-2"/>
        </w:rPr>
        <w:t>表</w:t>
      </w:r>
      <w:r>
        <w:rPr>
          <w:spacing w:val="-2"/>
        </w:rPr>
        <w:t>3-1</w:t>
      </w:r>
      <w:r>
        <w:rPr>
          <w:spacing w:val="-2"/>
        </w:rPr>
        <w:t>。</w:t>
      </w:r>
      <w:r>
        <w:t>表3-</w:t>
      </w:r>
      <w:r>
        <w:rPr>
          <w:spacing w:val="-10"/>
        </w:rPr>
        <w:t>1</w:t>
      </w:r>
      <w:r>
        <w:tab/>
        <w:t>主要施工管理人员配备一览</w:t>
      </w:r>
      <w:r>
        <w:rPr>
          <w:spacing w:val="-10"/>
        </w:rPr>
        <w:t>表</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2"/>
        <w:rPr>
          <w:sz w:val="27"/>
        </w:rPr>
      </w:pPr>
    </w:p>
    <w:p>
      <w:pPr>
        <w:pStyle w:val="BodyText"/>
        <w:ind w:left="760"/>
      </w:pPr>
      <w:r>
        <w:t>2</w:t>
      </w:r>
      <w:r>
        <w:rPr>
          <w:spacing w:val="-2"/>
        </w:rPr>
        <w:t>、劳力配置</w:t>
      </w:r>
    </w:p>
    <w:p>
      <w:pPr>
        <w:pStyle w:val="BodyText"/>
        <w:spacing w:before="161" w:line="364" w:lineRule="auto"/>
        <w:ind w:left="280" w:right="1398" w:firstLine="480"/>
      </w:pPr>
      <w:r>
        <w:rPr>
          <w:spacing w:val="-4"/>
        </w:rPr>
        <w:t>本工程共有三个施工班组，每个班组配备作业人员主要配备以下各工种：机</w:t>
      </w:r>
      <w:r>
        <w:rPr>
          <w:spacing w:val="-2"/>
        </w:rPr>
        <w:t>械司机、钢筋工、模板工、混凝土工、管道安装工、修理工、电工、普工等。</w:t>
      </w:r>
    </w:p>
    <w:p>
      <w:pPr>
        <w:spacing w:after="0" w:line="364" w:lineRule="auto"/>
        <w:sectPr>
          <w:pgSz w:w="11910" w:h="16840"/>
          <w:pgMar w:top="1460" w:right="400" w:bottom="280" w:left="1520" w:header="708" w:footer="708"/>
          <w:pgNumType w:start="5"/>
          <w:cols w:space="708"/>
        </w:sectPr>
      </w:pPr>
    </w:p>
    <w:p>
      <w:pPr>
        <w:pStyle w:val="BodyText"/>
        <w:spacing w:before="44"/>
        <w:ind w:left="760"/>
      </w:pPr>
      <w:r>
        <w:rPr>
          <w:spacing w:val="-2"/>
        </w:rPr>
        <w:t>劳动力安排见下表</w:t>
      </w:r>
    </w:p>
    <w:p>
      <w:pPr>
        <w:pStyle w:val="BodyText"/>
        <w:spacing w:before="1"/>
        <w:rPr>
          <w:sz w:val="6"/>
        </w:rPr>
      </w:pPr>
    </w:p>
    <w:tbl>
      <w:tblPr>
        <w:tblStyle w:val="TableNormal3"/>
        <w:tblW w:w="0" w:type="auto"/>
        <w:jc w:val="left"/>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73"/>
        <w:gridCol w:w="1372"/>
        <w:gridCol w:w="1706"/>
        <w:gridCol w:w="873"/>
        <w:gridCol w:w="2039"/>
        <w:gridCol w:w="1706"/>
      </w:tblGrid>
      <w:tr>
        <w:tblPrEx>
          <w:tblW w:w="0" w:type="auto"/>
          <w:jc w:val="left"/>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605"/>
          <w:jc w:val="left"/>
        </w:trPr>
        <w:tc>
          <w:tcPr>
            <w:tcW w:w="873" w:type="dxa"/>
          </w:tcPr>
          <w:p>
            <w:pPr>
              <w:pStyle w:val="TableParagraph"/>
              <w:spacing w:before="150"/>
              <w:ind w:left="181" w:right="171"/>
              <w:rPr>
                <w:rFonts w:ascii="仿宋" w:eastAsia="仿宋"/>
                <w:sz w:val="24"/>
              </w:rPr>
            </w:pPr>
            <w:r>
              <w:rPr>
                <w:rFonts w:ascii="仿宋" w:eastAsia="仿宋"/>
                <w:spacing w:val="-5"/>
                <w:sz w:val="24"/>
              </w:rPr>
              <w:t>序号</w:t>
            </w:r>
          </w:p>
        </w:tc>
        <w:tc>
          <w:tcPr>
            <w:tcW w:w="1372" w:type="dxa"/>
          </w:tcPr>
          <w:p>
            <w:pPr>
              <w:pStyle w:val="TableParagraph"/>
              <w:spacing w:before="150"/>
              <w:ind w:left="192" w:right="182"/>
              <w:rPr>
                <w:rFonts w:ascii="仿宋" w:eastAsia="仿宋"/>
                <w:sz w:val="24"/>
              </w:rPr>
            </w:pPr>
            <w:r>
              <w:rPr>
                <w:rFonts w:ascii="仿宋" w:eastAsia="仿宋"/>
                <w:spacing w:val="-5"/>
                <w:sz w:val="24"/>
              </w:rPr>
              <w:t>工种</w:t>
            </w:r>
          </w:p>
        </w:tc>
        <w:tc>
          <w:tcPr>
            <w:tcW w:w="1706" w:type="dxa"/>
          </w:tcPr>
          <w:p>
            <w:pPr>
              <w:pStyle w:val="TableParagraph"/>
              <w:spacing w:before="150"/>
              <w:ind w:left="597" w:right="587"/>
              <w:rPr>
                <w:rFonts w:ascii="仿宋" w:eastAsia="仿宋"/>
                <w:sz w:val="24"/>
              </w:rPr>
            </w:pPr>
            <w:r>
              <w:rPr>
                <w:rFonts w:ascii="仿宋" w:eastAsia="仿宋"/>
                <w:spacing w:val="-5"/>
                <w:sz w:val="24"/>
              </w:rPr>
              <w:t>人数</w:t>
            </w:r>
          </w:p>
        </w:tc>
        <w:tc>
          <w:tcPr>
            <w:tcW w:w="873" w:type="dxa"/>
          </w:tcPr>
          <w:p>
            <w:pPr>
              <w:pStyle w:val="TableParagraph"/>
              <w:spacing w:before="150"/>
              <w:ind w:left="181" w:right="171"/>
              <w:rPr>
                <w:rFonts w:ascii="仿宋" w:eastAsia="仿宋"/>
                <w:sz w:val="24"/>
              </w:rPr>
            </w:pPr>
            <w:r>
              <w:rPr>
                <w:rFonts w:ascii="仿宋" w:eastAsia="仿宋"/>
                <w:spacing w:val="-5"/>
                <w:sz w:val="24"/>
              </w:rPr>
              <w:t>序号</w:t>
            </w:r>
          </w:p>
        </w:tc>
        <w:tc>
          <w:tcPr>
            <w:tcW w:w="2039" w:type="dxa"/>
          </w:tcPr>
          <w:p>
            <w:pPr>
              <w:pStyle w:val="TableParagraph"/>
              <w:spacing w:before="150"/>
              <w:ind w:left="525" w:right="516"/>
              <w:rPr>
                <w:rFonts w:ascii="仿宋" w:eastAsia="仿宋"/>
                <w:sz w:val="24"/>
              </w:rPr>
            </w:pPr>
            <w:r>
              <w:rPr>
                <w:rFonts w:ascii="仿宋" w:eastAsia="仿宋"/>
                <w:spacing w:val="-5"/>
                <w:sz w:val="24"/>
              </w:rPr>
              <w:t>工种</w:t>
            </w:r>
          </w:p>
        </w:tc>
        <w:tc>
          <w:tcPr>
            <w:tcW w:w="1706" w:type="dxa"/>
          </w:tcPr>
          <w:p>
            <w:pPr>
              <w:pStyle w:val="TableParagraph"/>
              <w:spacing w:before="150"/>
              <w:ind w:left="597" w:right="588"/>
              <w:rPr>
                <w:rFonts w:ascii="仿宋" w:eastAsia="仿宋"/>
                <w:sz w:val="24"/>
              </w:rPr>
            </w:pPr>
            <w:r>
              <w:rPr>
                <w:rFonts w:ascii="仿宋" w:eastAsia="仿宋"/>
                <w:spacing w:val="-5"/>
                <w:sz w:val="24"/>
              </w:rPr>
              <w:t>人数</w:t>
            </w:r>
          </w:p>
        </w:tc>
      </w:tr>
      <w:tr>
        <w:tblPrEx>
          <w:tblW w:w="0" w:type="auto"/>
          <w:jc w:val="left"/>
          <w:tblInd w:w="153" w:type="dxa"/>
          <w:tblLayout w:type="fixed"/>
          <w:tblCellMar>
            <w:top w:w="0" w:type="dxa"/>
            <w:left w:w="0" w:type="dxa"/>
            <w:bottom w:w="0" w:type="dxa"/>
            <w:right w:w="0" w:type="dxa"/>
          </w:tblCellMar>
          <w:tblLook w:val="01E0"/>
        </w:tblPrEx>
        <w:trPr>
          <w:trHeight w:val="468"/>
          <w:jc w:val="left"/>
        </w:trPr>
        <w:tc>
          <w:tcPr>
            <w:tcW w:w="873" w:type="dxa"/>
          </w:tcPr>
          <w:p>
            <w:pPr>
              <w:pStyle w:val="TableParagraph"/>
              <w:ind w:left="10"/>
              <w:rPr>
                <w:rFonts w:ascii="仿宋"/>
                <w:sz w:val="24"/>
              </w:rPr>
            </w:pPr>
            <w:r>
              <w:rPr>
                <w:rFonts w:ascii="仿宋"/>
                <w:sz w:val="24"/>
              </w:rPr>
              <w:t>1</w:t>
            </w:r>
          </w:p>
        </w:tc>
        <w:tc>
          <w:tcPr>
            <w:tcW w:w="1372" w:type="dxa"/>
          </w:tcPr>
          <w:p>
            <w:pPr>
              <w:pStyle w:val="TableParagraph"/>
              <w:ind w:left="192" w:right="182"/>
              <w:rPr>
                <w:rFonts w:ascii="仿宋" w:eastAsia="仿宋"/>
                <w:sz w:val="24"/>
              </w:rPr>
            </w:pPr>
            <w:r>
              <w:rPr>
                <w:rFonts w:ascii="仿宋" w:eastAsia="仿宋"/>
                <w:spacing w:val="-3"/>
                <w:sz w:val="24"/>
              </w:rPr>
              <w:t>机械司机</w:t>
            </w:r>
          </w:p>
        </w:tc>
        <w:tc>
          <w:tcPr>
            <w:tcW w:w="1706" w:type="dxa"/>
          </w:tcPr>
          <w:p>
            <w:pPr>
              <w:pStyle w:val="TableParagraph"/>
              <w:ind w:left="10"/>
              <w:rPr>
                <w:rFonts w:ascii="仿宋"/>
                <w:sz w:val="24"/>
              </w:rPr>
            </w:pPr>
            <w:r>
              <w:rPr>
                <w:rFonts w:ascii="仿宋"/>
                <w:sz w:val="24"/>
              </w:rPr>
              <w:t>2</w:t>
            </w:r>
          </w:p>
        </w:tc>
        <w:tc>
          <w:tcPr>
            <w:tcW w:w="873" w:type="dxa"/>
          </w:tcPr>
          <w:p>
            <w:pPr>
              <w:pStyle w:val="TableParagraph"/>
              <w:ind w:left="10"/>
              <w:rPr>
                <w:rFonts w:ascii="仿宋"/>
                <w:sz w:val="24"/>
              </w:rPr>
            </w:pPr>
            <w:r>
              <w:rPr>
                <w:rFonts w:ascii="仿宋"/>
                <w:sz w:val="24"/>
              </w:rPr>
              <w:t>5</w:t>
            </w:r>
          </w:p>
        </w:tc>
        <w:tc>
          <w:tcPr>
            <w:tcW w:w="2039" w:type="dxa"/>
          </w:tcPr>
          <w:p>
            <w:pPr>
              <w:pStyle w:val="TableParagraph"/>
              <w:ind w:left="525" w:right="516"/>
              <w:rPr>
                <w:rFonts w:ascii="仿宋" w:eastAsia="仿宋"/>
                <w:sz w:val="24"/>
              </w:rPr>
            </w:pPr>
            <w:r>
              <w:rPr>
                <w:rFonts w:ascii="仿宋" w:eastAsia="仿宋"/>
                <w:spacing w:val="-4"/>
                <w:sz w:val="24"/>
              </w:rPr>
              <w:t>安装工</w:t>
            </w:r>
          </w:p>
        </w:tc>
        <w:tc>
          <w:tcPr>
            <w:tcW w:w="1706" w:type="dxa"/>
          </w:tcPr>
          <w:p>
            <w:pPr>
              <w:pStyle w:val="TableParagraph"/>
              <w:ind w:left="9"/>
              <w:rPr>
                <w:rFonts w:ascii="仿宋"/>
                <w:sz w:val="24"/>
              </w:rPr>
            </w:pPr>
            <w:r>
              <w:rPr>
                <w:rFonts w:ascii="仿宋"/>
                <w:sz w:val="24"/>
              </w:rPr>
              <w:t>4</w:t>
            </w:r>
          </w:p>
        </w:tc>
      </w:tr>
      <w:tr>
        <w:tblPrEx>
          <w:tblW w:w="0" w:type="auto"/>
          <w:jc w:val="left"/>
          <w:tblInd w:w="153" w:type="dxa"/>
          <w:tblLayout w:type="fixed"/>
          <w:tblCellMar>
            <w:top w:w="0" w:type="dxa"/>
            <w:left w:w="0" w:type="dxa"/>
            <w:bottom w:w="0" w:type="dxa"/>
            <w:right w:w="0" w:type="dxa"/>
          </w:tblCellMar>
          <w:tblLook w:val="01E0"/>
        </w:tblPrEx>
        <w:trPr>
          <w:trHeight w:val="468"/>
          <w:jc w:val="left"/>
        </w:trPr>
        <w:tc>
          <w:tcPr>
            <w:tcW w:w="873" w:type="dxa"/>
          </w:tcPr>
          <w:p>
            <w:pPr>
              <w:pStyle w:val="TableParagraph"/>
              <w:ind w:left="10"/>
              <w:rPr>
                <w:rFonts w:ascii="仿宋"/>
                <w:sz w:val="24"/>
              </w:rPr>
            </w:pPr>
            <w:r>
              <w:rPr>
                <w:rFonts w:ascii="仿宋"/>
                <w:sz w:val="24"/>
              </w:rPr>
              <w:t>2</w:t>
            </w:r>
          </w:p>
        </w:tc>
        <w:tc>
          <w:tcPr>
            <w:tcW w:w="1372" w:type="dxa"/>
          </w:tcPr>
          <w:p>
            <w:pPr>
              <w:pStyle w:val="TableParagraph"/>
              <w:ind w:left="192" w:right="182"/>
              <w:rPr>
                <w:rFonts w:ascii="仿宋" w:eastAsia="仿宋"/>
                <w:sz w:val="24"/>
              </w:rPr>
            </w:pPr>
            <w:r>
              <w:rPr>
                <w:rFonts w:ascii="仿宋" w:eastAsia="仿宋"/>
                <w:spacing w:val="-4"/>
                <w:sz w:val="24"/>
              </w:rPr>
              <w:t>钢筋工</w:t>
            </w:r>
          </w:p>
        </w:tc>
        <w:tc>
          <w:tcPr>
            <w:tcW w:w="1706" w:type="dxa"/>
          </w:tcPr>
          <w:p>
            <w:pPr>
              <w:pStyle w:val="TableParagraph"/>
              <w:ind w:left="10"/>
              <w:rPr>
                <w:rFonts w:ascii="仿宋"/>
                <w:sz w:val="24"/>
              </w:rPr>
            </w:pPr>
            <w:r>
              <w:rPr>
                <w:rFonts w:ascii="仿宋"/>
                <w:sz w:val="24"/>
              </w:rPr>
              <w:t>2</w:t>
            </w:r>
          </w:p>
        </w:tc>
        <w:tc>
          <w:tcPr>
            <w:tcW w:w="873" w:type="dxa"/>
          </w:tcPr>
          <w:p>
            <w:pPr>
              <w:pStyle w:val="TableParagraph"/>
              <w:ind w:left="10"/>
              <w:rPr>
                <w:rFonts w:ascii="仿宋"/>
                <w:sz w:val="24"/>
              </w:rPr>
            </w:pPr>
            <w:r>
              <w:rPr>
                <w:rFonts w:ascii="仿宋"/>
                <w:sz w:val="24"/>
              </w:rPr>
              <w:t>6</w:t>
            </w:r>
          </w:p>
        </w:tc>
        <w:tc>
          <w:tcPr>
            <w:tcW w:w="2039" w:type="dxa"/>
          </w:tcPr>
          <w:p>
            <w:pPr>
              <w:pStyle w:val="TableParagraph"/>
              <w:ind w:left="525" w:right="516"/>
              <w:rPr>
                <w:rFonts w:ascii="仿宋" w:eastAsia="仿宋"/>
                <w:sz w:val="24"/>
              </w:rPr>
            </w:pPr>
            <w:r>
              <w:rPr>
                <w:rFonts w:ascii="仿宋" w:eastAsia="仿宋"/>
                <w:spacing w:val="-3"/>
                <w:sz w:val="24"/>
              </w:rPr>
              <w:t>混凝土工</w:t>
            </w:r>
          </w:p>
        </w:tc>
        <w:tc>
          <w:tcPr>
            <w:tcW w:w="1706" w:type="dxa"/>
          </w:tcPr>
          <w:p>
            <w:pPr>
              <w:pStyle w:val="TableParagraph"/>
              <w:ind w:left="9"/>
              <w:rPr>
                <w:rFonts w:ascii="仿宋"/>
                <w:sz w:val="24"/>
              </w:rPr>
            </w:pPr>
            <w:r>
              <w:rPr>
                <w:rFonts w:ascii="仿宋"/>
                <w:sz w:val="24"/>
              </w:rPr>
              <w:t>3</w:t>
            </w:r>
          </w:p>
        </w:tc>
      </w:tr>
      <w:tr>
        <w:tblPrEx>
          <w:tblW w:w="0" w:type="auto"/>
          <w:jc w:val="left"/>
          <w:tblInd w:w="153" w:type="dxa"/>
          <w:tblLayout w:type="fixed"/>
          <w:tblCellMar>
            <w:top w:w="0" w:type="dxa"/>
            <w:left w:w="0" w:type="dxa"/>
            <w:bottom w:w="0" w:type="dxa"/>
            <w:right w:w="0" w:type="dxa"/>
          </w:tblCellMar>
          <w:tblLook w:val="01E0"/>
        </w:tblPrEx>
        <w:trPr>
          <w:trHeight w:val="468"/>
          <w:jc w:val="left"/>
        </w:trPr>
        <w:tc>
          <w:tcPr>
            <w:tcW w:w="873" w:type="dxa"/>
          </w:tcPr>
          <w:p>
            <w:pPr>
              <w:pStyle w:val="TableParagraph"/>
              <w:ind w:left="10"/>
              <w:rPr>
                <w:rFonts w:ascii="仿宋"/>
                <w:sz w:val="24"/>
              </w:rPr>
            </w:pPr>
            <w:r>
              <w:rPr>
                <w:rFonts w:ascii="仿宋"/>
                <w:sz w:val="24"/>
              </w:rPr>
              <w:t>3</w:t>
            </w:r>
          </w:p>
        </w:tc>
        <w:tc>
          <w:tcPr>
            <w:tcW w:w="1372" w:type="dxa"/>
          </w:tcPr>
          <w:p>
            <w:pPr>
              <w:pStyle w:val="TableParagraph"/>
              <w:ind w:left="192" w:right="182"/>
              <w:rPr>
                <w:rFonts w:ascii="仿宋" w:eastAsia="仿宋"/>
                <w:sz w:val="24"/>
              </w:rPr>
            </w:pPr>
            <w:r>
              <w:rPr>
                <w:rFonts w:ascii="仿宋" w:eastAsia="仿宋"/>
                <w:spacing w:val="-4"/>
                <w:sz w:val="24"/>
              </w:rPr>
              <w:t>模板工</w:t>
            </w:r>
          </w:p>
        </w:tc>
        <w:tc>
          <w:tcPr>
            <w:tcW w:w="1706" w:type="dxa"/>
          </w:tcPr>
          <w:p>
            <w:pPr>
              <w:pStyle w:val="TableParagraph"/>
              <w:ind w:left="10"/>
              <w:rPr>
                <w:rFonts w:ascii="仿宋"/>
                <w:sz w:val="24"/>
              </w:rPr>
            </w:pPr>
            <w:r>
              <w:rPr>
                <w:rFonts w:ascii="仿宋"/>
                <w:sz w:val="24"/>
              </w:rPr>
              <w:t>2</w:t>
            </w:r>
          </w:p>
        </w:tc>
        <w:tc>
          <w:tcPr>
            <w:tcW w:w="873" w:type="dxa"/>
          </w:tcPr>
          <w:p>
            <w:pPr>
              <w:pStyle w:val="TableParagraph"/>
              <w:ind w:left="10"/>
              <w:rPr>
                <w:rFonts w:ascii="仿宋"/>
                <w:sz w:val="24"/>
              </w:rPr>
            </w:pPr>
            <w:r>
              <w:rPr>
                <w:rFonts w:ascii="仿宋"/>
                <w:sz w:val="24"/>
              </w:rPr>
              <w:t>7</w:t>
            </w:r>
          </w:p>
        </w:tc>
        <w:tc>
          <w:tcPr>
            <w:tcW w:w="2039" w:type="dxa"/>
          </w:tcPr>
          <w:p>
            <w:pPr>
              <w:pStyle w:val="TableParagraph"/>
              <w:ind w:left="525" w:right="516"/>
              <w:rPr>
                <w:rFonts w:ascii="仿宋" w:eastAsia="仿宋"/>
                <w:sz w:val="24"/>
              </w:rPr>
            </w:pPr>
            <w:r>
              <w:rPr>
                <w:rFonts w:ascii="仿宋" w:eastAsia="仿宋"/>
                <w:spacing w:val="-4"/>
                <w:sz w:val="24"/>
              </w:rPr>
              <w:t>修理工</w:t>
            </w:r>
          </w:p>
        </w:tc>
        <w:tc>
          <w:tcPr>
            <w:tcW w:w="1706" w:type="dxa"/>
          </w:tcPr>
          <w:p>
            <w:pPr>
              <w:pStyle w:val="TableParagraph"/>
              <w:ind w:left="9"/>
              <w:rPr>
                <w:rFonts w:ascii="仿宋"/>
                <w:sz w:val="24"/>
              </w:rPr>
            </w:pPr>
            <w:r>
              <w:rPr>
                <w:rFonts w:ascii="仿宋"/>
                <w:sz w:val="24"/>
              </w:rPr>
              <w:t>1</w:t>
            </w:r>
          </w:p>
        </w:tc>
      </w:tr>
      <w:tr>
        <w:tblPrEx>
          <w:tblW w:w="0" w:type="auto"/>
          <w:jc w:val="left"/>
          <w:tblInd w:w="153" w:type="dxa"/>
          <w:tblLayout w:type="fixed"/>
          <w:tblCellMar>
            <w:top w:w="0" w:type="dxa"/>
            <w:left w:w="0" w:type="dxa"/>
            <w:bottom w:w="0" w:type="dxa"/>
            <w:right w:w="0" w:type="dxa"/>
          </w:tblCellMar>
          <w:tblLook w:val="01E0"/>
        </w:tblPrEx>
        <w:trPr>
          <w:trHeight w:val="468"/>
          <w:jc w:val="left"/>
        </w:trPr>
        <w:tc>
          <w:tcPr>
            <w:tcW w:w="873" w:type="dxa"/>
          </w:tcPr>
          <w:p>
            <w:pPr>
              <w:pStyle w:val="TableParagraph"/>
              <w:ind w:left="10"/>
              <w:rPr>
                <w:rFonts w:ascii="仿宋"/>
                <w:sz w:val="24"/>
              </w:rPr>
            </w:pPr>
            <w:r>
              <w:rPr>
                <w:rFonts w:ascii="仿宋"/>
                <w:sz w:val="24"/>
              </w:rPr>
              <w:t>4</w:t>
            </w:r>
          </w:p>
        </w:tc>
        <w:tc>
          <w:tcPr>
            <w:tcW w:w="1372" w:type="dxa"/>
          </w:tcPr>
          <w:p>
            <w:pPr>
              <w:pStyle w:val="TableParagraph"/>
              <w:ind w:left="192" w:right="182"/>
              <w:rPr>
                <w:rFonts w:ascii="仿宋" w:eastAsia="仿宋"/>
                <w:sz w:val="24"/>
              </w:rPr>
            </w:pPr>
            <w:r>
              <w:rPr>
                <w:rFonts w:ascii="仿宋" w:eastAsia="仿宋"/>
                <w:spacing w:val="-5"/>
                <w:sz w:val="24"/>
              </w:rPr>
              <w:t>电工</w:t>
            </w:r>
          </w:p>
        </w:tc>
        <w:tc>
          <w:tcPr>
            <w:tcW w:w="1706" w:type="dxa"/>
          </w:tcPr>
          <w:p>
            <w:pPr>
              <w:pStyle w:val="TableParagraph"/>
              <w:ind w:left="10"/>
              <w:rPr>
                <w:rFonts w:ascii="仿宋"/>
                <w:sz w:val="24"/>
              </w:rPr>
            </w:pPr>
            <w:r>
              <w:rPr>
                <w:rFonts w:ascii="仿宋"/>
                <w:sz w:val="24"/>
              </w:rPr>
              <w:t>1</w:t>
            </w:r>
          </w:p>
        </w:tc>
        <w:tc>
          <w:tcPr>
            <w:tcW w:w="873" w:type="dxa"/>
          </w:tcPr>
          <w:p>
            <w:pPr>
              <w:pStyle w:val="TableParagraph"/>
              <w:ind w:left="10"/>
              <w:rPr>
                <w:rFonts w:ascii="仿宋"/>
                <w:sz w:val="24"/>
              </w:rPr>
            </w:pPr>
            <w:r>
              <w:rPr>
                <w:rFonts w:ascii="仿宋"/>
                <w:sz w:val="24"/>
              </w:rPr>
              <w:t>8</w:t>
            </w:r>
          </w:p>
        </w:tc>
        <w:tc>
          <w:tcPr>
            <w:tcW w:w="2039" w:type="dxa"/>
          </w:tcPr>
          <w:p>
            <w:pPr>
              <w:pStyle w:val="TableParagraph"/>
              <w:ind w:left="525" w:right="516"/>
              <w:rPr>
                <w:rFonts w:ascii="仿宋" w:eastAsia="仿宋"/>
                <w:sz w:val="24"/>
              </w:rPr>
            </w:pPr>
            <w:r>
              <w:rPr>
                <w:rFonts w:ascii="仿宋" w:eastAsia="仿宋"/>
                <w:spacing w:val="-5"/>
                <w:sz w:val="24"/>
              </w:rPr>
              <w:t>普工</w:t>
            </w:r>
          </w:p>
        </w:tc>
        <w:tc>
          <w:tcPr>
            <w:tcW w:w="1706" w:type="dxa"/>
          </w:tcPr>
          <w:p>
            <w:pPr>
              <w:pStyle w:val="TableParagraph"/>
              <w:ind w:left="9"/>
              <w:rPr>
                <w:rFonts w:ascii="仿宋"/>
                <w:sz w:val="24"/>
              </w:rPr>
            </w:pPr>
            <w:r>
              <w:rPr>
                <w:rFonts w:ascii="仿宋"/>
                <w:sz w:val="24"/>
              </w:rPr>
              <w:t>4</w:t>
            </w:r>
          </w:p>
        </w:tc>
      </w:tr>
    </w:tbl>
    <w:p>
      <w:pPr>
        <w:pStyle w:val="BodyText"/>
        <w:spacing w:before="82"/>
        <w:ind w:left="760"/>
      </w:pPr>
      <w:r>
        <w:t>（二）</w:t>
      </w:r>
      <w:r>
        <w:rPr>
          <w:spacing w:val="-2"/>
        </w:rPr>
        <w:t>机械设备配置</w:t>
      </w:r>
    </w:p>
    <w:p>
      <w:pPr>
        <w:pStyle w:val="BodyText"/>
        <w:spacing w:before="161"/>
        <w:ind w:left="760"/>
      </w:pPr>
      <w:r>
        <w:rPr>
          <w:spacing w:val="-1"/>
        </w:rPr>
        <w:t>主要施工机械设备配备见下表</w:t>
      </w:r>
    </w:p>
    <w:p>
      <w:pPr>
        <w:pStyle w:val="BodyText"/>
        <w:spacing w:before="1"/>
        <w:rPr>
          <w:sz w:val="6"/>
        </w:rPr>
      </w:pPr>
    </w:p>
    <w:tbl>
      <w:tblPr>
        <w:tblStyle w:val="TableNormal3"/>
        <w:tblW w:w="0" w:type="auto"/>
        <w:jc w:val="left"/>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20"/>
        <w:gridCol w:w="2323"/>
        <w:gridCol w:w="987"/>
        <w:gridCol w:w="1040"/>
        <w:gridCol w:w="2463"/>
        <w:gridCol w:w="903"/>
      </w:tblGrid>
      <w:tr>
        <w:tblPrEx>
          <w:tblW w:w="0" w:type="auto"/>
          <w:jc w:val="left"/>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467"/>
          <w:jc w:val="left"/>
        </w:trPr>
        <w:tc>
          <w:tcPr>
            <w:tcW w:w="920" w:type="dxa"/>
          </w:tcPr>
          <w:p>
            <w:pPr>
              <w:pStyle w:val="TableParagraph"/>
              <w:ind w:left="205" w:right="195"/>
              <w:rPr>
                <w:rFonts w:ascii="仿宋" w:eastAsia="仿宋"/>
                <w:sz w:val="24"/>
              </w:rPr>
            </w:pPr>
            <w:r>
              <w:rPr>
                <w:rFonts w:ascii="仿宋" w:eastAsia="仿宋"/>
                <w:spacing w:val="-5"/>
                <w:sz w:val="24"/>
              </w:rPr>
              <w:t>序号</w:t>
            </w:r>
          </w:p>
        </w:tc>
        <w:tc>
          <w:tcPr>
            <w:tcW w:w="2323" w:type="dxa"/>
          </w:tcPr>
          <w:p>
            <w:pPr>
              <w:pStyle w:val="TableParagraph"/>
              <w:ind w:left="427" w:right="417"/>
              <w:rPr>
                <w:rFonts w:ascii="仿宋" w:eastAsia="仿宋"/>
                <w:sz w:val="24"/>
              </w:rPr>
            </w:pPr>
            <w:r>
              <w:rPr>
                <w:rFonts w:ascii="仿宋" w:eastAsia="仿宋"/>
                <w:spacing w:val="-2"/>
                <w:sz w:val="24"/>
              </w:rPr>
              <w:t>机械设备名称</w:t>
            </w:r>
          </w:p>
        </w:tc>
        <w:tc>
          <w:tcPr>
            <w:tcW w:w="987" w:type="dxa"/>
          </w:tcPr>
          <w:p>
            <w:pPr>
              <w:pStyle w:val="TableParagraph"/>
              <w:ind w:left="238" w:right="229"/>
              <w:rPr>
                <w:rFonts w:ascii="仿宋" w:eastAsia="仿宋"/>
                <w:sz w:val="24"/>
              </w:rPr>
            </w:pPr>
            <w:r>
              <w:rPr>
                <w:rFonts w:ascii="仿宋" w:eastAsia="仿宋"/>
                <w:spacing w:val="-5"/>
                <w:sz w:val="24"/>
              </w:rPr>
              <w:t>数量</w:t>
            </w:r>
          </w:p>
        </w:tc>
        <w:tc>
          <w:tcPr>
            <w:tcW w:w="1040" w:type="dxa"/>
          </w:tcPr>
          <w:p>
            <w:pPr>
              <w:pStyle w:val="TableParagraph"/>
              <w:ind w:left="265" w:right="255"/>
              <w:rPr>
                <w:rFonts w:ascii="仿宋" w:eastAsia="仿宋"/>
                <w:sz w:val="24"/>
              </w:rPr>
            </w:pPr>
            <w:r>
              <w:rPr>
                <w:rFonts w:ascii="仿宋" w:eastAsia="仿宋"/>
                <w:spacing w:val="-5"/>
                <w:sz w:val="24"/>
              </w:rPr>
              <w:t>序号</w:t>
            </w:r>
          </w:p>
        </w:tc>
        <w:tc>
          <w:tcPr>
            <w:tcW w:w="2463" w:type="dxa"/>
          </w:tcPr>
          <w:p>
            <w:pPr>
              <w:pStyle w:val="TableParagraph"/>
              <w:ind w:left="259" w:right="249"/>
              <w:rPr>
                <w:rFonts w:ascii="仿宋" w:eastAsia="仿宋"/>
                <w:sz w:val="24"/>
              </w:rPr>
            </w:pPr>
            <w:r>
              <w:rPr>
                <w:rFonts w:ascii="仿宋" w:eastAsia="仿宋"/>
                <w:spacing w:val="-2"/>
                <w:sz w:val="24"/>
              </w:rPr>
              <w:t>机械设备名称</w:t>
            </w:r>
          </w:p>
        </w:tc>
        <w:tc>
          <w:tcPr>
            <w:tcW w:w="903" w:type="dxa"/>
          </w:tcPr>
          <w:p>
            <w:pPr>
              <w:pStyle w:val="TableParagraph"/>
              <w:ind w:left="196" w:right="187"/>
              <w:rPr>
                <w:rFonts w:ascii="仿宋" w:eastAsia="仿宋"/>
                <w:sz w:val="24"/>
              </w:rPr>
            </w:pPr>
            <w:r>
              <w:rPr>
                <w:rFonts w:ascii="仿宋" w:eastAsia="仿宋"/>
                <w:spacing w:val="-5"/>
                <w:sz w:val="24"/>
              </w:rPr>
              <w:t>数量</w:t>
            </w:r>
          </w:p>
        </w:tc>
      </w:tr>
      <w:tr>
        <w:tblPrEx>
          <w:tblW w:w="0" w:type="auto"/>
          <w:jc w:val="left"/>
          <w:tblInd w:w="120" w:type="dxa"/>
          <w:tblLayout w:type="fixed"/>
          <w:tblCellMar>
            <w:top w:w="0" w:type="dxa"/>
            <w:left w:w="0" w:type="dxa"/>
            <w:bottom w:w="0" w:type="dxa"/>
            <w:right w:w="0" w:type="dxa"/>
          </w:tblCellMar>
          <w:tblLook w:val="01E0"/>
        </w:tblPrEx>
        <w:trPr>
          <w:trHeight w:val="467"/>
          <w:jc w:val="left"/>
        </w:trPr>
        <w:tc>
          <w:tcPr>
            <w:tcW w:w="920" w:type="dxa"/>
          </w:tcPr>
          <w:p>
            <w:pPr>
              <w:pStyle w:val="TableParagraph"/>
              <w:ind w:left="10"/>
              <w:rPr>
                <w:rFonts w:ascii="仿宋"/>
                <w:sz w:val="24"/>
              </w:rPr>
            </w:pPr>
            <w:r>
              <w:rPr>
                <w:rFonts w:ascii="仿宋"/>
                <w:sz w:val="24"/>
              </w:rPr>
              <w:t>1</w:t>
            </w:r>
          </w:p>
        </w:tc>
        <w:tc>
          <w:tcPr>
            <w:tcW w:w="2323" w:type="dxa"/>
          </w:tcPr>
          <w:p>
            <w:pPr>
              <w:pStyle w:val="TableParagraph"/>
              <w:ind w:left="427" w:right="417"/>
              <w:rPr>
                <w:rFonts w:ascii="仿宋" w:eastAsia="仿宋"/>
                <w:sz w:val="24"/>
              </w:rPr>
            </w:pPr>
            <w:r>
              <w:rPr>
                <w:rFonts w:ascii="仿宋" w:eastAsia="仿宋"/>
                <w:sz w:val="24"/>
              </w:rPr>
              <w:t>50</w:t>
            </w:r>
            <w:r>
              <w:rPr>
                <w:rFonts w:ascii="仿宋" w:eastAsia="仿宋"/>
                <w:spacing w:val="-14"/>
                <w:sz w:val="24"/>
              </w:rPr>
              <w:t xml:space="preserve"> 型振捣棒</w:t>
            </w:r>
          </w:p>
        </w:tc>
        <w:tc>
          <w:tcPr>
            <w:tcW w:w="987" w:type="dxa"/>
          </w:tcPr>
          <w:p>
            <w:pPr>
              <w:pStyle w:val="TableParagraph"/>
              <w:ind w:left="9"/>
              <w:rPr>
                <w:rFonts w:ascii="仿宋"/>
                <w:sz w:val="24"/>
              </w:rPr>
            </w:pPr>
            <w:r>
              <w:rPr>
                <w:rFonts w:ascii="仿宋"/>
                <w:sz w:val="24"/>
              </w:rPr>
              <w:t>2</w:t>
            </w:r>
          </w:p>
        </w:tc>
        <w:tc>
          <w:tcPr>
            <w:tcW w:w="1040" w:type="dxa"/>
          </w:tcPr>
          <w:p>
            <w:pPr>
              <w:pStyle w:val="TableParagraph"/>
              <w:ind w:left="10"/>
              <w:rPr>
                <w:rFonts w:ascii="仿宋"/>
                <w:sz w:val="24"/>
              </w:rPr>
            </w:pPr>
            <w:r>
              <w:rPr>
                <w:rFonts w:ascii="仿宋"/>
                <w:sz w:val="24"/>
              </w:rPr>
              <w:t>6</w:t>
            </w:r>
          </w:p>
        </w:tc>
        <w:tc>
          <w:tcPr>
            <w:tcW w:w="2463" w:type="dxa"/>
          </w:tcPr>
          <w:p>
            <w:pPr>
              <w:pStyle w:val="TableParagraph"/>
              <w:ind w:left="259" w:right="249"/>
              <w:rPr>
                <w:rFonts w:ascii="仿宋" w:eastAsia="仿宋"/>
                <w:sz w:val="24"/>
              </w:rPr>
            </w:pPr>
            <w:r>
              <w:rPr>
                <w:rFonts w:ascii="仿宋" w:eastAsia="仿宋"/>
                <w:spacing w:val="-4"/>
                <w:sz w:val="24"/>
              </w:rPr>
              <w:t>装载机</w:t>
            </w:r>
          </w:p>
        </w:tc>
        <w:tc>
          <w:tcPr>
            <w:tcW w:w="903" w:type="dxa"/>
          </w:tcPr>
          <w:p>
            <w:pPr>
              <w:pStyle w:val="TableParagraph"/>
              <w:ind w:left="9"/>
              <w:rPr>
                <w:rFonts w:ascii="仿宋"/>
                <w:sz w:val="24"/>
              </w:rPr>
            </w:pPr>
            <w:r>
              <w:rPr>
                <w:rFonts w:ascii="仿宋"/>
                <w:sz w:val="24"/>
              </w:rPr>
              <w:t>1</w:t>
            </w:r>
          </w:p>
        </w:tc>
      </w:tr>
      <w:tr>
        <w:tblPrEx>
          <w:tblW w:w="0" w:type="auto"/>
          <w:jc w:val="left"/>
          <w:tblInd w:w="120" w:type="dxa"/>
          <w:tblLayout w:type="fixed"/>
          <w:tblCellMar>
            <w:top w:w="0" w:type="dxa"/>
            <w:left w:w="0" w:type="dxa"/>
            <w:bottom w:w="0" w:type="dxa"/>
            <w:right w:w="0" w:type="dxa"/>
          </w:tblCellMar>
          <w:tblLook w:val="01E0"/>
        </w:tblPrEx>
        <w:trPr>
          <w:trHeight w:val="467"/>
          <w:jc w:val="left"/>
        </w:trPr>
        <w:tc>
          <w:tcPr>
            <w:tcW w:w="920" w:type="dxa"/>
          </w:tcPr>
          <w:p>
            <w:pPr>
              <w:pStyle w:val="TableParagraph"/>
              <w:ind w:left="10"/>
              <w:rPr>
                <w:rFonts w:ascii="仿宋"/>
                <w:sz w:val="24"/>
              </w:rPr>
            </w:pPr>
            <w:r>
              <w:rPr>
                <w:rFonts w:ascii="仿宋"/>
                <w:sz w:val="24"/>
              </w:rPr>
              <w:t>2</w:t>
            </w:r>
          </w:p>
        </w:tc>
        <w:tc>
          <w:tcPr>
            <w:tcW w:w="2323" w:type="dxa"/>
          </w:tcPr>
          <w:p>
            <w:pPr>
              <w:pStyle w:val="TableParagraph"/>
              <w:ind w:left="427" w:right="417"/>
              <w:rPr>
                <w:rFonts w:ascii="仿宋" w:eastAsia="仿宋"/>
                <w:sz w:val="24"/>
              </w:rPr>
            </w:pPr>
            <w:r>
              <w:rPr>
                <w:rFonts w:ascii="仿宋" w:eastAsia="仿宋"/>
                <w:sz w:val="24"/>
              </w:rPr>
              <w:t>30KW</w:t>
            </w:r>
            <w:r>
              <w:rPr>
                <w:rFonts w:ascii="仿宋" w:eastAsia="仿宋"/>
                <w:spacing w:val="-18"/>
                <w:sz w:val="24"/>
              </w:rPr>
              <w:t xml:space="preserve"> 发电机</w:t>
            </w:r>
          </w:p>
        </w:tc>
        <w:tc>
          <w:tcPr>
            <w:tcW w:w="987" w:type="dxa"/>
          </w:tcPr>
          <w:p>
            <w:pPr>
              <w:pStyle w:val="TableParagraph"/>
              <w:ind w:left="9"/>
              <w:rPr>
                <w:rFonts w:ascii="仿宋"/>
                <w:sz w:val="24"/>
              </w:rPr>
            </w:pPr>
            <w:r>
              <w:rPr>
                <w:rFonts w:ascii="仿宋"/>
                <w:sz w:val="24"/>
              </w:rPr>
              <w:t>2</w:t>
            </w:r>
          </w:p>
        </w:tc>
        <w:tc>
          <w:tcPr>
            <w:tcW w:w="1040" w:type="dxa"/>
          </w:tcPr>
          <w:p>
            <w:pPr>
              <w:pStyle w:val="TableParagraph"/>
              <w:ind w:left="10"/>
              <w:rPr>
                <w:rFonts w:ascii="仿宋"/>
                <w:sz w:val="24"/>
              </w:rPr>
            </w:pPr>
            <w:r>
              <w:rPr>
                <w:rFonts w:ascii="仿宋"/>
                <w:sz w:val="24"/>
              </w:rPr>
              <w:t>7</w:t>
            </w:r>
          </w:p>
        </w:tc>
        <w:tc>
          <w:tcPr>
            <w:tcW w:w="2463" w:type="dxa"/>
          </w:tcPr>
          <w:p>
            <w:pPr>
              <w:pStyle w:val="TableParagraph"/>
              <w:ind w:left="259" w:right="249"/>
              <w:rPr>
                <w:rFonts w:ascii="仿宋" w:eastAsia="仿宋"/>
                <w:sz w:val="24"/>
              </w:rPr>
            </w:pPr>
            <w:r>
              <w:rPr>
                <w:rFonts w:ascii="仿宋" w:eastAsia="仿宋"/>
                <w:spacing w:val="-2"/>
                <w:sz w:val="24"/>
              </w:rPr>
              <w:t>手推式振动打夯机</w:t>
            </w:r>
          </w:p>
        </w:tc>
        <w:tc>
          <w:tcPr>
            <w:tcW w:w="903" w:type="dxa"/>
          </w:tcPr>
          <w:p>
            <w:pPr>
              <w:pStyle w:val="TableParagraph"/>
              <w:ind w:left="9"/>
              <w:rPr>
                <w:rFonts w:ascii="仿宋"/>
                <w:sz w:val="24"/>
              </w:rPr>
            </w:pPr>
            <w:r>
              <w:rPr>
                <w:rFonts w:ascii="仿宋"/>
                <w:sz w:val="24"/>
              </w:rPr>
              <w:t>2</w:t>
            </w:r>
          </w:p>
        </w:tc>
      </w:tr>
      <w:tr>
        <w:tblPrEx>
          <w:tblW w:w="0" w:type="auto"/>
          <w:jc w:val="left"/>
          <w:tblInd w:w="120" w:type="dxa"/>
          <w:tblLayout w:type="fixed"/>
          <w:tblCellMar>
            <w:top w:w="0" w:type="dxa"/>
            <w:left w:w="0" w:type="dxa"/>
            <w:bottom w:w="0" w:type="dxa"/>
            <w:right w:w="0" w:type="dxa"/>
          </w:tblCellMar>
          <w:tblLook w:val="01E0"/>
        </w:tblPrEx>
        <w:trPr>
          <w:trHeight w:val="468"/>
          <w:jc w:val="left"/>
        </w:trPr>
        <w:tc>
          <w:tcPr>
            <w:tcW w:w="920" w:type="dxa"/>
          </w:tcPr>
          <w:p>
            <w:pPr>
              <w:pStyle w:val="TableParagraph"/>
              <w:ind w:left="10"/>
              <w:rPr>
                <w:rFonts w:ascii="仿宋"/>
                <w:sz w:val="24"/>
              </w:rPr>
            </w:pPr>
            <w:r>
              <w:rPr>
                <w:rFonts w:ascii="仿宋"/>
                <w:sz w:val="24"/>
              </w:rPr>
              <w:t>3</w:t>
            </w:r>
          </w:p>
        </w:tc>
        <w:tc>
          <w:tcPr>
            <w:tcW w:w="2323" w:type="dxa"/>
          </w:tcPr>
          <w:p>
            <w:pPr>
              <w:pStyle w:val="TableParagraph"/>
              <w:ind w:left="427" w:right="417"/>
              <w:rPr>
                <w:rFonts w:ascii="仿宋" w:eastAsia="仿宋"/>
                <w:sz w:val="24"/>
              </w:rPr>
            </w:pPr>
            <w:r>
              <w:rPr>
                <w:rFonts w:ascii="仿宋" w:eastAsia="仿宋"/>
                <w:spacing w:val="-4"/>
                <w:sz w:val="24"/>
              </w:rPr>
              <w:t>平板振</w:t>
            </w:r>
          </w:p>
        </w:tc>
        <w:tc>
          <w:tcPr>
            <w:tcW w:w="987" w:type="dxa"/>
          </w:tcPr>
          <w:p>
            <w:pPr>
              <w:pStyle w:val="TableParagraph"/>
              <w:ind w:left="9"/>
              <w:rPr>
                <w:rFonts w:ascii="仿宋"/>
                <w:sz w:val="24"/>
              </w:rPr>
            </w:pPr>
            <w:r>
              <w:rPr>
                <w:rFonts w:ascii="仿宋"/>
                <w:sz w:val="24"/>
              </w:rPr>
              <w:t>3</w:t>
            </w:r>
          </w:p>
        </w:tc>
        <w:tc>
          <w:tcPr>
            <w:tcW w:w="1040" w:type="dxa"/>
          </w:tcPr>
          <w:p>
            <w:pPr>
              <w:pStyle w:val="TableParagraph"/>
              <w:ind w:left="10"/>
              <w:rPr>
                <w:rFonts w:ascii="仿宋"/>
                <w:sz w:val="24"/>
              </w:rPr>
            </w:pPr>
            <w:r>
              <w:rPr>
                <w:rFonts w:ascii="仿宋"/>
                <w:sz w:val="24"/>
              </w:rPr>
              <w:t>8</w:t>
            </w:r>
          </w:p>
        </w:tc>
        <w:tc>
          <w:tcPr>
            <w:tcW w:w="2463" w:type="dxa"/>
          </w:tcPr>
          <w:p>
            <w:pPr>
              <w:pStyle w:val="TableParagraph"/>
              <w:ind w:left="259" w:right="249"/>
              <w:rPr>
                <w:rFonts w:ascii="仿宋" w:eastAsia="仿宋"/>
                <w:sz w:val="24"/>
              </w:rPr>
            </w:pPr>
            <w:r>
              <w:rPr>
                <w:rFonts w:ascii="仿宋" w:eastAsia="仿宋"/>
                <w:spacing w:val="-4"/>
                <w:sz w:val="24"/>
              </w:rPr>
              <w:t>热熔机</w:t>
            </w:r>
          </w:p>
        </w:tc>
        <w:tc>
          <w:tcPr>
            <w:tcW w:w="903" w:type="dxa"/>
          </w:tcPr>
          <w:p>
            <w:pPr>
              <w:pStyle w:val="TableParagraph"/>
              <w:ind w:left="9"/>
              <w:rPr>
                <w:rFonts w:ascii="仿宋"/>
                <w:sz w:val="24"/>
              </w:rPr>
            </w:pPr>
            <w:r>
              <w:rPr>
                <w:rFonts w:ascii="仿宋"/>
                <w:sz w:val="24"/>
              </w:rPr>
              <w:t>2</w:t>
            </w:r>
          </w:p>
        </w:tc>
      </w:tr>
      <w:tr>
        <w:tblPrEx>
          <w:tblW w:w="0" w:type="auto"/>
          <w:jc w:val="left"/>
          <w:tblInd w:w="120" w:type="dxa"/>
          <w:tblLayout w:type="fixed"/>
          <w:tblCellMar>
            <w:top w:w="0" w:type="dxa"/>
            <w:left w:w="0" w:type="dxa"/>
            <w:bottom w:w="0" w:type="dxa"/>
            <w:right w:w="0" w:type="dxa"/>
          </w:tblCellMar>
          <w:tblLook w:val="01E0"/>
        </w:tblPrEx>
        <w:trPr>
          <w:trHeight w:val="468"/>
          <w:jc w:val="left"/>
        </w:trPr>
        <w:tc>
          <w:tcPr>
            <w:tcW w:w="920" w:type="dxa"/>
          </w:tcPr>
          <w:p>
            <w:pPr>
              <w:pStyle w:val="TableParagraph"/>
              <w:ind w:left="10"/>
              <w:rPr>
                <w:rFonts w:ascii="仿宋"/>
                <w:sz w:val="24"/>
              </w:rPr>
            </w:pPr>
            <w:r>
              <w:rPr>
                <w:rFonts w:ascii="仿宋"/>
                <w:sz w:val="24"/>
              </w:rPr>
              <w:t>4</w:t>
            </w:r>
          </w:p>
        </w:tc>
        <w:tc>
          <w:tcPr>
            <w:tcW w:w="2323" w:type="dxa"/>
          </w:tcPr>
          <w:p>
            <w:pPr>
              <w:pStyle w:val="TableParagraph"/>
              <w:ind w:left="427" w:right="417"/>
              <w:rPr>
                <w:rFonts w:ascii="仿宋" w:eastAsia="仿宋"/>
                <w:sz w:val="24"/>
              </w:rPr>
            </w:pPr>
            <w:r>
              <w:rPr>
                <w:rFonts w:ascii="仿宋" w:eastAsia="仿宋"/>
                <w:spacing w:val="-4"/>
                <w:sz w:val="24"/>
              </w:rPr>
              <w:t>自卸车</w:t>
            </w:r>
          </w:p>
        </w:tc>
        <w:tc>
          <w:tcPr>
            <w:tcW w:w="987" w:type="dxa"/>
          </w:tcPr>
          <w:p>
            <w:pPr>
              <w:pStyle w:val="TableParagraph"/>
              <w:spacing w:before="0"/>
              <w:jc w:val="left"/>
              <w:rPr>
                <w:rFonts w:ascii="Times New Roman"/>
                <w:sz w:val="24"/>
              </w:rPr>
            </w:pPr>
          </w:p>
        </w:tc>
        <w:tc>
          <w:tcPr>
            <w:tcW w:w="1040" w:type="dxa"/>
          </w:tcPr>
          <w:p>
            <w:pPr>
              <w:pStyle w:val="TableParagraph"/>
              <w:spacing w:before="0"/>
              <w:jc w:val="left"/>
              <w:rPr>
                <w:rFonts w:ascii="Times New Roman"/>
                <w:sz w:val="24"/>
              </w:rPr>
            </w:pPr>
          </w:p>
        </w:tc>
        <w:tc>
          <w:tcPr>
            <w:tcW w:w="2463" w:type="dxa"/>
          </w:tcPr>
          <w:p>
            <w:pPr>
              <w:pStyle w:val="TableParagraph"/>
              <w:spacing w:before="0"/>
              <w:jc w:val="left"/>
              <w:rPr>
                <w:rFonts w:ascii="Times New Roman"/>
                <w:sz w:val="24"/>
              </w:rPr>
            </w:pPr>
          </w:p>
        </w:tc>
        <w:tc>
          <w:tcPr>
            <w:tcW w:w="903" w:type="dxa"/>
          </w:tcPr>
          <w:p>
            <w:pPr>
              <w:pStyle w:val="TableParagraph"/>
              <w:spacing w:before="0"/>
              <w:jc w:val="left"/>
              <w:rPr>
                <w:rFonts w:ascii="Times New Roman"/>
                <w:sz w:val="24"/>
              </w:rPr>
            </w:pPr>
          </w:p>
        </w:tc>
      </w:tr>
      <w:tr>
        <w:tblPrEx>
          <w:tblW w:w="0" w:type="auto"/>
          <w:jc w:val="left"/>
          <w:tblInd w:w="120" w:type="dxa"/>
          <w:tblLayout w:type="fixed"/>
          <w:tblCellMar>
            <w:top w:w="0" w:type="dxa"/>
            <w:left w:w="0" w:type="dxa"/>
            <w:bottom w:w="0" w:type="dxa"/>
            <w:right w:w="0" w:type="dxa"/>
          </w:tblCellMar>
          <w:tblLook w:val="01E0"/>
        </w:tblPrEx>
        <w:trPr>
          <w:trHeight w:val="467"/>
          <w:jc w:val="left"/>
        </w:trPr>
        <w:tc>
          <w:tcPr>
            <w:tcW w:w="920" w:type="dxa"/>
          </w:tcPr>
          <w:p>
            <w:pPr>
              <w:pStyle w:val="TableParagraph"/>
              <w:ind w:left="10"/>
              <w:rPr>
                <w:rFonts w:ascii="仿宋"/>
                <w:sz w:val="24"/>
              </w:rPr>
            </w:pPr>
            <w:r>
              <w:rPr>
                <w:rFonts w:ascii="仿宋"/>
                <w:sz w:val="24"/>
              </w:rPr>
              <w:t>5</w:t>
            </w:r>
          </w:p>
        </w:tc>
        <w:tc>
          <w:tcPr>
            <w:tcW w:w="2323" w:type="dxa"/>
          </w:tcPr>
          <w:p>
            <w:pPr>
              <w:pStyle w:val="TableParagraph"/>
              <w:ind w:left="426" w:right="417"/>
              <w:rPr>
                <w:rFonts w:ascii="仿宋" w:eastAsia="仿宋"/>
                <w:sz w:val="24"/>
              </w:rPr>
            </w:pPr>
            <w:r>
              <w:rPr>
                <w:rFonts w:ascii="仿宋" w:eastAsia="仿宋"/>
                <w:spacing w:val="-5"/>
                <w:sz w:val="24"/>
              </w:rPr>
              <w:t>挖机</w:t>
            </w:r>
          </w:p>
        </w:tc>
        <w:tc>
          <w:tcPr>
            <w:tcW w:w="987" w:type="dxa"/>
          </w:tcPr>
          <w:p>
            <w:pPr>
              <w:pStyle w:val="TableParagraph"/>
              <w:ind w:left="9"/>
              <w:rPr>
                <w:rFonts w:ascii="仿宋"/>
                <w:sz w:val="24"/>
              </w:rPr>
            </w:pPr>
            <w:r>
              <w:rPr>
                <w:rFonts w:ascii="仿宋"/>
                <w:sz w:val="24"/>
              </w:rPr>
              <w:t>1</w:t>
            </w:r>
          </w:p>
        </w:tc>
        <w:tc>
          <w:tcPr>
            <w:tcW w:w="1040" w:type="dxa"/>
          </w:tcPr>
          <w:p>
            <w:pPr>
              <w:pStyle w:val="TableParagraph"/>
              <w:spacing w:before="0"/>
              <w:jc w:val="left"/>
              <w:rPr>
                <w:rFonts w:ascii="Times New Roman"/>
                <w:sz w:val="24"/>
              </w:rPr>
            </w:pPr>
          </w:p>
        </w:tc>
        <w:tc>
          <w:tcPr>
            <w:tcW w:w="2463" w:type="dxa"/>
          </w:tcPr>
          <w:p>
            <w:pPr>
              <w:pStyle w:val="TableParagraph"/>
              <w:spacing w:before="0"/>
              <w:jc w:val="left"/>
              <w:rPr>
                <w:rFonts w:ascii="Times New Roman"/>
                <w:sz w:val="24"/>
              </w:rPr>
            </w:pPr>
          </w:p>
        </w:tc>
        <w:tc>
          <w:tcPr>
            <w:tcW w:w="903" w:type="dxa"/>
          </w:tcPr>
          <w:p>
            <w:pPr>
              <w:pStyle w:val="TableParagraph"/>
              <w:spacing w:before="0"/>
              <w:jc w:val="left"/>
              <w:rPr>
                <w:rFonts w:ascii="Times New Roman"/>
                <w:sz w:val="24"/>
              </w:rPr>
            </w:pPr>
          </w:p>
        </w:tc>
      </w:tr>
    </w:tbl>
    <w:p>
      <w:pPr>
        <w:pStyle w:val="BodyText"/>
        <w:spacing w:before="87"/>
        <w:ind w:left="760"/>
      </w:pPr>
      <w:r>
        <w:rPr>
          <w:spacing w:val="-1"/>
        </w:rPr>
        <w:t>主要测量及实验设备配置表</w:t>
      </w:r>
    </w:p>
    <w:p>
      <w:pPr>
        <w:pStyle w:val="BodyText"/>
        <w:spacing w:before="1"/>
        <w:rPr>
          <w:sz w:val="6"/>
        </w:rPr>
      </w:pPr>
    </w:p>
    <w:tbl>
      <w:tblPr>
        <w:tblStyle w:val="TableNormal3"/>
        <w:tblW w:w="0" w:type="auto"/>
        <w:jc w:val="left"/>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20"/>
        <w:gridCol w:w="2323"/>
        <w:gridCol w:w="1885"/>
        <w:gridCol w:w="1136"/>
        <w:gridCol w:w="1469"/>
        <w:gridCol w:w="903"/>
      </w:tblGrid>
      <w:tr>
        <w:tblPrEx>
          <w:tblW w:w="0" w:type="auto"/>
          <w:jc w:val="left"/>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492"/>
          <w:jc w:val="left"/>
        </w:trPr>
        <w:tc>
          <w:tcPr>
            <w:tcW w:w="920" w:type="dxa"/>
          </w:tcPr>
          <w:p>
            <w:pPr>
              <w:pStyle w:val="TableParagraph"/>
              <w:spacing w:before="94"/>
              <w:ind w:left="205" w:right="195"/>
              <w:rPr>
                <w:rFonts w:ascii="仿宋" w:eastAsia="仿宋"/>
                <w:sz w:val="24"/>
              </w:rPr>
            </w:pPr>
            <w:r>
              <w:rPr>
                <w:rFonts w:ascii="仿宋" w:eastAsia="仿宋"/>
                <w:spacing w:val="-5"/>
                <w:sz w:val="24"/>
              </w:rPr>
              <w:t>序号</w:t>
            </w:r>
          </w:p>
        </w:tc>
        <w:tc>
          <w:tcPr>
            <w:tcW w:w="2323" w:type="dxa"/>
          </w:tcPr>
          <w:p>
            <w:pPr>
              <w:pStyle w:val="TableParagraph"/>
              <w:spacing w:before="94"/>
              <w:ind w:left="427" w:right="417"/>
              <w:rPr>
                <w:rFonts w:ascii="仿宋" w:eastAsia="仿宋"/>
                <w:sz w:val="24"/>
              </w:rPr>
            </w:pPr>
            <w:r>
              <w:rPr>
                <w:rFonts w:ascii="仿宋" w:eastAsia="仿宋"/>
                <w:spacing w:val="-2"/>
                <w:sz w:val="24"/>
              </w:rPr>
              <w:t>仪器设备名称</w:t>
            </w:r>
          </w:p>
        </w:tc>
        <w:tc>
          <w:tcPr>
            <w:tcW w:w="1885" w:type="dxa"/>
          </w:tcPr>
          <w:p>
            <w:pPr>
              <w:pStyle w:val="TableParagraph"/>
              <w:spacing w:before="94"/>
              <w:ind w:left="391" w:right="382"/>
              <w:rPr>
                <w:rFonts w:ascii="仿宋" w:eastAsia="仿宋"/>
                <w:sz w:val="24"/>
              </w:rPr>
            </w:pPr>
            <w:r>
              <w:rPr>
                <w:rFonts w:ascii="仿宋" w:eastAsia="仿宋"/>
                <w:spacing w:val="-5"/>
                <w:sz w:val="24"/>
              </w:rPr>
              <w:t>规格</w:t>
            </w:r>
          </w:p>
        </w:tc>
        <w:tc>
          <w:tcPr>
            <w:tcW w:w="1136" w:type="dxa"/>
          </w:tcPr>
          <w:p>
            <w:pPr>
              <w:pStyle w:val="TableParagraph"/>
              <w:spacing w:before="94"/>
              <w:ind w:left="312" w:right="303"/>
              <w:rPr>
                <w:rFonts w:ascii="仿宋" w:eastAsia="仿宋"/>
                <w:sz w:val="24"/>
              </w:rPr>
            </w:pPr>
            <w:r>
              <w:rPr>
                <w:rFonts w:ascii="仿宋" w:eastAsia="仿宋"/>
                <w:spacing w:val="-5"/>
                <w:sz w:val="24"/>
              </w:rPr>
              <w:t>单位</w:t>
            </w:r>
          </w:p>
        </w:tc>
        <w:tc>
          <w:tcPr>
            <w:tcW w:w="1469" w:type="dxa"/>
          </w:tcPr>
          <w:p>
            <w:pPr>
              <w:pStyle w:val="TableParagraph"/>
              <w:spacing w:before="94"/>
              <w:ind w:left="479" w:right="469"/>
              <w:rPr>
                <w:rFonts w:ascii="仿宋" w:eastAsia="仿宋"/>
                <w:sz w:val="24"/>
              </w:rPr>
            </w:pPr>
            <w:r>
              <w:rPr>
                <w:rFonts w:ascii="仿宋" w:eastAsia="仿宋"/>
                <w:spacing w:val="-5"/>
                <w:sz w:val="24"/>
              </w:rPr>
              <w:t>数量</w:t>
            </w:r>
          </w:p>
        </w:tc>
        <w:tc>
          <w:tcPr>
            <w:tcW w:w="903" w:type="dxa"/>
          </w:tcPr>
          <w:p>
            <w:pPr>
              <w:pStyle w:val="TableParagraph"/>
              <w:spacing w:before="94"/>
              <w:ind w:right="199"/>
              <w:jc w:val="right"/>
              <w:rPr>
                <w:rFonts w:ascii="仿宋" w:eastAsia="仿宋"/>
                <w:sz w:val="24"/>
              </w:rPr>
            </w:pPr>
            <w:r>
              <w:rPr>
                <w:rFonts w:ascii="仿宋" w:eastAsia="仿宋"/>
                <w:spacing w:val="-5"/>
                <w:sz w:val="24"/>
              </w:rPr>
              <w:t>备注</w:t>
            </w:r>
          </w:p>
        </w:tc>
      </w:tr>
      <w:tr>
        <w:tblPrEx>
          <w:tblW w:w="0" w:type="auto"/>
          <w:jc w:val="left"/>
          <w:tblInd w:w="120" w:type="dxa"/>
          <w:tblLayout w:type="fixed"/>
          <w:tblCellMar>
            <w:top w:w="0" w:type="dxa"/>
            <w:left w:w="0" w:type="dxa"/>
            <w:bottom w:w="0" w:type="dxa"/>
            <w:right w:w="0" w:type="dxa"/>
          </w:tblCellMar>
          <w:tblLook w:val="01E0"/>
        </w:tblPrEx>
        <w:trPr>
          <w:trHeight w:val="492"/>
          <w:jc w:val="left"/>
        </w:trPr>
        <w:tc>
          <w:tcPr>
            <w:tcW w:w="920" w:type="dxa"/>
          </w:tcPr>
          <w:p>
            <w:pPr>
              <w:pStyle w:val="TableParagraph"/>
              <w:spacing w:before="94"/>
              <w:ind w:left="10"/>
              <w:rPr>
                <w:rFonts w:ascii="仿宋"/>
                <w:sz w:val="24"/>
              </w:rPr>
            </w:pPr>
            <w:r>
              <w:rPr>
                <w:rFonts w:ascii="仿宋"/>
                <w:sz w:val="24"/>
              </w:rPr>
              <w:t>1</w:t>
            </w:r>
          </w:p>
        </w:tc>
        <w:tc>
          <w:tcPr>
            <w:tcW w:w="2323" w:type="dxa"/>
          </w:tcPr>
          <w:p>
            <w:pPr>
              <w:pStyle w:val="TableParagraph"/>
              <w:spacing w:before="94"/>
              <w:ind w:left="427" w:right="417"/>
              <w:rPr>
                <w:rFonts w:ascii="仿宋" w:eastAsia="仿宋"/>
                <w:sz w:val="24"/>
              </w:rPr>
            </w:pPr>
            <w:r>
              <w:rPr>
                <w:rFonts w:ascii="仿宋" w:eastAsia="仿宋"/>
                <w:spacing w:val="-4"/>
                <w:sz w:val="24"/>
              </w:rPr>
              <w:t>全站仪</w:t>
            </w:r>
          </w:p>
        </w:tc>
        <w:tc>
          <w:tcPr>
            <w:tcW w:w="1885" w:type="dxa"/>
          </w:tcPr>
          <w:p>
            <w:pPr>
              <w:pStyle w:val="TableParagraph"/>
              <w:spacing w:before="94"/>
              <w:ind w:left="391" w:right="382"/>
              <w:rPr>
                <w:rFonts w:ascii="仿宋"/>
                <w:sz w:val="24"/>
              </w:rPr>
            </w:pPr>
            <w:r>
              <w:rPr>
                <w:rFonts w:ascii="仿宋"/>
                <w:spacing w:val="-2"/>
                <w:sz w:val="24"/>
              </w:rPr>
              <w:t>Leica1201</w:t>
            </w:r>
          </w:p>
        </w:tc>
        <w:tc>
          <w:tcPr>
            <w:tcW w:w="1136" w:type="dxa"/>
          </w:tcPr>
          <w:p>
            <w:pPr>
              <w:pStyle w:val="TableParagraph"/>
              <w:spacing w:before="94"/>
              <w:ind w:left="9"/>
              <w:rPr>
                <w:rFonts w:ascii="仿宋" w:eastAsia="仿宋"/>
                <w:sz w:val="24"/>
              </w:rPr>
            </w:pPr>
            <w:r>
              <w:rPr>
                <w:rFonts w:ascii="仿宋" w:eastAsia="仿宋"/>
                <w:sz w:val="24"/>
              </w:rPr>
              <w:t>台</w:t>
            </w:r>
          </w:p>
        </w:tc>
        <w:tc>
          <w:tcPr>
            <w:tcW w:w="1469" w:type="dxa"/>
          </w:tcPr>
          <w:p>
            <w:pPr>
              <w:pStyle w:val="TableParagraph"/>
              <w:spacing w:before="94"/>
              <w:ind w:left="10"/>
              <w:rPr>
                <w:rFonts w:ascii="仿宋"/>
                <w:sz w:val="24"/>
              </w:rPr>
            </w:pPr>
            <w:r>
              <w:rPr>
                <w:rFonts w:ascii="仿宋"/>
                <w:sz w:val="24"/>
              </w:rPr>
              <w:t>1</w:t>
            </w:r>
          </w:p>
        </w:tc>
        <w:tc>
          <w:tcPr>
            <w:tcW w:w="903" w:type="dxa"/>
          </w:tcPr>
          <w:p>
            <w:pPr>
              <w:pStyle w:val="TableParagraph"/>
              <w:spacing w:before="94"/>
              <w:ind w:right="199"/>
              <w:jc w:val="right"/>
              <w:rPr>
                <w:rFonts w:ascii="仿宋" w:eastAsia="仿宋"/>
                <w:sz w:val="24"/>
              </w:rPr>
            </w:pPr>
            <w:r>
              <w:rPr>
                <w:rFonts w:ascii="仿宋" w:eastAsia="仿宋"/>
                <w:spacing w:val="-5"/>
                <w:sz w:val="24"/>
              </w:rPr>
              <w:t>自购</w:t>
            </w:r>
          </w:p>
        </w:tc>
      </w:tr>
      <w:tr>
        <w:tblPrEx>
          <w:tblW w:w="0" w:type="auto"/>
          <w:jc w:val="left"/>
          <w:tblInd w:w="120" w:type="dxa"/>
          <w:tblLayout w:type="fixed"/>
          <w:tblCellMar>
            <w:top w:w="0" w:type="dxa"/>
            <w:left w:w="0" w:type="dxa"/>
            <w:bottom w:w="0" w:type="dxa"/>
            <w:right w:w="0" w:type="dxa"/>
          </w:tblCellMar>
          <w:tblLook w:val="01E0"/>
        </w:tblPrEx>
        <w:trPr>
          <w:trHeight w:val="492"/>
          <w:jc w:val="left"/>
        </w:trPr>
        <w:tc>
          <w:tcPr>
            <w:tcW w:w="920" w:type="dxa"/>
          </w:tcPr>
          <w:p>
            <w:pPr>
              <w:pStyle w:val="TableParagraph"/>
              <w:spacing w:before="94"/>
              <w:ind w:left="10"/>
              <w:rPr>
                <w:rFonts w:ascii="仿宋"/>
                <w:sz w:val="24"/>
              </w:rPr>
            </w:pPr>
            <w:r>
              <w:rPr>
                <w:rFonts w:ascii="仿宋"/>
                <w:sz w:val="24"/>
              </w:rPr>
              <w:t>2</w:t>
            </w:r>
          </w:p>
        </w:tc>
        <w:tc>
          <w:tcPr>
            <w:tcW w:w="2323" w:type="dxa"/>
          </w:tcPr>
          <w:p>
            <w:pPr>
              <w:pStyle w:val="TableParagraph"/>
              <w:spacing w:before="94"/>
              <w:ind w:left="427" w:right="417"/>
              <w:rPr>
                <w:rFonts w:ascii="仿宋" w:eastAsia="仿宋"/>
                <w:sz w:val="24"/>
              </w:rPr>
            </w:pPr>
            <w:r>
              <w:rPr>
                <w:rFonts w:ascii="仿宋" w:eastAsia="仿宋"/>
                <w:spacing w:val="-4"/>
                <w:sz w:val="24"/>
              </w:rPr>
              <w:t>水准仪</w:t>
            </w:r>
          </w:p>
        </w:tc>
        <w:tc>
          <w:tcPr>
            <w:tcW w:w="1885" w:type="dxa"/>
          </w:tcPr>
          <w:p>
            <w:pPr>
              <w:pStyle w:val="TableParagraph"/>
              <w:spacing w:before="94"/>
              <w:ind w:left="391" w:right="382"/>
              <w:rPr>
                <w:rFonts w:ascii="仿宋"/>
                <w:sz w:val="24"/>
              </w:rPr>
            </w:pPr>
            <w:r>
              <w:rPr>
                <w:rFonts w:ascii="仿宋"/>
                <w:spacing w:val="-4"/>
                <w:sz w:val="24"/>
              </w:rPr>
              <w:t>DSZ3</w:t>
            </w:r>
          </w:p>
        </w:tc>
        <w:tc>
          <w:tcPr>
            <w:tcW w:w="1136" w:type="dxa"/>
          </w:tcPr>
          <w:p>
            <w:pPr>
              <w:pStyle w:val="TableParagraph"/>
              <w:spacing w:before="94"/>
              <w:ind w:left="9"/>
              <w:rPr>
                <w:rFonts w:ascii="仿宋" w:eastAsia="仿宋"/>
                <w:sz w:val="24"/>
              </w:rPr>
            </w:pPr>
            <w:r>
              <w:rPr>
                <w:rFonts w:ascii="仿宋" w:eastAsia="仿宋"/>
                <w:sz w:val="24"/>
              </w:rPr>
              <w:t>台</w:t>
            </w:r>
          </w:p>
        </w:tc>
        <w:tc>
          <w:tcPr>
            <w:tcW w:w="1469" w:type="dxa"/>
          </w:tcPr>
          <w:p>
            <w:pPr>
              <w:pStyle w:val="TableParagraph"/>
              <w:spacing w:before="94"/>
              <w:ind w:left="10"/>
              <w:rPr>
                <w:rFonts w:ascii="仿宋"/>
                <w:sz w:val="24"/>
              </w:rPr>
            </w:pPr>
            <w:r>
              <w:rPr>
                <w:rFonts w:ascii="仿宋"/>
                <w:sz w:val="24"/>
              </w:rPr>
              <w:t>2</w:t>
            </w:r>
          </w:p>
        </w:tc>
        <w:tc>
          <w:tcPr>
            <w:tcW w:w="903" w:type="dxa"/>
          </w:tcPr>
          <w:p>
            <w:pPr>
              <w:pStyle w:val="TableParagraph"/>
              <w:spacing w:before="94"/>
              <w:ind w:right="199"/>
              <w:jc w:val="right"/>
              <w:rPr>
                <w:rFonts w:ascii="仿宋" w:eastAsia="仿宋"/>
                <w:sz w:val="24"/>
              </w:rPr>
            </w:pPr>
            <w:r>
              <w:rPr>
                <w:rFonts w:ascii="仿宋" w:eastAsia="仿宋"/>
                <w:spacing w:val="-5"/>
                <w:sz w:val="24"/>
              </w:rPr>
              <w:t>自购</w:t>
            </w:r>
          </w:p>
        </w:tc>
      </w:tr>
    </w:tbl>
    <w:p>
      <w:pPr>
        <w:pStyle w:val="BodyText"/>
        <w:spacing w:before="82"/>
        <w:ind w:left="760"/>
      </w:pPr>
      <w:r>
        <w:t>（三）</w:t>
      </w:r>
      <w:r>
        <w:rPr>
          <w:spacing w:val="-2"/>
        </w:rPr>
        <w:t>总体施工方案</w:t>
      </w:r>
    </w:p>
    <w:p>
      <w:pPr>
        <w:pStyle w:val="BodyText"/>
        <w:spacing w:before="161" w:line="364" w:lineRule="auto"/>
        <w:ind w:left="280" w:right="1305" w:firstLine="480"/>
      </w:pPr>
      <w:r>
        <w:rPr>
          <w:spacing w:val="-2"/>
        </w:rPr>
        <w:t>管道均采用开挖施工，管底冲砂0.2m、管顶冲砂0.2m，管顶覆土均</w:t>
      </w:r>
      <w:r>
        <w:rPr>
          <w:spacing w:val="-2"/>
        </w:rPr>
        <w:t>≥0.5m，</w:t>
      </w:r>
      <w:r>
        <w:rPr>
          <w:spacing w:val="-2"/>
        </w:rPr>
        <w:t>穿越道路排水管采用C25混凝土包管加固措施。本工程排水管管径DN400，HDPE</w:t>
      </w:r>
      <w:r>
        <w:rPr>
          <w:spacing w:val="40"/>
        </w:rPr>
        <w:t xml:space="preserve"> </w:t>
      </w:r>
      <w:r>
        <w:t>缠绕增强管采用中粗砂基础。穿越厂门口道路段时采用 360°混凝土包封。</w:t>
      </w:r>
    </w:p>
    <w:p>
      <w:pPr>
        <w:pStyle w:val="BodyText"/>
        <w:spacing w:before="1"/>
        <w:ind w:left="760"/>
      </w:pPr>
      <w:r>
        <w:rPr>
          <w:spacing w:val="-4"/>
        </w:rPr>
        <w:t>检查井均采用MU10水泥砂浆砌筑MU15</w:t>
      </w:r>
      <w:r>
        <w:rPr>
          <w:spacing w:val="-5"/>
        </w:rPr>
        <w:t>砖，井盖采用复合材料，荷载等级采用</w:t>
      </w:r>
    </w:p>
    <w:p>
      <w:pPr>
        <w:pStyle w:val="BodyText"/>
        <w:spacing w:before="161"/>
        <w:ind w:left="280"/>
      </w:pPr>
      <w:r>
        <w:t>D400</w:t>
      </w:r>
      <w:r>
        <w:rPr>
          <w:spacing w:val="-4"/>
        </w:rPr>
        <w:t>级别。</w:t>
      </w:r>
    </w:p>
    <w:p>
      <w:pPr>
        <w:pStyle w:val="BodyText"/>
      </w:pPr>
    </w:p>
    <w:p>
      <w:pPr>
        <w:pStyle w:val="Heading3"/>
        <w:tabs>
          <w:tab w:val="left" w:pos="999"/>
        </w:tabs>
        <w:spacing w:before="164"/>
        <w:rPr>
          <w:rFonts w:ascii="Microsoft JhengHei" w:eastAsia="Microsoft JhengHei"/>
        </w:rPr>
      </w:pPr>
      <w:r>
        <w:rPr>
          <w:rFonts w:ascii="Microsoft JhengHei" w:eastAsia="Microsoft JhengHei"/>
        </w:rPr>
        <w:t>六</w:t>
      </w:r>
      <w:r>
        <w:rPr>
          <w:rFonts w:ascii="Microsoft JhengHei" w:eastAsia="Microsoft JhengHei"/>
          <w:spacing w:val="-10"/>
        </w:rPr>
        <w:t>、</w:t>
      </w:r>
      <w:r>
        <w:rPr>
          <w:rFonts w:ascii="Microsoft JhengHei" w:eastAsia="Microsoft JhengHei"/>
        </w:rPr>
        <w:tab/>
        <w:t>施工方</w:t>
      </w:r>
      <w:r>
        <w:rPr>
          <w:rFonts w:ascii="Microsoft JhengHei" w:eastAsia="Microsoft JhengHei"/>
          <w:spacing w:val="-10"/>
        </w:rPr>
        <w:t>法</w:t>
      </w:r>
    </w:p>
    <w:p>
      <w:pPr>
        <w:spacing w:after="0"/>
        <w:rPr>
          <w:rFonts w:ascii="Microsoft JhengHei" w:eastAsia="Microsoft JhengHei"/>
        </w:rPr>
        <w:sectPr>
          <w:pgSz w:w="11910" w:h="16840"/>
          <w:pgMar w:top="1460" w:right="400" w:bottom="280" w:left="1520" w:header="708" w:footer="708"/>
          <w:pgNumType w:start="6"/>
          <w:cols w:space="708"/>
        </w:sectPr>
      </w:pPr>
    </w:p>
    <w:p>
      <w:pPr>
        <w:pStyle w:val="BodyText"/>
        <w:ind w:left="2663"/>
        <w:rPr>
          <w:rFonts w:ascii="Microsoft JhengHei"/>
          <w:sz w:val="20"/>
        </w:rPr>
      </w:pPr>
      <w:r>
        <w:rPr>
          <w:rFonts w:ascii="Microsoft JhengHei"/>
          <w:sz w:val="20"/>
        </w:rPr>
        <w:drawing>
          <wp:inline distT="0" distB="0" distL="0" distR="0">
            <wp:extent cx="2247900" cy="5953125"/>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xmlns:r="http://schemas.openxmlformats.org/officeDocument/2006/relationships" r:embed="rId4" cstate="print"/>
                    <a:stretch>
                      <a:fillRect/>
                    </a:stretch>
                  </pic:blipFill>
                  <pic:spPr>
                    <a:xfrm>
                      <a:off x="0" y="0"/>
                      <a:ext cx="2247900" cy="5953125"/>
                    </a:xfrm>
                    <a:prstGeom prst="rect">
                      <a:avLst/>
                    </a:prstGeom>
                  </pic:spPr>
                </pic:pic>
              </a:graphicData>
            </a:graphic>
          </wp:inline>
        </w:drawing>
      </w:r>
    </w:p>
    <w:p>
      <w:pPr>
        <w:pStyle w:val="BodyText"/>
        <w:spacing w:before="17"/>
        <w:rPr>
          <w:rFonts w:ascii="Microsoft JhengHei"/>
          <w:b/>
          <w:sz w:val="14"/>
        </w:rPr>
      </w:pPr>
    </w:p>
    <w:p>
      <w:pPr>
        <w:pStyle w:val="BodyText"/>
        <w:spacing w:before="66"/>
        <w:ind w:left="760"/>
      </w:pPr>
      <w:r>
        <w:t>（一）</w:t>
      </w:r>
      <w:r>
        <w:rPr>
          <w:spacing w:val="-3"/>
        </w:rPr>
        <w:t>测量放线</w:t>
      </w:r>
    </w:p>
    <w:p>
      <w:pPr>
        <w:pStyle w:val="ListParagraph"/>
        <w:numPr>
          <w:ilvl w:val="0"/>
          <w:numId w:val="22"/>
        </w:numPr>
        <w:tabs>
          <w:tab w:val="left" w:pos="1361"/>
        </w:tabs>
        <w:spacing w:before="161" w:after="0" w:line="364" w:lineRule="auto"/>
        <w:ind w:left="280" w:right="1278" w:firstLine="480"/>
        <w:jc w:val="left"/>
        <w:rPr>
          <w:sz w:val="24"/>
        </w:rPr>
      </w:pPr>
      <w:r>
        <w:rPr>
          <w:spacing w:val="-2"/>
          <w:sz w:val="24"/>
        </w:rPr>
        <w:t>组织施工技术人员、测量人员和有关人员参加由测量单位、监理单位</w:t>
      </w:r>
      <w:r>
        <w:rPr>
          <w:spacing w:val="-2"/>
          <w:sz w:val="24"/>
        </w:rPr>
        <w:t>、建设单位、设计单位共同开展的现场交桩工作，详细记录线路控制桩、里程、高程、转角角度、临时性水准点、永久性水准点，并与施工图纸相对应。做好现</w:t>
      </w:r>
      <w:r>
        <w:rPr>
          <w:spacing w:val="-2"/>
          <w:sz w:val="24"/>
        </w:rPr>
        <w:t>场地形、水质、地下管线勘察工作，检查验收施工线。</w:t>
      </w:r>
    </w:p>
    <w:p>
      <w:pPr>
        <w:pStyle w:val="ListParagraph"/>
        <w:numPr>
          <w:ilvl w:val="0"/>
          <w:numId w:val="22"/>
        </w:numPr>
        <w:tabs>
          <w:tab w:val="left" w:pos="1361"/>
        </w:tabs>
        <w:spacing w:before="2" w:after="0" w:line="364" w:lineRule="auto"/>
        <w:ind w:left="280" w:right="1305" w:firstLine="480"/>
        <w:jc w:val="left"/>
        <w:rPr>
          <w:sz w:val="24"/>
        </w:rPr>
      </w:pPr>
      <w:r>
        <w:rPr>
          <w:spacing w:val="-2"/>
          <w:sz w:val="24"/>
        </w:rPr>
        <w:t>交桩后，组织相关人员进行复测，复测成果报监理批准后方可使用。</w:t>
      </w:r>
      <w:r>
        <w:rPr>
          <w:spacing w:val="-2"/>
          <w:sz w:val="24"/>
        </w:rPr>
        <w:t>复测的同时应采取措施，保护控制（转角）桩，对已经丢失的桩进行复测补桩。</w:t>
      </w:r>
    </w:p>
    <w:p>
      <w:pPr>
        <w:pStyle w:val="ListParagraph"/>
        <w:numPr>
          <w:ilvl w:val="0"/>
          <w:numId w:val="22"/>
        </w:numPr>
        <w:tabs>
          <w:tab w:val="left" w:pos="1361"/>
        </w:tabs>
        <w:spacing w:before="1" w:after="0" w:line="364" w:lineRule="auto"/>
        <w:ind w:left="280" w:right="1425" w:firstLine="480"/>
        <w:jc w:val="left"/>
        <w:rPr>
          <w:sz w:val="24"/>
        </w:rPr>
      </w:pPr>
      <w:r>
        <w:rPr>
          <w:spacing w:val="-2"/>
          <w:sz w:val="24"/>
        </w:rPr>
        <w:t>组织施工技术人员、测量人员测放各个检查井中心坐标，确定检查井</w:t>
      </w:r>
      <w:r>
        <w:rPr>
          <w:spacing w:val="-4"/>
          <w:sz w:val="24"/>
        </w:rPr>
        <w:t>的位置。</w:t>
      </w:r>
    </w:p>
    <w:p>
      <w:pPr>
        <w:spacing w:after="0" w:line="364" w:lineRule="auto"/>
        <w:jc w:val="left"/>
        <w:rPr>
          <w:sz w:val="24"/>
        </w:rPr>
        <w:sectPr>
          <w:pgSz w:w="11910" w:h="16840"/>
          <w:pgMar w:top="1460" w:right="400" w:bottom="280" w:left="1520" w:header="708" w:footer="708"/>
          <w:pgNumType w:start="7"/>
          <w:cols w:space="708"/>
        </w:sectPr>
      </w:pPr>
    </w:p>
    <w:p>
      <w:pPr>
        <w:pStyle w:val="ListParagraph"/>
        <w:numPr>
          <w:ilvl w:val="0"/>
          <w:numId w:val="22"/>
        </w:numPr>
        <w:tabs>
          <w:tab w:val="left" w:pos="1361"/>
        </w:tabs>
        <w:spacing w:before="44" w:after="0" w:line="364" w:lineRule="auto"/>
        <w:ind w:left="280" w:right="1398" w:firstLine="480"/>
        <w:jc w:val="both"/>
        <w:rPr>
          <w:sz w:val="24"/>
        </w:rPr>
      </w:pPr>
      <w:r>
        <w:rPr>
          <w:spacing w:val="-2"/>
          <w:sz w:val="24"/>
        </w:rPr>
        <w:t>组织管道施工技术人员对测放的检查井中心桩采用与管道轴线等距离</w:t>
      </w:r>
      <w:r>
        <w:rPr>
          <w:spacing w:val="-4"/>
          <w:sz w:val="24"/>
        </w:rPr>
        <w:t>平行移动的方法进行移桩，移桩位于管道轴线的两侧距沟槽边1m的位置，以免沟</w:t>
      </w:r>
      <w:r>
        <w:rPr>
          <w:spacing w:val="-2"/>
          <w:sz w:val="24"/>
        </w:rPr>
        <w:t>槽开挖时将桩位损坏。</w:t>
      </w:r>
    </w:p>
    <w:p>
      <w:pPr>
        <w:pStyle w:val="ListParagraph"/>
        <w:numPr>
          <w:ilvl w:val="0"/>
          <w:numId w:val="22"/>
        </w:numPr>
        <w:tabs>
          <w:tab w:val="left" w:pos="1361"/>
        </w:tabs>
        <w:spacing w:before="2" w:after="0" w:line="364" w:lineRule="auto"/>
        <w:ind w:left="280" w:right="1278" w:firstLine="480"/>
        <w:jc w:val="left"/>
        <w:rPr>
          <w:sz w:val="24"/>
        </w:rPr>
      </w:pPr>
      <w:r>
        <w:rPr>
          <w:spacing w:val="-2"/>
          <w:sz w:val="24"/>
        </w:rPr>
        <w:t>根据中线控制桩及放坡方案测放沟槽上口开挖线，现场撒白灰线标注</w:t>
      </w:r>
      <w:r>
        <w:rPr>
          <w:spacing w:val="-2"/>
          <w:sz w:val="24"/>
        </w:rPr>
        <w:t>，然后在上口线外侧对称钉设一对高程桩，每对高程桩上钉一对等高的高程钉，高程桩的纵向间距为10m。</w:t>
      </w:r>
    </w:p>
    <w:p>
      <w:pPr>
        <w:pStyle w:val="ListParagraph"/>
        <w:numPr>
          <w:ilvl w:val="0"/>
          <w:numId w:val="22"/>
        </w:numPr>
        <w:tabs>
          <w:tab w:val="left" w:pos="1361"/>
        </w:tabs>
        <w:spacing w:before="1" w:after="0" w:line="364" w:lineRule="auto"/>
        <w:ind w:left="280" w:right="1425" w:firstLine="480"/>
        <w:jc w:val="left"/>
        <w:rPr>
          <w:sz w:val="24"/>
        </w:rPr>
      </w:pPr>
      <w:r>
        <w:rPr>
          <w:spacing w:val="-2"/>
          <w:sz w:val="24"/>
        </w:rPr>
        <w:t>施工测量应实行施工单位复核制、监理单位复测制，填写相关记录，</w:t>
      </w:r>
      <w:r>
        <w:rPr>
          <w:spacing w:val="-2"/>
          <w:sz w:val="24"/>
        </w:rPr>
        <w:t>并符合下列规定：</w:t>
      </w:r>
    </w:p>
    <w:p>
      <w:pPr>
        <w:pStyle w:val="ListParagraph"/>
        <w:numPr>
          <w:ilvl w:val="0"/>
          <w:numId w:val="21"/>
        </w:numPr>
        <w:tabs>
          <w:tab w:val="left" w:pos="1000"/>
        </w:tabs>
        <w:spacing w:before="2" w:after="0" w:line="364" w:lineRule="auto"/>
        <w:ind w:left="280" w:right="1398" w:firstLine="480"/>
        <w:jc w:val="both"/>
        <w:rPr>
          <w:sz w:val="24"/>
        </w:rPr>
      </w:pPr>
      <w:r>
        <w:rPr>
          <w:spacing w:val="-4"/>
          <w:sz w:val="24"/>
        </w:rPr>
        <w:t>施工前，建设单位应组织有关单位进行现场交桩，施工单位对所交桩进行</w:t>
      </w:r>
      <w:r>
        <w:rPr>
          <w:spacing w:val="-4"/>
          <w:sz w:val="24"/>
        </w:rPr>
        <w:t>复核测量；原测桩有遗失或变位时，应及时补钉桩校正，并应经相应的技术质量</w:t>
      </w:r>
      <w:r>
        <w:rPr>
          <w:spacing w:val="-2"/>
          <w:sz w:val="24"/>
        </w:rPr>
        <w:t>管理部门和人员认定；</w:t>
      </w:r>
    </w:p>
    <w:p>
      <w:pPr>
        <w:pStyle w:val="ListParagraph"/>
        <w:numPr>
          <w:ilvl w:val="0"/>
          <w:numId w:val="21"/>
        </w:numPr>
        <w:tabs>
          <w:tab w:val="left" w:pos="1000"/>
        </w:tabs>
        <w:spacing w:before="1" w:after="0" w:line="364" w:lineRule="auto"/>
        <w:ind w:left="280" w:right="1185" w:firstLine="480"/>
        <w:jc w:val="left"/>
        <w:rPr>
          <w:sz w:val="24"/>
        </w:rPr>
      </w:pPr>
      <w:r>
        <w:rPr>
          <w:spacing w:val="-8"/>
          <w:sz w:val="24"/>
        </w:rPr>
        <w:t>临时水准点和管道轴线控制桩的设置应便于观测、不易被扰动且必须牢固，</w:t>
      </w:r>
      <w:r>
        <w:rPr>
          <w:sz w:val="24"/>
        </w:rPr>
        <w:t>并应采取保护措给水排水管道工程施工及验收规范 GB50268-205施；开槽铺设管道的沿线临时水准点，每 200m 不宜少于 1 个；</w:t>
      </w:r>
    </w:p>
    <w:p>
      <w:pPr>
        <w:pStyle w:val="ListParagraph"/>
        <w:numPr>
          <w:ilvl w:val="0"/>
          <w:numId w:val="21"/>
        </w:numPr>
        <w:tabs>
          <w:tab w:val="left" w:pos="1000"/>
        </w:tabs>
        <w:spacing w:before="2" w:after="0" w:line="364" w:lineRule="auto"/>
        <w:ind w:left="280" w:right="1398" w:firstLine="480"/>
        <w:jc w:val="left"/>
        <w:rPr>
          <w:sz w:val="24"/>
        </w:rPr>
      </w:pPr>
      <w:r>
        <w:rPr>
          <w:spacing w:val="-4"/>
          <w:sz w:val="24"/>
        </w:rPr>
        <w:t>临时水准点、管道轴线控制桩、高程桩，必须经过复核方可使用，并应经</w:t>
      </w:r>
      <w:r>
        <w:rPr>
          <w:spacing w:val="-4"/>
          <w:sz w:val="24"/>
        </w:rPr>
        <w:t>常校核；</w:t>
      </w:r>
    </w:p>
    <w:p>
      <w:pPr>
        <w:pStyle w:val="ListParagraph"/>
        <w:numPr>
          <w:ilvl w:val="0"/>
          <w:numId w:val="21"/>
        </w:numPr>
        <w:tabs>
          <w:tab w:val="left" w:pos="1000"/>
        </w:tabs>
        <w:spacing w:before="1" w:after="0" w:line="364" w:lineRule="auto"/>
        <w:ind w:left="280" w:right="1398" w:firstLine="480"/>
        <w:jc w:val="left"/>
        <w:rPr>
          <w:sz w:val="24"/>
        </w:rPr>
      </w:pPr>
      <w:r>
        <w:rPr>
          <w:spacing w:val="-4"/>
          <w:sz w:val="24"/>
        </w:rPr>
        <w:t>不开槽施工管道，沉管、桥管等工程的临时水准点、管道轴线控制桩，应</w:t>
      </w:r>
      <w:r>
        <w:rPr>
          <w:spacing w:val="-2"/>
          <w:sz w:val="24"/>
        </w:rPr>
        <w:t>根据施工方案进行设置，并及时校核；</w:t>
      </w:r>
    </w:p>
    <w:p>
      <w:pPr>
        <w:pStyle w:val="ListParagraph"/>
        <w:numPr>
          <w:ilvl w:val="0"/>
          <w:numId w:val="21"/>
        </w:numPr>
        <w:tabs>
          <w:tab w:val="left" w:pos="1000"/>
        </w:tabs>
        <w:spacing w:before="2" w:after="0" w:line="364" w:lineRule="auto"/>
        <w:ind w:left="280" w:right="1398" w:firstLine="480"/>
        <w:jc w:val="left"/>
        <w:rPr>
          <w:sz w:val="24"/>
        </w:rPr>
      </w:pPr>
      <w:r>
        <w:rPr>
          <w:spacing w:val="-4"/>
          <w:sz w:val="24"/>
        </w:rPr>
        <w:t>对既有管道、构(建)筑物与拟建工程衔接的平面位置和高程，开工前必须</w:t>
      </w:r>
      <w:r>
        <w:rPr>
          <w:spacing w:val="-4"/>
          <w:sz w:val="24"/>
        </w:rPr>
        <w:t>校测。</w:t>
      </w:r>
    </w:p>
    <w:p>
      <w:pPr>
        <w:pStyle w:val="BodyText"/>
        <w:spacing w:before="12"/>
        <w:rPr>
          <w:sz w:val="3"/>
        </w:rPr>
      </w:pPr>
      <w:r>
        <w:drawing>
          <wp:anchor distT="0" distB="0" distL="0" distR="0" simplePos="0" relativeHeight="251660288" behindDoc="0" locked="0" layoutInCell="1" allowOverlap="1">
            <wp:simplePos x="0" y="0"/>
            <wp:positionH relativeFrom="page">
              <wp:posOffset>1494154</wp:posOffset>
            </wp:positionH>
            <wp:positionV relativeFrom="paragraph">
              <wp:posOffset>47345</wp:posOffset>
            </wp:positionV>
            <wp:extent cx="5763441" cy="1987105"/>
            <wp:effectExtent l="0" t="0" r="0" b="0"/>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jpeg"/>
                    <pic:cNvPicPr/>
                  </pic:nvPicPr>
                  <pic:blipFill>
                    <a:blip xmlns:r="http://schemas.openxmlformats.org/officeDocument/2006/relationships" r:embed="rId5" cstate="print"/>
                    <a:stretch>
                      <a:fillRect/>
                    </a:stretch>
                  </pic:blipFill>
                  <pic:spPr>
                    <a:xfrm>
                      <a:off x="0" y="0"/>
                      <a:ext cx="5763441" cy="1987105"/>
                    </a:xfrm>
                    <a:prstGeom prst="rect">
                      <a:avLst/>
                    </a:prstGeom>
                  </pic:spPr>
                </pic:pic>
              </a:graphicData>
            </a:graphic>
          </wp:anchor>
        </w:drawing>
      </w:r>
    </w:p>
    <w:p>
      <w:pPr>
        <w:pStyle w:val="BodyText"/>
      </w:pPr>
    </w:p>
    <w:p>
      <w:pPr>
        <w:pStyle w:val="BodyText"/>
      </w:pPr>
    </w:p>
    <w:p>
      <w:pPr>
        <w:pStyle w:val="BodyText"/>
        <w:spacing w:before="7"/>
        <w:rPr>
          <w:sz w:val="18"/>
        </w:rPr>
      </w:pPr>
    </w:p>
    <w:p>
      <w:pPr>
        <w:pStyle w:val="BodyText"/>
        <w:ind w:left="760"/>
      </w:pPr>
      <w:r>
        <w:t>（二）</w:t>
      </w:r>
      <w:r>
        <w:rPr>
          <w:spacing w:val="-3"/>
        </w:rPr>
        <w:t>沟槽开挖</w:t>
      </w:r>
    </w:p>
    <w:p>
      <w:pPr>
        <w:spacing w:after="0"/>
        <w:sectPr>
          <w:pgSz w:w="11910" w:h="16840"/>
          <w:pgMar w:top="1460" w:right="400" w:bottom="280" w:left="1520" w:header="708" w:footer="708"/>
          <w:pgNumType w:start="8"/>
          <w:cols w:space="708"/>
        </w:sectPr>
      </w:pPr>
    </w:p>
    <w:p>
      <w:pPr>
        <w:pStyle w:val="BodyText"/>
        <w:spacing w:before="44"/>
        <w:ind w:left="760"/>
      </w:pPr>
      <w:r>
        <w:t>1</w:t>
      </w:r>
      <w:r>
        <w:rPr>
          <w:spacing w:val="-2"/>
        </w:rPr>
        <w:t>、施工降水</w:t>
      </w:r>
    </w:p>
    <w:p>
      <w:pPr>
        <w:pStyle w:val="ListParagraph"/>
        <w:numPr>
          <w:ilvl w:val="0"/>
          <w:numId w:val="20"/>
        </w:numPr>
        <w:tabs>
          <w:tab w:val="left" w:pos="1361"/>
        </w:tabs>
        <w:spacing w:before="160" w:after="0" w:line="364" w:lineRule="auto"/>
        <w:ind w:left="280" w:right="1425" w:firstLine="480"/>
        <w:jc w:val="left"/>
        <w:rPr>
          <w:sz w:val="24"/>
        </w:rPr>
      </w:pPr>
      <w:r>
        <w:rPr>
          <w:spacing w:val="-2"/>
          <w:sz w:val="24"/>
        </w:rPr>
        <w:t>对有地下水影响根据工程规模、工程地质、水文地质、周围环境等要</w:t>
      </w:r>
      <w:r>
        <w:rPr>
          <w:spacing w:val="-2"/>
          <w:sz w:val="24"/>
        </w:rPr>
        <w:t>求，制定施工降排水措施。选择采用深井降水措施；</w:t>
      </w:r>
    </w:p>
    <w:p>
      <w:pPr>
        <w:pStyle w:val="ListParagraph"/>
        <w:numPr>
          <w:ilvl w:val="0"/>
          <w:numId w:val="20"/>
        </w:numPr>
        <w:tabs>
          <w:tab w:val="left" w:pos="1361"/>
        </w:tabs>
        <w:spacing w:before="2" w:after="0" w:line="240" w:lineRule="auto"/>
        <w:ind w:left="1361" w:right="0" w:hanging="601"/>
        <w:jc w:val="left"/>
        <w:rPr>
          <w:sz w:val="24"/>
        </w:rPr>
      </w:pPr>
      <w:r>
        <w:rPr>
          <w:sz w:val="24"/>
        </w:rPr>
        <w:t>设计降水深度在基坑(槽)范围内不应小于基坑(槽)底面以下 0.5m</w:t>
      </w:r>
      <w:r>
        <w:rPr>
          <w:spacing w:val="-10"/>
          <w:sz w:val="24"/>
        </w:rPr>
        <w:t>。</w:t>
      </w:r>
    </w:p>
    <w:p>
      <w:pPr>
        <w:pStyle w:val="ListParagraph"/>
        <w:numPr>
          <w:ilvl w:val="0"/>
          <w:numId w:val="20"/>
        </w:numPr>
        <w:tabs>
          <w:tab w:val="left" w:pos="1361"/>
        </w:tabs>
        <w:spacing w:before="160" w:after="0" w:line="364" w:lineRule="auto"/>
        <w:ind w:left="280" w:right="1425" w:firstLine="480"/>
        <w:jc w:val="left"/>
        <w:rPr>
          <w:sz w:val="24"/>
        </w:rPr>
      </w:pPr>
      <w:r>
        <w:rPr>
          <w:spacing w:val="-2"/>
          <w:sz w:val="24"/>
        </w:rPr>
        <w:t>在沟槽两侧应根据计算确定采用单排降水井，在沟槽端部，降水井外</w:t>
      </w:r>
      <w:r>
        <w:rPr>
          <w:sz w:val="24"/>
        </w:rPr>
        <w:t>延长度应为沟槽宽度的 l～2 倍；</w:t>
      </w:r>
    </w:p>
    <w:p>
      <w:pPr>
        <w:pStyle w:val="ListParagraph"/>
        <w:numPr>
          <w:ilvl w:val="0"/>
          <w:numId w:val="20"/>
        </w:numPr>
        <w:tabs>
          <w:tab w:val="left" w:pos="1361"/>
        </w:tabs>
        <w:spacing w:before="1" w:after="0" w:line="240" w:lineRule="auto"/>
        <w:ind w:left="1361" w:right="0" w:hanging="601"/>
        <w:jc w:val="left"/>
        <w:rPr>
          <w:sz w:val="24"/>
        </w:rPr>
      </w:pPr>
      <w:r>
        <w:rPr>
          <w:spacing w:val="-1"/>
          <w:sz w:val="24"/>
        </w:rPr>
        <w:t>在地下水补给方向可加密，在地下水排泄方向可减少。</w:t>
      </w:r>
    </w:p>
    <w:p>
      <w:pPr>
        <w:pStyle w:val="ListParagraph"/>
        <w:numPr>
          <w:ilvl w:val="0"/>
          <w:numId w:val="20"/>
        </w:numPr>
        <w:tabs>
          <w:tab w:val="left" w:pos="1480"/>
        </w:tabs>
        <w:spacing w:before="161" w:after="0" w:line="240" w:lineRule="auto"/>
        <w:ind w:left="1480" w:right="0" w:hanging="720"/>
        <w:jc w:val="left"/>
        <w:rPr>
          <w:sz w:val="24"/>
        </w:rPr>
      </w:pPr>
      <w:r>
        <w:rPr>
          <w:spacing w:val="-1"/>
          <w:sz w:val="24"/>
        </w:rPr>
        <w:t>降水深度必要时应进行现场抽水试验，以验证并完善降排水方案。</w:t>
      </w:r>
    </w:p>
    <w:p>
      <w:pPr>
        <w:pStyle w:val="ListParagraph"/>
        <w:numPr>
          <w:ilvl w:val="0"/>
          <w:numId w:val="20"/>
        </w:numPr>
        <w:tabs>
          <w:tab w:val="left" w:pos="1480"/>
        </w:tabs>
        <w:spacing w:before="160" w:after="0" w:line="364" w:lineRule="auto"/>
        <w:ind w:left="280" w:right="1398" w:firstLine="480"/>
        <w:jc w:val="left"/>
        <w:rPr>
          <w:sz w:val="24"/>
        </w:rPr>
      </w:pPr>
      <w:r>
        <w:rPr>
          <w:spacing w:val="-4"/>
          <w:sz w:val="24"/>
        </w:rPr>
        <w:t>采取明沟排水施工时，排水井宜布置在沟槽范围以外，其间距不宜大</w:t>
      </w:r>
      <w:r>
        <w:rPr>
          <w:sz w:val="24"/>
        </w:rPr>
        <w:t>于 150m。</w:t>
      </w:r>
    </w:p>
    <w:p>
      <w:pPr>
        <w:pStyle w:val="ListParagraph"/>
        <w:numPr>
          <w:ilvl w:val="0"/>
          <w:numId w:val="20"/>
        </w:numPr>
        <w:tabs>
          <w:tab w:val="left" w:pos="1480"/>
        </w:tabs>
        <w:spacing w:before="1" w:after="0" w:line="364" w:lineRule="auto"/>
        <w:ind w:left="280" w:right="1398" w:firstLine="480"/>
        <w:jc w:val="left"/>
        <w:rPr>
          <w:sz w:val="24"/>
        </w:rPr>
      </w:pPr>
      <w:r>
        <w:rPr>
          <w:spacing w:val="-4"/>
          <w:sz w:val="24"/>
        </w:rPr>
        <w:t>施工降排水终止抽水后，降水井及拔除井点管所留的孔洞，应及时用</w:t>
      </w:r>
      <w:r>
        <w:rPr>
          <w:spacing w:val="-2"/>
          <w:sz w:val="24"/>
        </w:rPr>
        <w:t>砂石等填实；地下水静水位以上部分，可采用黏土填实。</w:t>
      </w:r>
    </w:p>
    <w:p>
      <w:pPr>
        <w:pStyle w:val="BodyText"/>
        <w:spacing w:before="2"/>
        <w:ind w:left="280"/>
      </w:pPr>
      <w:r>
        <w:t>2</w:t>
      </w:r>
      <w:r>
        <w:rPr>
          <w:spacing w:val="-2"/>
        </w:rPr>
        <w:t>、沟槽开挖</w:t>
      </w:r>
    </w:p>
    <w:p>
      <w:pPr>
        <w:pStyle w:val="ListParagraph"/>
        <w:numPr>
          <w:ilvl w:val="0"/>
          <w:numId w:val="19"/>
        </w:numPr>
        <w:tabs>
          <w:tab w:val="left" w:pos="1361"/>
        </w:tabs>
        <w:spacing w:before="160" w:after="0" w:line="364" w:lineRule="auto"/>
        <w:ind w:left="280" w:right="1278" w:firstLine="480"/>
        <w:jc w:val="left"/>
        <w:rPr>
          <w:sz w:val="22"/>
        </w:rPr>
      </w:pPr>
      <w:r>
        <w:rPr>
          <w:spacing w:val="-2"/>
          <w:sz w:val="24"/>
        </w:rPr>
        <w:t>为防止雨水冲刷沟槽坡面，管道施工期间需在沟槽旁设置临时截水沟</w:t>
      </w:r>
      <w:r>
        <w:rPr>
          <w:spacing w:val="-2"/>
          <w:sz w:val="24"/>
        </w:rPr>
        <w:t>。临时截水沟的设置工作在沟槽开挖之前完成。</w:t>
      </w:r>
    </w:p>
    <w:p>
      <w:pPr>
        <w:pStyle w:val="ListParagraph"/>
        <w:numPr>
          <w:ilvl w:val="0"/>
          <w:numId w:val="19"/>
        </w:numPr>
        <w:tabs>
          <w:tab w:val="left" w:pos="1361"/>
        </w:tabs>
        <w:spacing w:before="1" w:after="0" w:line="364" w:lineRule="auto"/>
        <w:ind w:left="280" w:right="1398" w:firstLine="480"/>
        <w:jc w:val="both"/>
        <w:rPr>
          <w:sz w:val="22"/>
        </w:rPr>
      </w:pPr>
      <w:r>
        <w:rPr>
          <w:spacing w:val="-2"/>
          <w:sz w:val="24"/>
        </w:rPr>
        <w:t>沟槽开挖采用人工配合机械开挖，开挖断面采用梯形断面，开挖坡度</w:t>
      </w:r>
      <w:r>
        <w:rPr>
          <w:spacing w:val="-4"/>
          <w:sz w:val="24"/>
        </w:rPr>
        <w:t>为1:0.33—1:0.50，机械开挖时按基底设计高度预留20cm厚的土层，用人工修正</w:t>
      </w:r>
      <w:r>
        <w:rPr>
          <w:spacing w:val="-4"/>
          <w:sz w:val="24"/>
        </w:rPr>
        <w:t>至设计标高，以保证槽底原状土不受扰动。开挖时如遇有管线，必须采用人工开</w:t>
      </w:r>
      <w:r>
        <w:rPr>
          <w:spacing w:val="-2"/>
          <w:sz w:val="24"/>
        </w:rPr>
        <w:t>挖，以免损坏地下管线。</w:t>
      </w:r>
    </w:p>
    <w:p>
      <w:pPr>
        <w:pStyle w:val="BodyText"/>
        <w:spacing w:before="3"/>
        <w:ind w:left="760"/>
      </w:pPr>
      <w:r>
        <w:rPr>
          <w:spacing w:val="-1"/>
        </w:rPr>
        <w:t>沟槽底部的开挖宽度可按下式计算确定；</w:t>
      </w:r>
    </w:p>
    <w:p>
      <w:pPr>
        <w:pStyle w:val="BodyText"/>
        <w:spacing w:before="160"/>
        <w:ind w:left="760"/>
      </w:pPr>
      <w:r>
        <w:t xml:space="preserve">B＝D0＋2(b1＋b2＋b3) </w:t>
      </w:r>
      <w:r>
        <w:rPr>
          <w:spacing w:val="-2"/>
        </w:rPr>
        <w:t>(4.3.2)</w:t>
      </w:r>
    </w:p>
    <w:p>
      <w:pPr>
        <w:pStyle w:val="BodyText"/>
        <w:spacing w:before="161" w:line="364" w:lineRule="auto"/>
        <w:ind w:left="760" w:right="4008"/>
      </w:pPr>
      <w:r>
        <w:rPr>
          <w:spacing w:val="-10"/>
        </w:rPr>
        <w:t xml:space="preserve">式中 </w:t>
      </w:r>
      <w:r>
        <w:t>B——管道沟槽底部的开挖宽度</w:t>
      </w:r>
      <w:r>
        <w:t xml:space="preserve">(mm)； </w:t>
      </w:r>
      <w:r>
        <w:rPr>
          <w:spacing w:val="-2"/>
        </w:rPr>
        <w:t>D0——管外径(mm)；</w:t>
      </w:r>
    </w:p>
    <w:p>
      <w:pPr>
        <w:pStyle w:val="BodyText"/>
        <w:spacing w:before="1" w:line="364" w:lineRule="auto"/>
        <w:ind w:left="760" w:right="2385"/>
      </w:pPr>
      <w:r>
        <w:t xml:space="preserve">b1——管道一侧的工作面宽度(mm)，可按表 4.3.2 选取； b2——有支撑要求时，管道一侧的支撑厚度，可取 </w:t>
      </w:r>
      <w:r>
        <w:t xml:space="preserve">150～200mm； </w:t>
      </w:r>
      <w:r>
        <w:rPr>
          <w:spacing w:val="-2"/>
        </w:rPr>
        <w:t>b3——现场浇筑混凝土或钢筋混凝土管渠一侧模板的厚度(mm)。</w:t>
      </w:r>
    </w:p>
    <w:p>
      <w:pPr>
        <w:spacing w:after="0" w:line="364" w:lineRule="auto"/>
        <w:sectPr>
          <w:pgSz w:w="11910" w:h="16840"/>
          <w:pgMar w:top="1460" w:right="400" w:bottom="280" w:left="1520" w:header="708" w:footer="708"/>
          <w:pgNumType w:start="9"/>
          <w:cols w:space="708"/>
        </w:sectPr>
      </w:pPr>
    </w:p>
    <w:p>
      <w:pPr>
        <w:pStyle w:val="BodyText"/>
        <w:ind w:left="280"/>
        <w:rPr>
          <w:sz w:val="20"/>
        </w:rPr>
      </w:pPr>
      <w:r>
        <w:rPr>
          <w:sz w:val="20"/>
        </w:rPr>
        <w:pict>
          <v:group id="_x0000_i1027" style="width:456pt;height:379.15pt;mso-position-horizontal-relative:char;mso-position-vertical-relative:line" coordorigin="0,0" coordsize="9120,75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width:9120;height:4305;position:absolute" stroked="f">
              <v:imagedata r:id="rId6" o:title=""/>
            </v:shape>
            <v:shape id="_x0000_s1029" type="#_x0000_t75" style="width:8985;height:3240;left:120;position:absolute;top:4342" stroked="f">
              <v:imagedata r:id="rId7" o:title=""/>
            </v:shape>
            <w10:wrap type="none"/>
          </v:group>
        </w:pict>
      </w:r>
    </w:p>
    <w:p>
      <w:pPr>
        <w:pStyle w:val="BodyText"/>
        <w:spacing w:before="12"/>
        <w:rPr>
          <w:sz w:val="18"/>
        </w:rPr>
      </w:pPr>
    </w:p>
    <w:p>
      <w:pPr>
        <w:pStyle w:val="ListParagraph"/>
        <w:numPr>
          <w:ilvl w:val="0"/>
          <w:numId w:val="24"/>
        </w:numPr>
        <w:tabs>
          <w:tab w:val="left" w:pos="1481"/>
        </w:tabs>
        <w:spacing w:before="61" w:after="0" w:line="240" w:lineRule="auto"/>
        <w:ind w:left="1481" w:right="0" w:hanging="641"/>
        <w:jc w:val="left"/>
        <w:rPr>
          <w:rFonts w:ascii="宋体" w:eastAsia="宋体"/>
          <w:sz w:val="26"/>
        </w:rPr>
      </w:pPr>
      <w:r>
        <w:rPr>
          <w:spacing w:val="-1"/>
          <w:sz w:val="24"/>
        </w:rPr>
        <w:t>沟槽开挖时需留设工作面。</w:t>
      </w:r>
    </w:p>
    <w:p>
      <w:pPr>
        <w:pStyle w:val="ListParagraph"/>
        <w:numPr>
          <w:ilvl w:val="0"/>
          <w:numId w:val="24"/>
        </w:numPr>
        <w:tabs>
          <w:tab w:val="left" w:pos="1361"/>
        </w:tabs>
        <w:spacing w:before="212" w:after="0" w:line="364" w:lineRule="auto"/>
        <w:ind w:left="280" w:right="1425" w:firstLine="480"/>
        <w:jc w:val="both"/>
        <w:rPr>
          <w:sz w:val="22"/>
        </w:rPr>
      </w:pPr>
      <w:r>
        <w:rPr>
          <w:spacing w:val="-2"/>
          <w:sz w:val="24"/>
        </w:rPr>
        <w:t>沟槽开挖的土方原则上由自卸车及时运走，当条件不足无法及时运走</w:t>
      </w:r>
      <w:r>
        <w:rPr>
          <w:spacing w:val="-2"/>
          <w:sz w:val="24"/>
        </w:rPr>
        <w:t xml:space="preserve">时，小断面沟槽开挖土方亦可选择就地堆放，堆放高度不得超过 </w:t>
      </w:r>
      <w:r>
        <w:rPr>
          <w:sz w:val="24"/>
        </w:rPr>
        <w:t>1.5m。堆置点</w:t>
      </w:r>
      <w:r>
        <w:rPr>
          <w:spacing w:val="-4"/>
          <w:sz w:val="24"/>
        </w:rPr>
        <w:t xml:space="preserve">离坑边距离不小于 </w:t>
      </w:r>
      <w:r>
        <w:rPr>
          <w:sz w:val="24"/>
        </w:rPr>
        <w:t>2m，以减小沟槽边堆土对沟槽壁侧向土压力，以确保沟槽的</w:t>
      </w:r>
      <w:r>
        <w:rPr>
          <w:spacing w:val="-4"/>
          <w:sz w:val="24"/>
        </w:rPr>
        <w:t>稳定性。</w:t>
      </w:r>
    </w:p>
    <w:p>
      <w:pPr>
        <w:pStyle w:val="ListParagraph"/>
        <w:numPr>
          <w:ilvl w:val="0"/>
          <w:numId w:val="24"/>
        </w:numPr>
        <w:tabs>
          <w:tab w:val="left" w:pos="1361"/>
        </w:tabs>
        <w:spacing w:before="3" w:after="0" w:line="364" w:lineRule="auto"/>
        <w:ind w:left="280" w:right="1425" w:firstLine="480"/>
        <w:jc w:val="left"/>
        <w:rPr>
          <w:sz w:val="22"/>
        </w:rPr>
      </w:pPr>
      <w:r>
        <w:rPr>
          <w:spacing w:val="-2"/>
          <w:sz w:val="24"/>
        </w:rPr>
        <w:t>槽底不得受水浸泡，槽底局部扰动或受水浸泡时，宜采用天然级配砂</w:t>
      </w:r>
      <w:r>
        <w:rPr>
          <w:spacing w:val="-2"/>
          <w:sz w:val="24"/>
        </w:rPr>
        <w:t>砾石或石灰土换填。</w:t>
      </w:r>
    </w:p>
    <w:p>
      <w:pPr>
        <w:pStyle w:val="ListParagraph"/>
        <w:numPr>
          <w:ilvl w:val="0"/>
          <w:numId w:val="24"/>
        </w:numPr>
        <w:tabs>
          <w:tab w:val="left" w:pos="1361"/>
        </w:tabs>
        <w:spacing w:before="1" w:after="0" w:line="364" w:lineRule="auto"/>
        <w:ind w:left="280" w:right="1425" w:firstLine="480"/>
        <w:jc w:val="left"/>
        <w:rPr>
          <w:sz w:val="22"/>
        </w:rPr>
      </w:pPr>
      <w:r>
        <w:rPr>
          <w:spacing w:val="-2"/>
          <w:sz w:val="24"/>
        </w:rPr>
        <w:t>沟槽开挖成型后，对槽底高程、中线每侧宽度、沟槽边坡进行检查，</w:t>
      </w:r>
      <w:r>
        <w:rPr>
          <w:spacing w:val="-2"/>
          <w:sz w:val="24"/>
        </w:rPr>
        <w:t>自检合格后报请监理工程师认可，待监理认可后，进行基础管道施工。</w:t>
      </w:r>
    </w:p>
    <w:p>
      <w:pPr>
        <w:pStyle w:val="BodyText"/>
        <w:spacing w:before="1"/>
        <w:ind w:left="760"/>
      </w:pPr>
      <w:r>
        <w:t>（三）HDPE</w:t>
      </w:r>
      <w:r>
        <w:rPr>
          <w:spacing w:val="-2"/>
        </w:rPr>
        <w:t>缠绕增强管安装</w:t>
      </w:r>
    </w:p>
    <w:p>
      <w:pPr>
        <w:pStyle w:val="BodyText"/>
        <w:spacing w:before="161"/>
        <w:ind w:left="760"/>
      </w:pPr>
      <w:r>
        <w:t>1</w:t>
      </w:r>
      <w:r>
        <w:rPr>
          <w:spacing w:val="-2"/>
        </w:rPr>
        <w:t>、管道基础</w:t>
      </w:r>
    </w:p>
    <w:p>
      <w:pPr>
        <w:pStyle w:val="ListParagraph"/>
        <w:numPr>
          <w:ilvl w:val="0"/>
          <w:numId w:val="18"/>
        </w:numPr>
        <w:tabs>
          <w:tab w:val="left" w:pos="1361"/>
        </w:tabs>
        <w:spacing w:before="160" w:after="0" w:line="240" w:lineRule="auto"/>
        <w:ind w:left="1361" w:right="0" w:hanging="601"/>
        <w:jc w:val="left"/>
        <w:rPr>
          <w:sz w:val="24"/>
        </w:rPr>
      </w:pPr>
      <w:r>
        <w:rPr>
          <w:spacing w:val="-1"/>
          <w:sz w:val="24"/>
        </w:rPr>
        <w:t>基坑开挖至设计标高，复测无误后，经甲方与现场监理工程师验收合</w:t>
      </w:r>
    </w:p>
    <w:p>
      <w:pPr>
        <w:spacing w:after="0" w:line="240" w:lineRule="auto"/>
        <w:jc w:val="left"/>
        <w:rPr>
          <w:sz w:val="24"/>
        </w:rPr>
        <w:sectPr>
          <w:pgSz w:w="11910" w:h="16840"/>
          <w:pgMar w:top="1460" w:right="400" w:bottom="280" w:left="1520" w:header="708" w:footer="708"/>
          <w:pgNumType w:start="10"/>
          <w:cols w:space="708"/>
        </w:sectPr>
      </w:pPr>
    </w:p>
    <w:p>
      <w:pPr>
        <w:pStyle w:val="BodyText"/>
        <w:spacing w:before="44" w:line="364" w:lineRule="auto"/>
        <w:ind w:left="280" w:right="1305"/>
      </w:pPr>
      <w:r>
        <w:drawing>
          <wp:anchor distT="0" distB="0" distL="0" distR="0" simplePos="0" relativeHeight="251661312" behindDoc="0" locked="0" layoutInCell="1" allowOverlap="1">
            <wp:simplePos x="0" y="0"/>
            <wp:positionH relativeFrom="page">
              <wp:posOffset>1466982</wp:posOffset>
            </wp:positionH>
            <wp:positionV relativeFrom="paragraph">
              <wp:posOffset>875791</wp:posOffset>
            </wp:positionV>
            <wp:extent cx="4693414" cy="3669207"/>
            <wp:effectExtent l="0" t="0" r="0" b="0"/>
            <wp:wrapNone/>
            <wp:docPr id="5"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jpeg"/>
                    <pic:cNvPicPr/>
                  </pic:nvPicPr>
                  <pic:blipFill>
                    <a:blip xmlns:r="http://schemas.openxmlformats.org/officeDocument/2006/relationships" r:embed="rId8" cstate="print"/>
                    <a:stretch>
                      <a:fillRect/>
                    </a:stretch>
                  </pic:blipFill>
                  <pic:spPr>
                    <a:xfrm>
                      <a:off x="0" y="0"/>
                      <a:ext cx="4693414" cy="3669207"/>
                    </a:xfrm>
                    <a:prstGeom prst="rect">
                      <a:avLst/>
                    </a:prstGeom>
                  </pic:spPr>
                </pic:pic>
              </a:graphicData>
            </a:graphic>
          </wp:anchor>
        </w:drawing>
      </w:r>
      <w:r>
        <w:rPr>
          <w:spacing w:val="-2"/>
        </w:rPr>
        <w:t>格后方进行基底垫层的施工。管道基础采用砂石垫层基础，其厚度按设计要求。</w:t>
      </w:r>
      <w:r>
        <w:rPr>
          <w:spacing w:val="-2"/>
        </w:rPr>
        <w:t>一般土质较好地段</w:t>
      </w:r>
      <w:r>
        <w:rPr>
          <w:spacing w:val="-19"/>
        </w:rPr>
        <w:t>，槽底需铺一层粗砂垫层</w:t>
      </w:r>
      <w:r>
        <w:rPr>
          <w:spacing w:val="-33"/>
        </w:rPr>
        <w:t>，其厚度为</w:t>
      </w:r>
      <w:r>
        <w:rPr>
          <w:spacing w:val="28"/>
        </w:rPr>
        <w:t>20cm</w:t>
      </w:r>
      <w:r>
        <w:rPr>
          <w:spacing w:val="-33"/>
        </w:rPr>
        <w:t>，其上用</w:t>
      </w:r>
      <w:r>
        <w:rPr>
          <w:spacing w:val="-2"/>
        </w:rPr>
        <w:t>20cm</w:t>
      </w:r>
      <w:r>
        <w:rPr>
          <w:spacing w:val="-42"/>
        </w:rPr>
        <w:t>厚黄砂</w:t>
      </w:r>
      <w:r>
        <w:rPr>
          <w:spacing w:val="-2"/>
        </w:rPr>
        <w:t>（中</w:t>
      </w:r>
      <w:r>
        <w:rPr>
          <w:spacing w:val="-2"/>
        </w:rPr>
        <w:t>粗）垫层整平，基础宽度与槽底同宽。</w:t>
      </w:r>
    </w:p>
    <w:p>
      <w:pPr>
        <w:spacing w:after="0" w:line="364" w:lineRule="auto"/>
        <w:sectPr>
          <w:pgSz w:w="11910" w:h="16840"/>
          <w:pgMar w:top="1460" w:right="400" w:bottom="280" w:left="1520" w:header="708" w:footer="708"/>
          <w:pgNumType w:start="11"/>
          <w:cols w:space="708"/>
        </w:sectPr>
      </w:pPr>
    </w:p>
    <w:p>
      <w:pPr>
        <w:pStyle w:val="BodyText"/>
        <w:ind w:left="790"/>
        <w:rPr>
          <w:sz w:val="20"/>
        </w:rPr>
      </w:pPr>
      <w:r>
        <w:rPr>
          <w:sz w:val="20"/>
        </w:rPr>
        <w:drawing>
          <wp:inline distT="0" distB="0" distL="0" distR="0">
            <wp:extent cx="4666914" cy="3780377"/>
            <wp:effectExtent l="0" t="0" r="0" b="0"/>
            <wp:docPr id="7"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6.jpeg"/>
                    <pic:cNvPicPr/>
                  </pic:nvPicPr>
                  <pic:blipFill>
                    <a:blip xmlns:r="http://schemas.openxmlformats.org/officeDocument/2006/relationships" r:embed="rId9" cstate="print"/>
                    <a:stretch>
                      <a:fillRect/>
                    </a:stretch>
                  </pic:blipFill>
                  <pic:spPr>
                    <a:xfrm>
                      <a:off x="0" y="0"/>
                      <a:ext cx="4666914" cy="3780377"/>
                    </a:xfrm>
                    <a:prstGeom prst="rect">
                      <a:avLst/>
                    </a:prstGeom>
                  </pic:spPr>
                </pic:pic>
              </a:graphicData>
            </a:graphic>
          </wp:inline>
        </w:drawing>
      </w:r>
    </w:p>
    <w:p>
      <w:pPr>
        <w:pStyle w:val="BodyText"/>
        <w:rPr>
          <w:sz w:val="19"/>
        </w:rPr>
      </w:pPr>
    </w:p>
    <w:p>
      <w:pPr>
        <w:pStyle w:val="ListParagraph"/>
        <w:numPr>
          <w:ilvl w:val="0"/>
          <w:numId w:val="18"/>
        </w:numPr>
        <w:tabs>
          <w:tab w:val="left" w:pos="1361"/>
        </w:tabs>
        <w:spacing w:before="66" w:after="0" w:line="364" w:lineRule="auto"/>
        <w:ind w:left="760" w:right="1425" w:firstLine="0"/>
        <w:jc w:val="left"/>
        <w:rPr>
          <w:sz w:val="24"/>
        </w:rPr>
      </w:pPr>
      <w:r>
        <w:rPr>
          <w:spacing w:val="-2"/>
          <w:sz w:val="24"/>
        </w:rPr>
        <w:t>基础夯实紧密，表面平整。管道基础的接口部位应予留凹槽以便接口</w:t>
      </w:r>
      <w:r>
        <w:rPr>
          <w:spacing w:val="-2"/>
          <w:sz w:val="24"/>
        </w:rPr>
        <w:t>操作。接口完成后，随即用相同材料填筑密实。</w:t>
      </w:r>
    </w:p>
    <w:p>
      <w:pPr>
        <w:pStyle w:val="BodyText"/>
        <w:spacing w:before="2"/>
        <w:ind w:left="760"/>
      </w:pPr>
      <w:r>
        <w:t>2</w:t>
      </w:r>
      <w:r>
        <w:rPr>
          <w:spacing w:val="-2"/>
        </w:rPr>
        <w:t>、管道安装</w:t>
      </w:r>
    </w:p>
    <w:p>
      <w:pPr>
        <w:pStyle w:val="ListParagraph"/>
        <w:numPr>
          <w:ilvl w:val="0"/>
          <w:numId w:val="17"/>
        </w:numPr>
        <w:tabs>
          <w:tab w:val="left" w:pos="1361"/>
        </w:tabs>
        <w:spacing w:before="160" w:after="0" w:line="364" w:lineRule="auto"/>
        <w:ind w:left="280" w:right="1425" w:firstLine="480"/>
        <w:jc w:val="left"/>
        <w:rPr>
          <w:sz w:val="24"/>
        </w:rPr>
      </w:pPr>
      <w:r>
        <w:rPr>
          <w:spacing w:val="-2"/>
          <w:sz w:val="24"/>
        </w:rPr>
        <w:t>待用的管材按产品标准逐支进行质量检验，不符合标准不使用，并做</w:t>
      </w:r>
      <w:r>
        <w:rPr>
          <w:spacing w:val="-2"/>
          <w:sz w:val="24"/>
        </w:rPr>
        <w:t>好记号，另行处理。</w:t>
      </w:r>
    </w:p>
    <w:p>
      <w:pPr>
        <w:pStyle w:val="ListParagraph"/>
        <w:numPr>
          <w:ilvl w:val="0"/>
          <w:numId w:val="17"/>
        </w:numPr>
        <w:tabs>
          <w:tab w:val="left" w:pos="1361"/>
        </w:tabs>
        <w:spacing w:before="1" w:after="0" w:line="240" w:lineRule="auto"/>
        <w:ind w:left="1361" w:right="0" w:hanging="601"/>
        <w:jc w:val="left"/>
        <w:rPr>
          <w:sz w:val="24"/>
        </w:rPr>
      </w:pPr>
      <w:r>
        <w:rPr>
          <w:spacing w:val="-1"/>
          <w:sz w:val="24"/>
        </w:rPr>
        <w:t>现场管材由人工搬运，搬运时轻抬轻放。</w:t>
      </w:r>
    </w:p>
    <w:p>
      <w:pPr>
        <w:pStyle w:val="ListParagraph"/>
        <w:numPr>
          <w:ilvl w:val="0"/>
          <w:numId w:val="17"/>
        </w:numPr>
        <w:tabs>
          <w:tab w:val="left" w:pos="1361"/>
        </w:tabs>
        <w:spacing w:before="161" w:after="0" w:line="364" w:lineRule="auto"/>
        <w:ind w:left="280" w:right="1425" w:firstLine="480"/>
        <w:jc w:val="left"/>
        <w:rPr>
          <w:sz w:val="24"/>
        </w:rPr>
      </w:pPr>
      <w:r>
        <w:rPr>
          <w:spacing w:val="-2"/>
          <w:sz w:val="24"/>
        </w:rPr>
        <w:t>下管前，凡规定需进行管道变形检测的断面管材，预先量出该断面管</w:t>
      </w:r>
      <w:r>
        <w:rPr>
          <w:spacing w:val="-2"/>
          <w:sz w:val="24"/>
        </w:rPr>
        <w:t>道的实际直径并做出记号。</w:t>
      </w:r>
    </w:p>
    <w:p>
      <w:pPr>
        <w:pStyle w:val="ListParagraph"/>
        <w:numPr>
          <w:ilvl w:val="0"/>
          <w:numId w:val="17"/>
        </w:numPr>
        <w:tabs>
          <w:tab w:val="left" w:pos="1361"/>
        </w:tabs>
        <w:spacing w:before="1" w:after="0" w:line="364" w:lineRule="auto"/>
        <w:ind w:left="280" w:right="1398" w:firstLine="480"/>
        <w:jc w:val="both"/>
        <w:rPr>
          <w:sz w:val="24"/>
        </w:rPr>
      </w:pPr>
      <w:r>
        <w:rPr>
          <w:spacing w:val="-2"/>
          <w:sz w:val="24"/>
        </w:rPr>
        <w:t>下管用人工或挖机吊装进行。人工下管时，由地面人员将管材传递给</w:t>
      </w:r>
      <w:r>
        <w:rPr>
          <w:spacing w:val="-4"/>
          <w:sz w:val="24"/>
        </w:rPr>
        <w:t>沟槽内的施工人员，对放坡开挖的沟槽也可用非金属绳系住管身两端，保持管身</w:t>
      </w:r>
      <w:r>
        <w:rPr>
          <w:spacing w:val="-2"/>
          <w:sz w:val="24"/>
        </w:rPr>
        <w:t>平衡均匀溜放至沟槽内，严禁将管材由槽顶边滚入槽内。</w:t>
      </w:r>
    </w:p>
    <w:p>
      <w:pPr>
        <w:pStyle w:val="ListParagraph"/>
        <w:numPr>
          <w:ilvl w:val="0"/>
          <w:numId w:val="17"/>
        </w:numPr>
        <w:tabs>
          <w:tab w:val="left" w:pos="1361"/>
        </w:tabs>
        <w:spacing w:before="2" w:after="0" w:line="364" w:lineRule="auto"/>
        <w:ind w:left="280" w:right="1398" w:firstLine="480"/>
        <w:jc w:val="both"/>
        <w:rPr>
          <w:sz w:val="24"/>
        </w:rPr>
      </w:pPr>
      <w:r>
        <w:rPr>
          <w:spacing w:val="-2"/>
          <w:sz w:val="24"/>
        </w:rPr>
        <w:t>管材将插口顺水流方向、承口逆水流方向安装、安装由下游往上游进</w:t>
      </w:r>
      <w:r>
        <w:rPr>
          <w:spacing w:val="-4"/>
          <w:sz w:val="24"/>
        </w:rPr>
        <w:t>行。为防接口合拢时已排设管道轴线位置移动，采用稳管措施。具体方法可在编</w:t>
      </w:r>
      <w:r>
        <w:rPr>
          <w:spacing w:val="-4"/>
          <w:sz w:val="24"/>
        </w:rPr>
        <w:t>织袋内灌满黄砂，封口后压在已排设管道的顶部，其数量视管径大小而异。管道</w:t>
      </w:r>
      <w:r>
        <w:rPr>
          <w:spacing w:val="-2"/>
          <w:sz w:val="24"/>
        </w:rPr>
        <w:t>连接后，复核管道的高程和轴线位置使其符合要求。</w:t>
      </w:r>
    </w:p>
    <w:p>
      <w:pPr>
        <w:pStyle w:val="ListParagraph"/>
        <w:numPr>
          <w:ilvl w:val="0"/>
          <w:numId w:val="17"/>
        </w:numPr>
        <w:tabs>
          <w:tab w:val="left" w:pos="1361"/>
        </w:tabs>
        <w:spacing w:before="2" w:after="0" w:line="240" w:lineRule="auto"/>
        <w:ind w:left="1361" w:right="0" w:hanging="601"/>
        <w:jc w:val="left"/>
        <w:rPr>
          <w:sz w:val="24"/>
        </w:rPr>
      </w:pPr>
      <w:r>
        <w:rPr>
          <w:spacing w:val="-1"/>
          <w:sz w:val="24"/>
        </w:rPr>
        <w:t>管道敷设后，受意外因素发生局部损坏时，应采取补救措施。当损坏</w:t>
      </w:r>
    </w:p>
    <w:p>
      <w:pPr>
        <w:spacing w:after="0" w:line="240" w:lineRule="auto"/>
        <w:jc w:val="left"/>
        <w:rPr>
          <w:sz w:val="24"/>
        </w:rPr>
        <w:sectPr>
          <w:pgSz w:w="11910" w:h="16840"/>
          <w:pgMar w:top="1480" w:right="400" w:bottom="280" w:left="1520" w:header="708" w:footer="708"/>
          <w:pgNumType w:start="12"/>
          <w:cols w:space="708"/>
        </w:sectPr>
      </w:pPr>
    </w:p>
    <w:p>
      <w:pPr>
        <w:pStyle w:val="BodyText"/>
        <w:spacing w:before="44"/>
        <w:ind w:left="280"/>
      </w:pPr>
      <w:r>
        <w:t>部位的长或宽不超过管周长的1/12</w:t>
      </w:r>
      <w:r>
        <w:rPr>
          <w:spacing w:val="-1"/>
        </w:rPr>
        <w:t>时，可采取修补措施。修补方法如下进行：</w:t>
      </w:r>
    </w:p>
    <w:p>
      <w:pPr>
        <w:pStyle w:val="BodyText"/>
        <w:spacing w:before="160" w:line="364" w:lineRule="auto"/>
        <w:ind w:left="280" w:right="1398" w:firstLine="480"/>
        <w:jc w:val="both"/>
      </w:pPr>
      <w:r>
        <w:rPr>
          <w:spacing w:val="-2"/>
        </w:rPr>
        <w:t>①管道的外部发生局部或较小部位裂缝或孔洞在20mm</w:t>
      </w:r>
      <w:r>
        <w:rPr>
          <w:spacing w:val="-14"/>
        </w:rPr>
        <w:t>以内时，先将管内水排</w:t>
      </w:r>
      <w:r>
        <w:rPr>
          <w:spacing w:val="-4"/>
        </w:rPr>
        <w:t>除，用棉纱将损坏部位清理干净，然后用环己酮刷基面后，涂刷耐水性能好的塑</w:t>
      </w:r>
      <w:r>
        <w:rPr>
          <w:spacing w:val="-4"/>
        </w:rPr>
        <w:t>料粘合剂；从新管道相应部位取下相似形状大小的板材，进行粘接，用土工布包</w:t>
      </w:r>
      <w:r>
        <w:rPr>
          <w:spacing w:val="-2"/>
        </w:rPr>
        <w:t>缠固定，固化24小时后即可覆土。</w:t>
      </w:r>
    </w:p>
    <w:p>
      <w:pPr>
        <w:pStyle w:val="BodyText"/>
        <w:spacing w:before="3" w:line="364" w:lineRule="auto"/>
        <w:ind w:left="280" w:right="1425" w:firstLine="480"/>
      </w:pPr>
      <w:r>
        <w:rPr>
          <w:spacing w:val="-2"/>
        </w:rPr>
        <w:t>②管道外壁损坏部位呈现管壁破碎或长10cm以内孔洞时用刮刀将破碎的管</w:t>
      </w:r>
      <w:r>
        <w:rPr>
          <w:spacing w:val="-2"/>
        </w:rPr>
        <w:t>壁或孔洞完全剔除，剔除部位周围5cm以内用环己酮清理干净，刷耐水性能好的</w:t>
      </w:r>
      <w:r>
        <w:rPr>
          <w:spacing w:val="-2"/>
        </w:rPr>
        <w:t>塑料粘合剂；再从相同管材相应部位取下相当损坏面积2倍的弧形板，内壁涂粘</w:t>
      </w:r>
      <w:r>
        <w:rPr>
          <w:spacing w:val="-2"/>
        </w:rPr>
        <w:t>接剂扣贴在损坏部位，用铅丝包扎固定。</w:t>
      </w:r>
    </w:p>
    <w:p>
      <w:pPr>
        <w:pStyle w:val="BodyText"/>
        <w:spacing w:before="2" w:line="364" w:lineRule="auto"/>
        <w:ind w:left="280" w:right="1398" w:firstLine="480"/>
      </w:pPr>
      <w:r>
        <w:rPr>
          <w:spacing w:val="-2"/>
        </w:rPr>
        <w:t>当发生损坏的管段损坏范围长或宽超过管周长的1/12</w:t>
      </w:r>
      <w:r>
        <w:rPr>
          <w:spacing w:val="-14"/>
        </w:rPr>
        <w:t>时，将损坏的管段或整</w:t>
      </w:r>
      <w:r>
        <w:rPr>
          <w:spacing w:val="-2"/>
        </w:rPr>
        <w:t>根更换，重新铺设。</w:t>
      </w:r>
    </w:p>
    <w:p>
      <w:pPr>
        <w:pStyle w:val="BodyText"/>
        <w:spacing w:before="1"/>
        <w:ind w:left="760"/>
      </w:pPr>
      <w:r>
        <w:t>3</w:t>
      </w:r>
      <w:r>
        <w:rPr>
          <w:spacing w:val="-2"/>
        </w:rPr>
        <w:t>、管道接口施工</w:t>
      </w:r>
    </w:p>
    <w:p>
      <w:pPr>
        <w:pStyle w:val="BodyText"/>
        <w:spacing w:before="161" w:line="364" w:lineRule="auto"/>
        <w:ind w:left="280" w:right="1398" w:firstLine="480"/>
        <w:jc w:val="both"/>
      </w:pPr>
      <w:r>
        <w:rPr>
          <w:spacing w:val="-2"/>
        </w:rPr>
        <w:t>本工程HDPE</w:t>
      </w:r>
      <w:r>
        <w:rPr>
          <w:spacing w:val="-9"/>
        </w:rPr>
        <w:t>缠绕增强管接口为配套的橡胶圈。橡胶圈必须安装在管端第二肋</w:t>
      </w:r>
      <w:r>
        <w:rPr>
          <w:spacing w:val="-4"/>
        </w:rPr>
        <w:t>凹槽中，安装时承口内壁以及橡胶圈外圆须涂润滑剂，承插式柔性接口连接宜在</w:t>
      </w:r>
      <w:r>
        <w:t>当日温度较高时进行，插口端不宜插到承口底部，应留出不小于10mm</w:t>
      </w:r>
      <w:r>
        <w:rPr>
          <w:spacing w:val="-3"/>
        </w:rPr>
        <w:t xml:space="preserve"> 的伸缩空</w:t>
      </w:r>
      <w:r>
        <w:rPr>
          <w:spacing w:val="-4"/>
        </w:rPr>
        <w:t>隙，插入前应在插口端外壁做出插入深度标记；插入完毕后，承插口周围空隙均</w:t>
      </w:r>
      <w:r>
        <w:t>匀，连接的管道平直； 具体施工工序如下：</w:t>
      </w:r>
    </w:p>
    <w:p>
      <w:pPr>
        <w:pStyle w:val="ListParagraph"/>
        <w:numPr>
          <w:ilvl w:val="0"/>
          <w:numId w:val="16"/>
        </w:numPr>
        <w:tabs>
          <w:tab w:val="left" w:pos="1480"/>
        </w:tabs>
        <w:spacing w:before="3" w:after="0" w:line="240" w:lineRule="auto"/>
        <w:ind w:left="1480" w:right="0" w:hanging="720"/>
        <w:jc w:val="both"/>
        <w:rPr>
          <w:sz w:val="24"/>
        </w:rPr>
      </w:pPr>
      <w:r>
        <w:rPr>
          <w:spacing w:val="-1"/>
          <w:sz w:val="24"/>
        </w:rPr>
        <w:t>清理管道承口内侧、插口外部凹槽等连接部位和橡胶圈；</w:t>
      </w:r>
    </w:p>
    <w:p>
      <w:pPr>
        <w:pStyle w:val="ListParagraph"/>
        <w:numPr>
          <w:ilvl w:val="0"/>
          <w:numId w:val="16"/>
        </w:numPr>
        <w:tabs>
          <w:tab w:val="left" w:pos="1480"/>
        </w:tabs>
        <w:spacing w:before="160" w:after="0" w:line="364" w:lineRule="auto"/>
        <w:ind w:left="280" w:right="1398" w:firstLine="480"/>
        <w:jc w:val="both"/>
        <w:rPr>
          <w:sz w:val="24"/>
        </w:rPr>
      </w:pPr>
      <w:r>
        <w:rPr>
          <w:spacing w:val="-4"/>
          <w:sz w:val="24"/>
        </w:rPr>
        <w:t>将橡胶圈套入插口上的凹槽内，保证橡胶圈在凹槽内受力均匀、没有</w:t>
      </w:r>
      <w:r>
        <w:rPr>
          <w:spacing w:val="-2"/>
          <w:sz w:val="24"/>
        </w:rPr>
        <w:t>扭曲翻转现象；</w:t>
      </w:r>
    </w:p>
    <w:p>
      <w:pPr>
        <w:pStyle w:val="ListParagraph"/>
        <w:numPr>
          <w:ilvl w:val="0"/>
          <w:numId w:val="16"/>
        </w:numPr>
        <w:tabs>
          <w:tab w:val="left" w:pos="1240"/>
        </w:tabs>
        <w:spacing w:before="2" w:after="0" w:line="240" w:lineRule="auto"/>
        <w:ind w:left="1240" w:right="0" w:hanging="720"/>
        <w:jc w:val="both"/>
        <w:rPr>
          <w:sz w:val="24"/>
        </w:rPr>
      </w:pPr>
      <w:r>
        <w:rPr>
          <w:spacing w:val="-1"/>
          <w:sz w:val="24"/>
        </w:rPr>
        <w:t>用配套的润滑剂涂擦在承口内侧和橡胶圈上，检查涂覆是否完好；</w:t>
      </w:r>
    </w:p>
    <w:p>
      <w:pPr>
        <w:pStyle w:val="ListParagraph"/>
        <w:numPr>
          <w:ilvl w:val="0"/>
          <w:numId w:val="16"/>
        </w:numPr>
        <w:tabs>
          <w:tab w:val="left" w:pos="1480"/>
        </w:tabs>
        <w:spacing w:before="160" w:after="0" w:line="240" w:lineRule="auto"/>
        <w:ind w:left="1480" w:right="0" w:hanging="720"/>
        <w:jc w:val="both"/>
        <w:rPr>
          <w:sz w:val="24"/>
        </w:rPr>
      </w:pPr>
      <w:r>
        <w:rPr>
          <w:spacing w:val="-1"/>
          <w:sz w:val="24"/>
        </w:rPr>
        <w:t>在插口上按要求做好安装标记，以便检查插入是否到位；</w:t>
      </w:r>
    </w:p>
    <w:p>
      <w:pPr>
        <w:pStyle w:val="ListParagraph"/>
        <w:numPr>
          <w:ilvl w:val="0"/>
          <w:numId w:val="16"/>
        </w:numPr>
        <w:tabs>
          <w:tab w:val="left" w:pos="1000"/>
        </w:tabs>
        <w:spacing w:before="161" w:after="0" w:line="240" w:lineRule="auto"/>
        <w:ind w:left="1000" w:right="0" w:hanging="720"/>
        <w:jc w:val="left"/>
        <w:rPr>
          <w:sz w:val="24"/>
        </w:rPr>
      </w:pPr>
      <w:r>
        <w:rPr>
          <w:spacing w:val="-1"/>
          <w:sz w:val="24"/>
        </w:rPr>
        <w:t>接口安装时，将插口一次插入承口内，达到安装标记为止；</w:t>
      </w:r>
    </w:p>
    <w:p>
      <w:pPr>
        <w:pStyle w:val="ListParagraph"/>
        <w:numPr>
          <w:ilvl w:val="0"/>
          <w:numId w:val="16"/>
        </w:numPr>
        <w:tabs>
          <w:tab w:val="left" w:pos="1361"/>
        </w:tabs>
        <w:spacing w:before="160" w:after="0" w:line="240" w:lineRule="auto"/>
        <w:ind w:left="1361" w:right="0" w:hanging="601"/>
        <w:jc w:val="left"/>
        <w:rPr>
          <w:sz w:val="24"/>
        </w:rPr>
      </w:pPr>
      <w:r>
        <w:rPr>
          <w:spacing w:val="-1"/>
          <w:sz w:val="24"/>
        </w:rPr>
        <w:t>安装时接头和管端应保持清洁；</w:t>
      </w:r>
    </w:p>
    <w:p>
      <w:pPr>
        <w:pStyle w:val="BodyText"/>
        <w:spacing w:before="161"/>
        <w:ind w:left="760"/>
      </w:pPr>
      <w:r>
        <w:t>（四）</w:t>
      </w:r>
      <w:r>
        <w:rPr>
          <w:spacing w:val="-2"/>
        </w:rPr>
        <w:t>检查井施工</w:t>
      </w:r>
    </w:p>
    <w:p>
      <w:pPr>
        <w:pStyle w:val="BodyText"/>
        <w:spacing w:before="160" w:line="364" w:lineRule="auto"/>
        <w:ind w:left="280" w:right="1398" w:firstLine="480"/>
      </w:pPr>
      <w:r>
        <w:rPr>
          <w:spacing w:val="-4"/>
        </w:rPr>
        <w:t>本工程检查井共2座，井室和井筒采用模块砖，顶板采用C25钢筋混凝土，流</w:t>
      </w:r>
      <w:r>
        <w:rPr>
          <w:spacing w:val="-2"/>
        </w:rPr>
        <w:t>槽采用C15混凝土浇筑。</w:t>
      </w:r>
    </w:p>
    <w:p>
      <w:pPr>
        <w:pStyle w:val="BodyText"/>
        <w:spacing w:before="1"/>
        <w:ind w:left="760"/>
      </w:pPr>
      <w:r>
        <w:t>1</w:t>
      </w:r>
      <w:r>
        <w:rPr>
          <w:spacing w:val="-2"/>
        </w:rPr>
        <w:t>、砌体工程</w:t>
      </w:r>
    </w:p>
    <w:p>
      <w:pPr>
        <w:pStyle w:val="BodyText"/>
        <w:spacing w:before="161"/>
        <w:ind w:left="760"/>
      </w:pPr>
      <w:r>
        <w:t>流槽采用Mu10混凝土模块砖砌筑，砂浆强度等级为Mb10</w:t>
      </w:r>
      <w:r>
        <w:rPr>
          <w:spacing w:val="-2"/>
        </w:rPr>
        <w:t>砖砌专用水泥砂浆，</w:t>
      </w:r>
    </w:p>
    <w:p>
      <w:pPr>
        <w:spacing w:after="0"/>
        <w:sectPr>
          <w:pgSz w:w="11910" w:h="16840"/>
          <w:pgMar w:top="1460" w:right="400" w:bottom="280" w:left="1520" w:header="708" w:footer="708"/>
          <w:pgNumType w:start="13"/>
          <w:cols w:space="708"/>
        </w:sectPr>
      </w:pPr>
    </w:p>
    <w:p>
      <w:pPr>
        <w:pStyle w:val="BodyText"/>
        <w:spacing w:before="44"/>
        <w:ind w:left="280"/>
      </w:pPr>
      <w:r>
        <w:rPr>
          <w:spacing w:val="-6"/>
        </w:rPr>
        <w:t>灌芯采用Cb25混凝土，勾缝、座浆采用1：2</w:t>
      </w:r>
      <w:r>
        <w:rPr>
          <w:spacing w:val="-7"/>
        </w:rPr>
        <w:t>水泥净浆。保证严密，墙面光洁美观。</w:t>
      </w:r>
    </w:p>
    <w:p>
      <w:pPr>
        <w:pStyle w:val="BodyText"/>
        <w:spacing w:before="160"/>
        <w:ind w:left="760"/>
      </w:pPr>
      <w:r>
        <w:t>2</w:t>
      </w:r>
      <w:r>
        <w:rPr>
          <w:spacing w:val="-2"/>
        </w:rPr>
        <w:t>、检查井周围的回填</w:t>
      </w:r>
    </w:p>
    <w:p>
      <w:pPr>
        <w:pStyle w:val="ListParagraph"/>
        <w:numPr>
          <w:ilvl w:val="0"/>
          <w:numId w:val="15"/>
        </w:numPr>
        <w:tabs>
          <w:tab w:val="left" w:pos="1361"/>
        </w:tabs>
        <w:spacing w:before="161" w:after="0" w:line="364" w:lineRule="auto"/>
        <w:ind w:left="280" w:right="1425" w:firstLine="480"/>
        <w:jc w:val="left"/>
        <w:rPr>
          <w:sz w:val="24"/>
        </w:rPr>
      </w:pPr>
      <w:r>
        <w:rPr>
          <w:spacing w:val="-2"/>
          <w:sz w:val="24"/>
        </w:rPr>
        <w:t>现浇砼水泥砂浆的强度应达到设计规定的强度后方允许回填。严禁与</w:t>
      </w:r>
      <w:r>
        <w:rPr>
          <w:spacing w:val="-2"/>
          <w:sz w:val="24"/>
        </w:rPr>
        <w:t>浇注井体同步回填。</w:t>
      </w:r>
    </w:p>
    <w:p>
      <w:pPr>
        <w:pStyle w:val="ListParagraph"/>
        <w:numPr>
          <w:ilvl w:val="0"/>
          <w:numId w:val="15"/>
        </w:numPr>
        <w:tabs>
          <w:tab w:val="left" w:pos="1361"/>
        </w:tabs>
        <w:spacing w:before="1" w:after="0" w:line="240" w:lineRule="auto"/>
        <w:ind w:left="1361" w:right="0" w:hanging="601"/>
        <w:jc w:val="left"/>
        <w:rPr>
          <w:sz w:val="24"/>
        </w:rPr>
      </w:pPr>
      <w:r>
        <w:rPr>
          <w:spacing w:val="-1"/>
          <w:sz w:val="24"/>
        </w:rPr>
        <w:t>井周的回填材料，均应采用厂拌级配碎石。</w:t>
      </w:r>
    </w:p>
    <w:p>
      <w:pPr>
        <w:pStyle w:val="ListParagraph"/>
        <w:numPr>
          <w:ilvl w:val="0"/>
          <w:numId w:val="15"/>
        </w:numPr>
        <w:tabs>
          <w:tab w:val="left" w:pos="1361"/>
        </w:tabs>
        <w:spacing w:before="161" w:after="0" w:line="240" w:lineRule="auto"/>
        <w:ind w:left="1361" w:right="0" w:hanging="601"/>
        <w:jc w:val="left"/>
        <w:rPr>
          <w:sz w:val="24"/>
        </w:rPr>
      </w:pPr>
      <w:r>
        <w:rPr>
          <w:spacing w:val="-2"/>
          <w:sz w:val="24"/>
        </w:rPr>
        <w:t>压实机具：</w:t>
      </w:r>
    </w:p>
    <w:p>
      <w:pPr>
        <w:pStyle w:val="BodyText"/>
        <w:spacing w:before="160"/>
        <w:ind w:left="760"/>
      </w:pPr>
      <w:r>
        <w:rPr>
          <w:spacing w:val="-1"/>
        </w:rPr>
        <w:t>①按规范配置的压路机具。</w:t>
      </w:r>
    </w:p>
    <w:p>
      <w:pPr>
        <w:pStyle w:val="BodyText"/>
        <w:spacing w:before="161"/>
        <w:ind w:left="760"/>
      </w:pPr>
      <w:r>
        <w:rPr>
          <w:spacing w:val="-1"/>
        </w:rPr>
        <w:t>②独轮手推式压路机。</w:t>
      </w:r>
    </w:p>
    <w:p>
      <w:pPr>
        <w:pStyle w:val="ListParagraph"/>
        <w:numPr>
          <w:ilvl w:val="0"/>
          <w:numId w:val="15"/>
        </w:numPr>
        <w:tabs>
          <w:tab w:val="left" w:pos="1361"/>
        </w:tabs>
        <w:spacing w:before="160" w:after="0" w:line="240" w:lineRule="auto"/>
        <w:ind w:left="1361" w:right="0" w:hanging="601"/>
        <w:jc w:val="left"/>
        <w:rPr>
          <w:sz w:val="24"/>
        </w:rPr>
      </w:pPr>
      <w:r>
        <w:rPr>
          <w:spacing w:val="-3"/>
          <w:sz w:val="24"/>
        </w:rPr>
        <w:t>压实工艺</w:t>
      </w:r>
    </w:p>
    <w:p>
      <w:pPr>
        <w:pStyle w:val="BodyText"/>
        <w:spacing w:before="161" w:line="364" w:lineRule="auto"/>
        <w:ind w:left="280" w:right="1398" w:firstLine="480"/>
      </w:pPr>
      <w:r>
        <w:rPr>
          <w:spacing w:val="-4"/>
        </w:rPr>
        <w:t>①井室周围的回填，应与管道沟槽的回填同时进行，当井室周围的回填与管</w:t>
      </w:r>
      <w:r>
        <w:rPr>
          <w:spacing w:val="-2"/>
        </w:rPr>
        <w:t>道沟槽的回填不便同时进行时，应留台阶形接茬。</w:t>
      </w:r>
    </w:p>
    <w:p>
      <w:pPr>
        <w:pStyle w:val="BodyText"/>
        <w:spacing w:before="1"/>
        <w:ind w:left="760"/>
      </w:pPr>
      <w:r>
        <w:rPr>
          <w:spacing w:val="-1"/>
        </w:rPr>
        <w:t>②井室周围回填压实时应沿井室中心对称进行，且不得漏夯。</w:t>
      </w:r>
    </w:p>
    <w:p>
      <w:pPr>
        <w:pStyle w:val="BodyText"/>
        <w:spacing w:before="160" w:line="364" w:lineRule="auto"/>
        <w:ind w:left="280" w:right="1398" w:firstLine="480"/>
      </w:pPr>
      <w:r>
        <w:rPr>
          <w:spacing w:val="-4"/>
        </w:rPr>
        <w:t>③在进入道路结构层施工时，除采用压路机碾压外，还应采用手推式打夯机</w:t>
      </w:r>
      <w:r>
        <w:rPr>
          <w:spacing w:val="-2"/>
        </w:rPr>
        <w:t>逐层对井周60公分范围内进行补夯，以清除碾压死角。</w:t>
      </w:r>
    </w:p>
    <w:p>
      <w:pPr>
        <w:pStyle w:val="BodyText"/>
        <w:spacing w:before="1"/>
        <w:ind w:left="760"/>
      </w:pPr>
      <w:r>
        <w:t>3</w:t>
      </w:r>
      <w:r>
        <w:rPr>
          <w:spacing w:val="-2"/>
        </w:rPr>
        <w:t>、顶板预制</w:t>
      </w:r>
    </w:p>
    <w:p>
      <w:pPr>
        <w:pStyle w:val="ListParagraph"/>
        <w:numPr>
          <w:ilvl w:val="0"/>
          <w:numId w:val="14"/>
        </w:numPr>
        <w:tabs>
          <w:tab w:val="left" w:pos="1361"/>
        </w:tabs>
        <w:spacing w:before="161" w:after="0" w:line="240" w:lineRule="auto"/>
        <w:ind w:left="1361" w:right="0" w:hanging="601"/>
        <w:jc w:val="left"/>
        <w:rPr>
          <w:sz w:val="24"/>
        </w:rPr>
      </w:pPr>
      <w:r>
        <w:rPr>
          <w:spacing w:val="-2"/>
          <w:sz w:val="24"/>
        </w:rPr>
        <w:t>钢筋工程：</w:t>
      </w:r>
    </w:p>
    <w:p>
      <w:pPr>
        <w:pStyle w:val="BodyText"/>
        <w:spacing w:before="160" w:line="364" w:lineRule="auto"/>
        <w:ind w:left="280" w:right="1397" w:firstLine="480"/>
        <w:jc w:val="both"/>
      </w:pPr>
      <w:r>
        <w:rPr>
          <w:spacing w:val="-2"/>
        </w:rPr>
        <w:t>a、所有进场钢筋应符合设计和规范要求。用于工程的钢筋无节疤，不弯曲</w:t>
      </w:r>
      <w:r>
        <w:rPr>
          <w:spacing w:val="-4"/>
        </w:rPr>
        <w:t>和没有其它破损。钢筋保持清洁，无锈蚀、锈屑、氧化皮、油、泥土、油漆、混</w:t>
      </w:r>
      <w:r>
        <w:rPr>
          <w:spacing w:val="-6"/>
        </w:rPr>
        <w:t>凝土垢及任何可能影响混凝土与钢筋间结合的其它材料。堆放钢筋的场地上方要</w:t>
      </w:r>
      <w:r>
        <w:rPr>
          <w:spacing w:val="-2"/>
        </w:rPr>
        <w:t>遮盖，钢筋放在木板和支墩上，离地净距大于15cm。</w:t>
      </w:r>
    </w:p>
    <w:p>
      <w:pPr>
        <w:pStyle w:val="BodyText"/>
        <w:spacing w:before="3" w:line="364" w:lineRule="auto"/>
        <w:ind w:left="280" w:right="1425" w:firstLine="480"/>
      </w:pPr>
      <w:r>
        <w:rPr>
          <w:spacing w:val="-2"/>
        </w:rPr>
        <w:t>b、保证钢筋保护层的垫块用与现浇混凝土同等强度、颜色和配合比的混凝</w:t>
      </w:r>
      <w:r>
        <w:rPr>
          <w:spacing w:val="-4"/>
        </w:rPr>
        <w:t>土制成。</w:t>
      </w:r>
    </w:p>
    <w:p>
      <w:pPr>
        <w:pStyle w:val="BodyText"/>
        <w:spacing w:before="1" w:line="364" w:lineRule="auto"/>
        <w:ind w:left="280" w:right="1425" w:firstLine="480"/>
        <w:jc w:val="both"/>
      </w:pPr>
      <w:r>
        <w:rPr>
          <w:spacing w:val="-2"/>
        </w:rPr>
        <w:t>c、钢筋的安放应确保位置正确并牢固，保护钢筋位置的支托为同等钢筋或</w:t>
      </w:r>
      <w:r>
        <w:rPr>
          <w:spacing w:val="-2"/>
        </w:rPr>
        <w:t>相适应的其他钢制品。所有钢筋的交叉处均采用20～22#扎丝扎牢，其端头弯入</w:t>
      </w:r>
      <w:r>
        <w:rPr>
          <w:spacing w:val="-2"/>
        </w:rPr>
        <w:t>混凝土中。</w:t>
      </w:r>
    </w:p>
    <w:p>
      <w:pPr>
        <w:pStyle w:val="BodyText"/>
        <w:spacing w:before="2"/>
        <w:ind w:left="760"/>
      </w:pPr>
      <w:r>
        <w:t>d</w:t>
      </w:r>
      <w:r>
        <w:rPr>
          <w:spacing w:val="-1"/>
        </w:rPr>
        <w:t>、按设计规范要求设置吊筋，吊筋应设置在主筋上，位置应准确无误。</w:t>
      </w:r>
    </w:p>
    <w:p>
      <w:pPr>
        <w:pStyle w:val="ListParagraph"/>
        <w:numPr>
          <w:ilvl w:val="0"/>
          <w:numId w:val="14"/>
        </w:numPr>
        <w:tabs>
          <w:tab w:val="left" w:pos="1361"/>
        </w:tabs>
        <w:spacing w:before="160" w:after="0" w:line="240" w:lineRule="auto"/>
        <w:ind w:left="1361" w:right="0" w:hanging="601"/>
        <w:jc w:val="left"/>
        <w:rPr>
          <w:sz w:val="24"/>
        </w:rPr>
      </w:pPr>
      <w:r>
        <w:rPr>
          <w:spacing w:val="-2"/>
          <w:sz w:val="24"/>
        </w:rPr>
        <w:t>、模板工程</w:t>
      </w:r>
    </w:p>
    <w:p>
      <w:pPr>
        <w:pStyle w:val="BodyText"/>
        <w:spacing w:before="161" w:line="364" w:lineRule="auto"/>
        <w:ind w:left="280" w:right="1425" w:firstLine="480"/>
      </w:pPr>
      <w:r>
        <w:rPr>
          <w:spacing w:val="-2"/>
        </w:rPr>
        <w:t>a、所选模板为组合钢模板，由大圆套小圆加支撑组成，模板板面之间应平</w:t>
      </w:r>
      <w:r>
        <w:rPr>
          <w:spacing w:val="-2"/>
        </w:rPr>
        <w:t>整，接缝严密，不漏浆。保证结构物外露面美观，线条流畅。</w:t>
      </w:r>
    </w:p>
    <w:p>
      <w:pPr>
        <w:spacing w:after="0" w:line="364" w:lineRule="auto"/>
        <w:sectPr>
          <w:pgSz w:w="11910" w:h="16840"/>
          <w:pgMar w:top="1460" w:right="400" w:bottom="280" w:left="1520" w:header="708" w:footer="708"/>
          <w:pgNumType w:start="14"/>
          <w:cols w:space="708"/>
        </w:sectPr>
      </w:pPr>
    </w:p>
    <w:p>
      <w:pPr>
        <w:pStyle w:val="BodyText"/>
        <w:spacing w:before="44" w:line="364" w:lineRule="auto"/>
        <w:ind w:left="280" w:right="1425" w:firstLine="480"/>
      </w:pPr>
      <w:r>
        <w:rPr>
          <w:spacing w:val="-2"/>
        </w:rPr>
        <w:t>b、浇筑混凝土之前，模板应涂刷脱模剂。不得使用废机油等旧料，且不得</w:t>
      </w:r>
      <w:r>
        <w:rPr>
          <w:spacing w:val="-2"/>
        </w:rPr>
        <w:t>污染钢筋及混凝土的施工缝处。</w:t>
      </w:r>
    </w:p>
    <w:p>
      <w:pPr>
        <w:pStyle w:val="BodyText"/>
        <w:spacing w:before="1" w:line="364" w:lineRule="auto"/>
        <w:ind w:left="280" w:right="1425" w:firstLine="480"/>
      </w:pPr>
      <w:r>
        <w:rPr>
          <w:spacing w:val="-2"/>
        </w:rPr>
        <w:t>c、重复使用的模板应始终保持表面平整、形状准确、不漏浆、有足够的强</w:t>
      </w:r>
      <w:r>
        <w:rPr>
          <w:spacing w:val="-2"/>
        </w:rPr>
        <w:t>度和刚度。</w:t>
      </w:r>
    </w:p>
    <w:p>
      <w:pPr>
        <w:pStyle w:val="BodyText"/>
        <w:spacing w:before="1" w:line="364" w:lineRule="auto"/>
        <w:ind w:left="280" w:right="1425" w:firstLine="480"/>
      </w:pPr>
      <w:r>
        <w:rPr>
          <w:spacing w:val="-2"/>
        </w:rPr>
        <w:t>d、模板的安装与钢筋安装工作应配合进行，妨碍绑扎钢筋的模板应待钢筋</w:t>
      </w:r>
      <w:r>
        <w:rPr>
          <w:spacing w:val="-2"/>
        </w:rPr>
        <w:t>安装完毕后安设。</w:t>
      </w:r>
    </w:p>
    <w:p>
      <w:pPr>
        <w:pStyle w:val="BodyText"/>
        <w:spacing w:before="1" w:line="364" w:lineRule="auto"/>
        <w:ind w:left="280" w:right="1425" w:firstLine="480"/>
      </w:pPr>
      <w:r>
        <w:rPr>
          <w:spacing w:val="-2"/>
        </w:rPr>
        <w:t>e、模板安装完毕后，应对其位臵、高度、节点联系及纵横向稳定性进行检</w:t>
      </w:r>
      <w:r>
        <w:rPr>
          <w:spacing w:val="-2"/>
        </w:rPr>
        <w:t>查，没有问题后，待质检人员、监理工程师检查签字认可后方可浇筑混凝土。</w:t>
      </w:r>
    </w:p>
    <w:p>
      <w:pPr>
        <w:pStyle w:val="BodyText"/>
        <w:spacing w:before="2" w:line="364" w:lineRule="auto"/>
        <w:ind w:left="280" w:right="1425" w:firstLine="480"/>
      </w:pPr>
      <w:r>
        <w:rPr>
          <w:spacing w:val="-2"/>
        </w:rPr>
        <w:t>f、在浇筑混凝土过程中，若发现模板有超过允许偏差变形值的可能时，应</w:t>
      </w:r>
      <w:r>
        <w:rPr>
          <w:spacing w:val="-2"/>
        </w:rPr>
        <w:t>及时纠正。</w:t>
      </w:r>
    </w:p>
    <w:p>
      <w:pPr>
        <w:pStyle w:val="BodyText"/>
        <w:spacing w:before="1" w:line="364" w:lineRule="auto"/>
        <w:ind w:left="280" w:right="1215" w:firstLine="480"/>
      </w:pPr>
      <w:r>
        <w:t>g、模板的拆除期限应根据结构物特点，模板部位和混凝土所达到的强度来</w:t>
      </w:r>
      <w:r>
        <w:rPr>
          <w:spacing w:val="-10"/>
        </w:rPr>
        <w:t>决定。对于预制钢筋混凝土盖板来说，混凝土强度能保证其表面积棱角不致因拆</w:t>
      </w:r>
      <w:r>
        <w:rPr>
          <w:spacing w:val="-17"/>
        </w:rPr>
        <w:t>模而受损破坏时方可拆模。一般应在混凝土抗压强度达到</w:t>
      </w:r>
      <w:r>
        <w:t>2.5Mpa</w:t>
      </w:r>
      <w:r>
        <w:rPr>
          <w:spacing w:val="-3"/>
        </w:rPr>
        <w:t>时方可拆除侧模。</w:t>
      </w:r>
    </w:p>
    <w:p>
      <w:pPr>
        <w:pStyle w:val="ListParagraph"/>
        <w:numPr>
          <w:ilvl w:val="0"/>
          <w:numId w:val="14"/>
        </w:numPr>
        <w:tabs>
          <w:tab w:val="left" w:pos="1361"/>
        </w:tabs>
        <w:spacing w:before="2" w:after="0" w:line="240" w:lineRule="auto"/>
        <w:ind w:left="1361" w:right="0" w:hanging="601"/>
        <w:jc w:val="left"/>
        <w:rPr>
          <w:sz w:val="24"/>
        </w:rPr>
      </w:pPr>
      <w:r>
        <w:rPr>
          <w:spacing w:val="-2"/>
          <w:sz w:val="24"/>
        </w:rPr>
        <w:t>、混凝土工程</w:t>
      </w:r>
    </w:p>
    <w:p>
      <w:pPr>
        <w:pStyle w:val="BodyText"/>
        <w:spacing w:before="160"/>
        <w:ind w:left="760"/>
      </w:pPr>
      <w:r>
        <w:rPr>
          <w:spacing w:val="-1"/>
        </w:rPr>
        <w:t>混凝土采用商品混凝土，施工要求与注意事项如下：</w:t>
      </w:r>
    </w:p>
    <w:p>
      <w:pPr>
        <w:pStyle w:val="BodyText"/>
        <w:spacing w:before="161" w:line="364" w:lineRule="auto"/>
        <w:ind w:left="280" w:right="1425" w:firstLine="480"/>
      </w:pPr>
      <w:r>
        <w:rPr>
          <w:spacing w:val="-2"/>
        </w:rPr>
        <w:t>a、浇筑前，对支架、模板、钢筋进行检查，模板内的杂物、积水和钢筋上</w:t>
      </w:r>
      <w:r>
        <w:rPr>
          <w:spacing w:val="-2"/>
        </w:rPr>
        <w:t>的污垢清理干净；模板如有缝隙，应填塞严密，模板内面应涂刷脱模剂。</w:t>
      </w:r>
    </w:p>
    <w:p>
      <w:pPr>
        <w:pStyle w:val="BodyText"/>
        <w:spacing w:before="1"/>
        <w:ind w:left="760"/>
      </w:pPr>
      <w:r>
        <w:t>b</w:t>
      </w:r>
      <w:r>
        <w:rPr>
          <w:spacing w:val="-1"/>
        </w:rPr>
        <w:t>、浇注前，检查混凝土的均匀性和坍落度。</w:t>
      </w:r>
    </w:p>
    <w:p>
      <w:pPr>
        <w:pStyle w:val="BodyText"/>
        <w:spacing w:before="160" w:line="364" w:lineRule="auto"/>
        <w:ind w:left="280" w:right="1425" w:firstLine="480"/>
      </w:pPr>
      <w:r>
        <w:rPr>
          <w:spacing w:val="-2"/>
        </w:rPr>
        <w:t>c、浇筑混凝土时，采用插入式振捣棒捣固与平板振动器。振捣应符合下列</w:t>
      </w:r>
      <w:r>
        <w:rPr>
          <w:spacing w:val="-4"/>
        </w:rPr>
        <w:t>规定：</w:t>
      </w:r>
    </w:p>
    <w:p>
      <w:pPr>
        <w:pStyle w:val="BodyText"/>
        <w:spacing w:before="2" w:line="364" w:lineRule="auto"/>
        <w:ind w:left="280" w:right="1425" w:firstLine="480"/>
        <w:jc w:val="both"/>
      </w:pPr>
      <w:r>
        <w:rPr>
          <w:spacing w:val="-2"/>
        </w:rPr>
        <w:t>①、使用插入式振动棒时，移动间距不应超过振捣棒作用半径的1.5倍；与</w:t>
      </w:r>
      <w:r>
        <w:rPr>
          <w:spacing w:val="-2"/>
        </w:rPr>
        <w:t>侧模应保持5～10cm的距离；每一处振捣完毕后边振动边徐徐提出振动棒；避免</w:t>
      </w:r>
      <w:r>
        <w:rPr>
          <w:spacing w:val="-2"/>
        </w:rPr>
        <w:t>振动棒碰撞模板、钢筋。</w:t>
      </w:r>
    </w:p>
    <w:p>
      <w:pPr>
        <w:pStyle w:val="BodyText"/>
        <w:spacing w:before="1" w:line="364" w:lineRule="auto"/>
        <w:ind w:left="280" w:right="1398" w:firstLine="480"/>
      </w:pPr>
      <w:r>
        <w:rPr>
          <w:spacing w:val="-4"/>
        </w:rPr>
        <w:t>②、对每一振动部位，必须振动到该部位混凝土密实为止。密实的标志是混</w:t>
      </w:r>
      <w:r>
        <w:rPr>
          <w:spacing w:val="-2"/>
        </w:rPr>
        <w:t>凝土停止下沉、不再有气泡冒出、表面呈现平坦、泛浆。</w:t>
      </w:r>
    </w:p>
    <w:p>
      <w:pPr>
        <w:pStyle w:val="BodyText"/>
        <w:spacing w:before="2" w:line="364" w:lineRule="auto"/>
        <w:ind w:left="280" w:right="1278" w:firstLine="480"/>
      </w:pPr>
      <w:r>
        <w:rPr>
          <w:spacing w:val="-2"/>
        </w:rPr>
        <w:t>d、混凝土的浇筑必须连续进行，如因故间断，间断时间应小于前层混凝土</w:t>
      </w:r>
      <w:r>
        <w:rPr>
          <w:spacing w:val="-15"/>
        </w:rPr>
        <w:t>的初凝时间或能重塑的时间。允许间断时间应经试验确定，若超过允许间断时间，</w:t>
      </w:r>
      <w:r>
        <w:rPr>
          <w:spacing w:val="-2"/>
        </w:rPr>
        <w:t>须采取保证质量措施或按工作缝处理。</w:t>
      </w:r>
    </w:p>
    <w:p>
      <w:pPr>
        <w:pStyle w:val="BodyText"/>
        <w:spacing w:before="1"/>
        <w:ind w:left="760"/>
      </w:pPr>
      <w:r>
        <w:t>e</w:t>
      </w:r>
      <w:r>
        <w:rPr>
          <w:spacing w:val="-1"/>
        </w:rPr>
        <w:t>、混凝土浇筑完成后，对混凝土裸露面应及时进行修整、抹平，定浆后还</w:t>
      </w:r>
    </w:p>
    <w:p>
      <w:pPr>
        <w:spacing w:after="0"/>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0" w:history="1">
        <w:r>
          <w:rPr>
            <w:rFonts w:ascii="SimSun" w:eastAsia="SimSun" w:hAnsi="SimSun" w:cs="SimSun"/>
            <w:b/>
            <w:bCs/>
            <w:color w:val="0000EE"/>
            <w:sz w:val="30"/>
            <w:szCs w:val="30"/>
            <w:u w:val="single" w:color="0000EE"/>
          </w:rPr>
          <w:t>https://d.book118.com/127145050103006050</w:t>
        </w:r>
      </w:hyperlink>
    </w:p>
    <w:p>
      <w:pPr>
        <w:spacing w:after="0"/>
      </w:pPr>
    </w:p>
    <w:sectPr>
      <w:pgSz w:w="11910" w:h="16840"/>
      <w:pgMar w:top="1460" w:right="400" w:bottom="280" w:left="1520" w:header="708" w:footer="708"/>
      <w:pgNumType w:start="15"/>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charset w:val="00"/>
    <w:family w:val="roman"/>
    <w:pitch w:val="variable"/>
    <w:sig w:usb0="00000000" w:usb1="00000000" w:usb2="00000000" w:usb3="00000000" w:csb0="00000001" w:csb1="00000000"/>
  </w:font>
  <w:font w:name="Microsoft JhengHei">
    <w:altName w:val="Microsoft JhengHei"/>
    <w:charset w:val="00"/>
    <w:family w:val="swiss"/>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仿宋">
    <w:altName w:val="仿宋"/>
    <w:charset w:val="86"/>
    <w:family w:val="modern"/>
    <w:pitch w:val="fixed"/>
    <w:sig w:usb0="00000000" w:usb1="00000000" w:usb2="00000000" w:usb3="00000000" w:csb0="00040000" w:csb1="00000000"/>
  </w:font>
  <w:font w:name="Calibri">
    <w:altName w:val="Calibri"/>
    <w:charset w:val="00"/>
    <w:family w:val="swiss"/>
    <w:pitch w:val="variable"/>
    <w:sig w:usb0="00000000" w:usb1="00000000" w:usb2="00000000" w:usb3="00000000" w:csb0="00000001" w:csb1="00000000"/>
  </w:font>
  <w:font w:name="微软雅黑">
    <w:altName w:val="微软雅黑"/>
    <w:charset w:val="86"/>
    <w:family w:val="swiss"/>
    <w:pitch w:val="variable"/>
    <w:sig w:usb0="00000000" w:usb1="00000000" w:usb2="00000000" w:usb3="00000000" w:csb0="00040000" w:csb1="00000000"/>
  </w:font>
  <w:font w:name="Wingdings">
    <w:altName w:val="Wingdings"/>
    <w:charset w:val="02"/>
    <w:family w:val="auto"/>
    <w:pitch w:val="variable"/>
    <w:sig w:usb0="00000000" w:usb1="0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CF45CB7"/>
    <w:multiLevelType w:val="hybridMultilevel"/>
    <w:tmpl w:val="00000000"/>
    <w:lvl w:ilvl="0">
      <w:start w:val="1"/>
      <w:numFmt w:val="decimal"/>
      <w:lvlText w:val="%1）"/>
      <w:lvlJc w:val="left"/>
      <w:pPr>
        <w:ind w:left="1135" w:hanging="316"/>
        <w:jc w:val="left"/>
      </w:pPr>
      <w:rPr>
        <w:rFonts w:ascii="宋体" w:eastAsia="宋体" w:hAnsi="宋体" w:cs="宋体" w:hint="default"/>
        <w:b w:val="0"/>
        <w:bCs w:val="0"/>
        <w:i w:val="0"/>
        <w:iCs w:val="0"/>
        <w:spacing w:val="-19"/>
        <w:w w:val="100"/>
        <w:sz w:val="19"/>
        <w:szCs w:val="19"/>
        <w:lang w:val="en-US" w:eastAsia="zh-CN" w:bidi="ar-SA"/>
      </w:rPr>
    </w:lvl>
    <w:lvl w:ilvl="1">
      <w:start w:val="0"/>
      <w:numFmt w:val="bullet"/>
      <w:lvlText w:val="•"/>
      <w:lvlJc w:val="left"/>
      <w:pPr>
        <w:ind w:left="1920" w:hanging="316"/>
      </w:pPr>
      <w:rPr>
        <w:rFonts w:hint="default"/>
        <w:lang w:val="en-US" w:eastAsia="zh-CN" w:bidi="ar-SA"/>
      </w:rPr>
    </w:lvl>
    <w:lvl w:ilvl="2">
      <w:start w:val="0"/>
      <w:numFmt w:val="bullet"/>
      <w:lvlText w:val="•"/>
      <w:lvlJc w:val="left"/>
      <w:pPr>
        <w:ind w:left="2701" w:hanging="316"/>
      </w:pPr>
      <w:rPr>
        <w:rFonts w:hint="default"/>
        <w:lang w:val="en-US" w:eastAsia="zh-CN" w:bidi="ar-SA"/>
      </w:rPr>
    </w:lvl>
    <w:lvl w:ilvl="3">
      <w:start w:val="0"/>
      <w:numFmt w:val="bullet"/>
      <w:lvlText w:val="•"/>
      <w:lvlJc w:val="left"/>
      <w:pPr>
        <w:ind w:left="3481" w:hanging="316"/>
      </w:pPr>
      <w:rPr>
        <w:rFonts w:hint="default"/>
        <w:lang w:val="en-US" w:eastAsia="zh-CN" w:bidi="ar-SA"/>
      </w:rPr>
    </w:lvl>
    <w:lvl w:ilvl="4">
      <w:start w:val="0"/>
      <w:numFmt w:val="bullet"/>
      <w:lvlText w:val="•"/>
      <w:lvlJc w:val="left"/>
      <w:pPr>
        <w:ind w:left="4262" w:hanging="316"/>
      </w:pPr>
      <w:rPr>
        <w:rFonts w:hint="default"/>
        <w:lang w:val="en-US" w:eastAsia="zh-CN" w:bidi="ar-SA"/>
      </w:rPr>
    </w:lvl>
    <w:lvl w:ilvl="5">
      <w:start w:val="0"/>
      <w:numFmt w:val="bullet"/>
      <w:lvlText w:val="•"/>
      <w:lvlJc w:val="left"/>
      <w:pPr>
        <w:ind w:left="5043" w:hanging="316"/>
      </w:pPr>
      <w:rPr>
        <w:rFonts w:hint="default"/>
        <w:lang w:val="en-US" w:eastAsia="zh-CN" w:bidi="ar-SA"/>
      </w:rPr>
    </w:lvl>
    <w:lvl w:ilvl="6">
      <w:start w:val="0"/>
      <w:numFmt w:val="bullet"/>
      <w:lvlText w:val="•"/>
      <w:lvlJc w:val="left"/>
      <w:pPr>
        <w:ind w:left="5823" w:hanging="316"/>
      </w:pPr>
      <w:rPr>
        <w:rFonts w:hint="default"/>
        <w:lang w:val="en-US" w:eastAsia="zh-CN" w:bidi="ar-SA"/>
      </w:rPr>
    </w:lvl>
    <w:lvl w:ilvl="7">
      <w:start w:val="0"/>
      <w:numFmt w:val="bullet"/>
      <w:lvlText w:val="•"/>
      <w:lvlJc w:val="left"/>
      <w:pPr>
        <w:ind w:left="6604" w:hanging="316"/>
      </w:pPr>
      <w:rPr>
        <w:rFonts w:hint="default"/>
        <w:lang w:val="en-US" w:eastAsia="zh-CN" w:bidi="ar-SA"/>
      </w:rPr>
    </w:lvl>
    <w:lvl w:ilvl="8">
      <w:start w:val="0"/>
      <w:numFmt w:val="bullet"/>
      <w:lvlText w:val="•"/>
      <w:lvlJc w:val="left"/>
      <w:pPr>
        <w:ind w:left="7384" w:hanging="316"/>
      </w:pPr>
      <w:rPr>
        <w:rFonts w:hint="default"/>
        <w:lang w:val="en-US" w:eastAsia="zh-CN" w:bidi="ar-SA"/>
      </w:rPr>
    </w:lvl>
  </w:abstractNum>
  <w:abstractNum w:abstractNumId="1">
    <w:nsid w:val="0E3CBC0E"/>
    <w:multiLevelType w:val="hybridMultilevel"/>
    <w:tmpl w:val="00000000"/>
    <w:lvl w:ilvl="0">
      <w:start w:val="1"/>
      <w:numFmt w:val="decimal"/>
      <w:lvlText w:val="（%1）"/>
      <w:lvlJc w:val="left"/>
      <w:pPr>
        <w:ind w:left="280" w:hanging="601"/>
        <w:jc w:val="right"/>
      </w:pPr>
      <w:rPr>
        <w:rFonts w:hint="default"/>
        <w:spacing w:val="-48"/>
        <w:w w:val="100"/>
        <w:lang w:val="en-US" w:eastAsia="zh-CN" w:bidi="ar-SA"/>
      </w:rPr>
    </w:lvl>
    <w:lvl w:ilvl="1">
      <w:start w:val="0"/>
      <w:numFmt w:val="bullet"/>
      <w:lvlText w:val="•"/>
      <w:lvlJc w:val="left"/>
      <w:pPr>
        <w:ind w:left="1250" w:hanging="601"/>
      </w:pPr>
      <w:rPr>
        <w:rFonts w:hint="default"/>
        <w:lang w:val="en-US" w:eastAsia="zh-CN" w:bidi="ar-SA"/>
      </w:rPr>
    </w:lvl>
    <w:lvl w:ilvl="2">
      <w:start w:val="0"/>
      <w:numFmt w:val="bullet"/>
      <w:lvlText w:val="•"/>
      <w:lvlJc w:val="left"/>
      <w:pPr>
        <w:ind w:left="2221" w:hanging="601"/>
      </w:pPr>
      <w:rPr>
        <w:rFonts w:hint="default"/>
        <w:lang w:val="en-US" w:eastAsia="zh-CN" w:bidi="ar-SA"/>
      </w:rPr>
    </w:lvl>
    <w:lvl w:ilvl="3">
      <w:start w:val="0"/>
      <w:numFmt w:val="bullet"/>
      <w:lvlText w:val="•"/>
      <w:lvlJc w:val="left"/>
      <w:pPr>
        <w:ind w:left="3191" w:hanging="601"/>
      </w:pPr>
      <w:rPr>
        <w:rFonts w:hint="default"/>
        <w:lang w:val="en-US" w:eastAsia="zh-CN" w:bidi="ar-SA"/>
      </w:rPr>
    </w:lvl>
    <w:lvl w:ilvl="4">
      <w:start w:val="0"/>
      <w:numFmt w:val="bullet"/>
      <w:lvlText w:val="•"/>
      <w:lvlJc w:val="left"/>
      <w:pPr>
        <w:ind w:left="4162" w:hanging="601"/>
      </w:pPr>
      <w:rPr>
        <w:rFonts w:hint="default"/>
        <w:lang w:val="en-US" w:eastAsia="zh-CN" w:bidi="ar-SA"/>
      </w:rPr>
    </w:lvl>
    <w:lvl w:ilvl="5">
      <w:start w:val="0"/>
      <w:numFmt w:val="bullet"/>
      <w:lvlText w:val="•"/>
      <w:lvlJc w:val="left"/>
      <w:pPr>
        <w:ind w:left="5133" w:hanging="601"/>
      </w:pPr>
      <w:rPr>
        <w:rFonts w:hint="default"/>
        <w:lang w:val="en-US" w:eastAsia="zh-CN" w:bidi="ar-SA"/>
      </w:rPr>
    </w:lvl>
    <w:lvl w:ilvl="6">
      <w:start w:val="0"/>
      <w:numFmt w:val="bullet"/>
      <w:lvlText w:val="•"/>
      <w:lvlJc w:val="left"/>
      <w:pPr>
        <w:ind w:left="6103" w:hanging="601"/>
      </w:pPr>
      <w:rPr>
        <w:rFonts w:hint="default"/>
        <w:lang w:val="en-US" w:eastAsia="zh-CN" w:bidi="ar-SA"/>
      </w:rPr>
    </w:lvl>
    <w:lvl w:ilvl="7">
      <w:start w:val="0"/>
      <w:numFmt w:val="bullet"/>
      <w:lvlText w:val="•"/>
      <w:lvlJc w:val="left"/>
      <w:pPr>
        <w:ind w:left="7074" w:hanging="601"/>
      </w:pPr>
      <w:rPr>
        <w:rFonts w:hint="default"/>
        <w:lang w:val="en-US" w:eastAsia="zh-CN" w:bidi="ar-SA"/>
      </w:rPr>
    </w:lvl>
    <w:lvl w:ilvl="8">
      <w:start w:val="0"/>
      <w:numFmt w:val="bullet"/>
      <w:lvlText w:val="•"/>
      <w:lvlJc w:val="left"/>
      <w:pPr>
        <w:ind w:left="8044" w:hanging="601"/>
      </w:pPr>
      <w:rPr>
        <w:rFonts w:hint="default"/>
        <w:lang w:val="en-US" w:eastAsia="zh-CN" w:bidi="ar-SA"/>
      </w:rPr>
    </w:lvl>
  </w:abstractNum>
  <w:abstractNum w:abstractNumId="2">
    <w:nsid w:val="19101511"/>
    <w:multiLevelType w:val="hybridMultilevel"/>
    <w:tmpl w:val="00000000"/>
    <w:lvl w:ilvl="0">
      <w:start w:val="1"/>
      <w:numFmt w:val="decimal"/>
      <w:lvlText w:val="（%1）"/>
      <w:lvlJc w:val="left"/>
      <w:pPr>
        <w:ind w:left="400" w:hanging="601"/>
        <w:jc w:val="left"/>
      </w:pPr>
      <w:rPr>
        <w:rFonts w:ascii="仿宋" w:eastAsia="仿宋" w:hAnsi="仿宋" w:cs="仿宋" w:hint="default"/>
        <w:b w:val="0"/>
        <w:bCs w:val="0"/>
        <w:i w:val="0"/>
        <w:iCs w:val="0"/>
        <w:spacing w:val="-24"/>
        <w:w w:val="100"/>
        <w:sz w:val="22"/>
        <w:szCs w:val="22"/>
        <w:lang w:val="en-US" w:eastAsia="zh-CN" w:bidi="ar-SA"/>
      </w:rPr>
    </w:lvl>
    <w:lvl w:ilvl="1">
      <w:start w:val="0"/>
      <w:numFmt w:val="bullet"/>
      <w:lvlText w:val="•"/>
      <w:lvlJc w:val="left"/>
      <w:pPr>
        <w:ind w:left="1254" w:hanging="601"/>
      </w:pPr>
      <w:rPr>
        <w:rFonts w:hint="default"/>
        <w:lang w:val="en-US" w:eastAsia="zh-CN" w:bidi="ar-SA"/>
      </w:rPr>
    </w:lvl>
    <w:lvl w:ilvl="2">
      <w:start w:val="0"/>
      <w:numFmt w:val="bullet"/>
      <w:lvlText w:val="•"/>
      <w:lvlJc w:val="left"/>
      <w:pPr>
        <w:ind w:left="2109" w:hanging="601"/>
      </w:pPr>
      <w:rPr>
        <w:rFonts w:hint="default"/>
        <w:lang w:val="en-US" w:eastAsia="zh-CN" w:bidi="ar-SA"/>
      </w:rPr>
    </w:lvl>
    <w:lvl w:ilvl="3">
      <w:start w:val="0"/>
      <w:numFmt w:val="bullet"/>
      <w:lvlText w:val="•"/>
      <w:lvlJc w:val="left"/>
      <w:pPr>
        <w:ind w:left="2963" w:hanging="601"/>
      </w:pPr>
      <w:rPr>
        <w:rFonts w:hint="default"/>
        <w:lang w:val="en-US" w:eastAsia="zh-CN" w:bidi="ar-SA"/>
      </w:rPr>
    </w:lvl>
    <w:lvl w:ilvl="4">
      <w:start w:val="0"/>
      <w:numFmt w:val="bullet"/>
      <w:lvlText w:val="•"/>
      <w:lvlJc w:val="left"/>
      <w:pPr>
        <w:ind w:left="3818" w:hanging="601"/>
      </w:pPr>
      <w:rPr>
        <w:rFonts w:hint="default"/>
        <w:lang w:val="en-US" w:eastAsia="zh-CN" w:bidi="ar-SA"/>
      </w:rPr>
    </w:lvl>
    <w:lvl w:ilvl="5">
      <w:start w:val="0"/>
      <w:numFmt w:val="bullet"/>
      <w:lvlText w:val="•"/>
      <w:lvlJc w:val="left"/>
      <w:pPr>
        <w:ind w:left="4673" w:hanging="601"/>
      </w:pPr>
      <w:rPr>
        <w:rFonts w:hint="default"/>
        <w:lang w:val="en-US" w:eastAsia="zh-CN" w:bidi="ar-SA"/>
      </w:rPr>
    </w:lvl>
    <w:lvl w:ilvl="6">
      <w:start w:val="0"/>
      <w:numFmt w:val="bullet"/>
      <w:lvlText w:val="•"/>
      <w:lvlJc w:val="left"/>
      <w:pPr>
        <w:ind w:left="5527" w:hanging="601"/>
      </w:pPr>
      <w:rPr>
        <w:rFonts w:hint="default"/>
        <w:lang w:val="en-US" w:eastAsia="zh-CN" w:bidi="ar-SA"/>
      </w:rPr>
    </w:lvl>
    <w:lvl w:ilvl="7">
      <w:start w:val="0"/>
      <w:numFmt w:val="bullet"/>
      <w:lvlText w:val="•"/>
      <w:lvlJc w:val="left"/>
      <w:pPr>
        <w:ind w:left="6382" w:hanging="601"/>
      </w:pPr>
      <w:rPr>
        <w:rFonts w:hint="default"/>
        <w:lang w:val="en-US" w:eastAsia="zh-CN" w:bidi="ar-SA"/>
      </w:rPr>
    </w:lvl>
    <w:lvl w:ilvl="8">
      <w:start w:val="0"/>
      <w:numFmt w:val="bullet"/>
      <w:lvlText w:val="•"/>
      <w:lvlJc w:val="left"/>
      <w:pPr>
        <w:ind w:left="7236" w:hanging="601"/>
      </w:pPr>
      <w:rPr>
        <w:rFonts w:hint="default"/>
        <w:lang w:val="en-US" w:eastAsia="zh-CN" w:bidi="ar-SA"/>
      </w:rPr>
    </w:lvl>
  </w:abstractNum>
  <w:abstractNum w:abstractNumId="3">
    <w:nsid w:val="1C5DA302"/>
    <w:multiLevelType w:val="hybridMultilevel"/>
    <w:tmpl w:val="00000000"/>
    <w:lvl w:ilvl="0">
      <w:start w:val="1"/>
      <w:numFmt w:val="decimal"/>
      <w:lvlText w:val="(%1)"/>
      <w:lvlJc w:val="left"/>
      <w:pPr>
        <w:ind w:left="1240" w:hanging="480"/>
        <w:jc w:val="right"/>
      </w:pPr>
      <w:rPr>
        <w:rFonts w:ascii="仿宋" w:eastAsia="仿宋" w:hAnsi="仿宋" w:cs="仿宋" w:hint="default"/>
        <w:b w:val="0"/>
        <w:bCs w:val="0"/>
        <w:i w:val="0"/>
        <w:iCs w:val="0"/>
        <w:w w:val="100"/>
        <w:sz w:val="24"/>
        <w:szCs w:val="24"/>
        <w:lang w:val="en-US" w:eastAsia="zh-CN" w:bidi="ar-SA"/>
      </w:rPr>
    </w:lvl>
    <w:lvl w:ilvl="1">
      <w:start w:val="0"/>
      <w:numFmt w:val="bullet"/>
      <w:lvlText w:val="•"/>
      <w:lvlJc w:val="left"/>
      <w:pPr>
        <w:ind w:left="2114" w:hanging="480"/>
      </w:pPr>
      <w:rPr>
        <w:rFonts w:hint="default"/>
        <w:lang w:val="en-US" w:eastAsia="zh-CN" w:bidi="ar-SA"/>
      </w:rPr>
    </w:lvl>
    <w:lvl w:ilvl="2">
      <w:start w:val="0"/>
      <w:numFmt w:val="bullet"/>
      <w:lvlText w:val="•"/>
      <w:lvlJc w:val="left"/>
      <w:pPr>
        <w:ind w:left="2989" w:hanging="480"/>
      </w:pPr>
      <w:rPr>
        <w:rFonts w:hint="default"/>
        <w:lang w:val="en-US" w:eastAsia="zh-CN" w:bidi="ar-SA"/>
      </w:rPr>
    </w:lvl>
    <w:lvl w:ilvl="3">
      <w:start w:val="0"/>
      <w:numFmt w:val="bullet"/>
      <w:lvlText w:val="•"/>
      <w:lvlJc w:val="left"/>
      <w:pPr>
        <w:ind w:left="3863" w:hanging="480"/>
      </w:pPr>
      <w:rPr>
        <w:rFonts w:hint="default"/>
        <w:lang w:val="en-US" w:eastAsia="zh-CN" w:bidi="ar-SA"/>
      </w:rPr>
    </w:lvl>
    <w:lvl w:ilvl="4">
      <w:start w:val="0"/>
      <w:numFmt w:val="bullet"/>
      <w:lvlText w:val="•"/>
      <w:lvlJc w:val="left"/>
      <w:pPr>
        <w:ind w:left="4738" w:hanging="480"/>
      </w:pPr>
      <w:rPr>
        <w:rFonts w:hint="default"/>
        <w:lang w:val="en-US" w:eastAsia="zh-CN" w:bidi="ar-SA"/>
      </w:rPr>
    </w:lvl>
    <w:lvl w:ilvl="5">
      <w:start w:val="0"/>
      <w:numFmt w:val="bullet"/>
      <w:lvlText w:val="•"/>
      <w:lvlJc w:val="left"/>
      <w:pPr>
        <w:ind w:left="5613" w:hanging="480"/>
      </w:pPr>
      <w:rPr>
        <w:rFonts w:hint="default"/>
        <w:lang w:val="en-US" w:eastAsia="zh-CN" w:bidi="ar-SA"/>
      </w:rPr>
    </w:lvl>
    <w:lvl w:ilvl="6">
      <w:start w:val="0"/>
      <w:numFmt w:val="bullet"/>
      <w:lvlText w:val="•"/>
      <w:lvlJc w:val="left"/>
      <w:pPr>
        <w:ind w:left="6487" w:hanging="480"/>
      </w:pPr>
      <w:rPr>
        <w:rFonts w:hint="default"/>
        <w:lang w:val="en-US" w:eastAsia="zh-CN" w:bidi="ar-SA"/>
      </w:rPr>
    </w:lvl>
    <w:lvl w:ilvl="7">
      <w:start w:val="0"/>
      <w:numFmt w:val="bullet"/>
      <w:lvlText w:val="•"/>
      <w:lvlJc w:val="left"/>
      <w:pPr>
        <w:ind w:left="7362" w:hanging="480"/>
      </w:pPr>
      <w:rPr>
        <w:rFonts w:hint="default"/>
        <w:lang w:val="en-US" w:eastAsia="zh-CN" w:bidi="ar-SA"/>
      </w:rPr>
    </w:lvl>
    <w:lvl w:ilvl="8">
      <w:start w:val="0"/>
      <w:numFmt w:val="bullet"/>
      <w:lvlText w:val="•"/>
      <w:lvlJc w:val="left"/>
      <w:pPr>
        <w:ind w:left="8236" w:hanging="480"/>
      </w:pPr>
      <w:rPr>
        <w:rFonts w:hint="default"/>
        <w:lang w:val="en-US" w:eastAsia="zh-CN" w:bidi="ar-SA"/>
      </w:rPr>
    </w:lvl>
  </w:abstractNum>
  <w:abstractNum w:abstractNumId="4">
    <w:nsid w:val="2BC706A0"/>
    <w:multiLevelType w:val="hybridMultilevel"/>
    <w:tmpl w:val="00000000"/>
    <w:lvl w:ilvl="0">
      <w:start w:val="1"/>
      <w:numFmt w:val="decimal"/>
      <w:lvlText w:val="（%1）"/>
      <w:lvlJc w:val="left"/>
      <w:pPr>
        <w:ind w:left="400" w:hanging="602"/>
        <w:jc w:val="left"/>
      </w:pPr>
      <w:rPr>
        <w:rFonts w:ascii="仿宋" w:eastAsia="仿宋" w:hAnsi="仿宋" w:cs="仿宋" w:hint="default"/>
        <w:b w:val="0"/>
        <w:bCs w:val="0"/>
        <w:i w:val="0"/>
        <w:iCs w:val="0"/>
        <w:w w:val="100"/>
        <w:sz w:val="22"/>
        <w:szCs w:val="22"/>
        <w:lang w:val="en-US" w:eastAsia="zh-CN" w:bidi="ar-SA"/>
      </w:rPr>
    </w:lvl>
    <w:lvl w:ilvl="1">
      <w:start w:val="0"/>
      <w:numFmt w:val="bullet"/>
      <w:lvlText w:val="•"/>
      <w:lvlJc w:val="left"/>
      <w:pPr>
        <w:ind w:left="1254" w:hanging="602"/>
      </w:pPr>
      <w:rPr>
        <w:rFonts w:hint="default"/>
        <w:lang w:val="en-US" w:eastAsia="zh-CN" w:bidi="ar-SA"/>
      </w:rPr>
    </w:lvl>
    <w:lvl w:ilvl="2">
      <w:start w:val="0"/>
      <w:numFmt w:val="bullet"/>
      <w:lvlText w:val="•"/>
      <w:lvlJc w:val="left"/>
      <w:pPr>
        <w:ind w:left="2109" w:hanging="602"/>
      </w:pPr>
      <w:rPr>
        <w:rFonts w:hint="default"/>
        <w:lang w:val="en-US" w:eastAsia="zh-CN" w:bidi="ar-SA"/>
      </w:rPr>
    </w:lvl>
    <w:lvl w:ilvl="3">
      <w:start w:val="0"/>
      <w:numFmt w:val="bullet"/>
      <w:lvlText w:val="•"/>
      <w:lvlJc w:val="left"/>
      <w:pPr>
        <w:ind w:left="2963" w:hanging="602"/>
      </w:pPr>
      <w:rPr>
        <w:rFonts w:hint="default"/>
        <w:lang w:val="en-US" w:eastAsia="zh-CN" w:bidi="ar-SA"/>
      </w:rPr>
    </w:lvl>
    <w:lvl w:ilvl="4">
      <w:start w:val="0"/>
      <w:numFmt w:val="bullet"/>
      <w:lvlText w:val="•"/>
      <w:lvlJc w:val="left"/>
      <w:pPr>
        <w:ind w:left="3818" w:hanging="602"/>
      </w:pPr>
      <w:rPr>
        <w:rFonts w:hint="default"/>
        <w:lang w:val="en-US" w:eastAsia="zh-CN" w:bidi="ar-SA"/>
      </w:rPr>
    </w:lvl>
    <w:lvl w:ilvl="5">
      <w:start w:val="0"/>
      <w:numFmt w:val="bullet"/>
      <w:lvlText w:val="•"/>
      <w:lvlJc w:val="left"/>
      <w:pPr>
        <w:ind w:left="4673" w:hanging="602"/>
      </w:pPr>
      <w:rPr>
        <w:rFonts w:hint="default"/>
        <w:lang w:val="en-US" w:eastAsia="zh-CN" w:bidi="ar-SA"/>
      </w:rPr>
    </w:lvl>
    <w:lvl w:ilvl="6">
      <w:start w:val="0"/>
      <w:numFmt w:val="bullet"/>
      <w:lvlText w:val="•"/>
      <w:lvlJc w:val="left"/>
      <w:pPr>
        <w:ind w:left="5527" w:hanging="602"/>
      </w:pPr>
      <w:rPr>
        <w:rFonts w:hint="default"/>
        <w:lang w:val="en-US" w:eastAsia="zh-CN" w:bidi="ar-SA"/>
      </w:rPr>
    </w:lvl>
    <w:lvl w:ilvl="7">
      <w:start w:val="0"/>
      <w:numFmt w:val="bullet"/>
      <w:lvlText w:val="•"/>
      <w:lvlJc w:val="left"/>
      <w:pPr>
        <w:ind w:left="6382" w:hanging="602"/>
      </w:pPr>
      <w:rPr>
        <w:rFonts w:hint="default"/>
        <w:lang w:val="en-US" w:eastAsia="zh-CN" w:bidi="ar-SA"/>
      </w:rPr>
    </w:lvl>
    <w:lvl w:ilvl="8">
      <w:start w:val="0"/>
      <w:numFmt w:val="bullet"/>
      <w:lvlText w:val="•"/>
      <w:lvlJc w:val="left"/>
      <w:pPr>
        <w:ind w:left="7236" w:hanging="602"/>
      </w:pPr>
      <w:rPr>
        <w:rFonts w:hint="default"/>
        <w:lang w:val="en-US" w:eastAsia="zh-CN" w:bidi="ar-SA"/>
      </w:rPr>
    </w:lvl>
  </w:abstractNum>
  <w:abstractNum w:abstractNumId="5">
    <w:nsid w:val="2C7F731B"/>
    <w:multiLevelType w:val="hybridMultilevel"/>
    <w:tmpl w:val="00000000"/>
    <w:lvl w:ilvl="0">
      <w:start w:val="1"/>
      <w:numFmt w:val="decimal"/>
      <w:lvlText w:val="%1）"/>
      <w:lvlJc w:val="left"/>
      <w:pPr>
        <w:ind w:left="1300" w:hanging="420"/>
        <w:jc w:val="left"/>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2064" w:hanging="420"/>
      </w:pPr>
      <w:rPr>
        <w:rFonts w:hint="default"/>
        <w:lang w:val="en-US" w:eastAsia="zh-CN" w:bidi="ar-SA"/>
      </w:rPr>
    </w:lvl>
    <w:lvl w:ilvl="2">
      <w:start w:val="0"/>
      <w:numFmt w:val="bullet"/>
      <w:lvlText w:val="•"/>
      <w:lvlJc w:val="left"/>
      <w:pPr>
        <w:ind w:left="2829" w:hanging="420"/>
      </w:pPr>
      <w:rPr>
        <w:rFonts w:hint="default"/>
        <w:lang w:val="en-US" w:eastAsia="zh-CN" w:bidi="ar-SA"/>
      </w:rPr>
    </w:lvl>
    <w:lvl w:ilvl="3">
      <w:start w:val="0"/>
      <w:numFmt w:val="bullet"/>
      <w:lvlText w:val="•"/>
      <w:lvlJc w:val="left"/>
      <w:pPr>
        <w:ind w:left="3593" w:hanging="420"/>
      </w:pPr>
      <w:rPr>
        <w:rFonts w:hint="default"/>
        <w:lang w:val="en-US" w:eastAsia="zh-CN" w:bidi="ar-SA"/>
      </w:rPr>
    </w:lvl>
    <w:lvl w:ilvl="4">
      <w:start w:val="0"/>
      <w:numFmt w:val="bullet"/>
      <w:lvlText w:val="•"/>
      <w:lvlJc w:val="left"/>
      <w:pPr>
        <w:ind w:left="4358" w:hanging="420"/>
      </w:pPr>
      <w:rPr>
        <w:rFonts w:hint="default"/>
        <w:lang w:val="en-US" w:eastAsia="zh-CN" w:bidi="ar-SA"/>
      </w:rPr>
    </w:lvl>
    <w:lvl w:ilvl="5">
      <w:start w:val="0"/>
      <w:numFmt w:val="bullet"/>
      <w:lvlText w:val="•"/>
      <w:lvlJc w:val="left"/>
      <w:pPr>
        <w:ind w:left="5123" w:hanging="420"/>
      </w:pPr>
      <w:rPr>
        <w:rFonts w:hint="default"/>
        <w:lang w:val="en-US" w:eastAsia="zh-CN" w:bidi="ar-SA"/>
      </w:rPr>
    </w:lvl>
    <w:lvl w:ilvl="6">
      <w:start w:val="0"/>
      <w:numFmt w:val="bullet"/>
      <w:lvlText w:val="•"/>
      <w:lvlJc w:val="left"/>
      <w:pPr>
        <w:ind w:left="5887" w:hanging="420"/>
      </w:pPr>
      <w:rPr>
        <w:rFonts w:hint="default"/>
        <w:lang w:val="en-US" w:eastAsia="zh-CN" w:bidi="ar-SA"/>
      </w:rPr>
    </w:lvl>
    <w:lvl w:ilvl="7">
      <w:start w:val="0"/>
      <w:numFmt w:val="bullet"/>
      <w:lvlText w:val="•"/>
      <w:lvlJc w:val="left"/>
      <w:pPr>
        <w:ind w:left="6652" w:hanging="420"/>
      </w:pPr>
      <w:rPr>
        <w:rFonts w:hint="default"/>
        <w:lang w:val="en-US" w:eastAsia="zh-CN" w:bidi="ar-SA"/>
      </w:rPr>
    </w:lvl>
    <w:lvl w:ilvl="8">
      <w:start w:val="0"/>
      <w:numFmt w:val="bullet"/>
      <w:lvlText w:val="•"/>
      <w:lvlJc w:val="left"/>
      <w:pPr>
        <w:ind w:left="7416" w:hanging="420"/>
      </w:pPr>
      <w:rPr>
        <w:rFonts w:hint="default"/>
        <w:lang w:val="en-US" w:eastAsia="zh-CN" w:bidi="ar-SA"/>
      </w:rPr>
    </w:lvl>
  </w:abstractNum>
  <w:abstractNum w:abstractNumId="6">
    <w:nsid w:val="3F5634E9"/>
    <w:multiLevelType w:val="hybridMultilevel"/>
    <w:tmpl w:val="00000000"/>
    <w:lvl w:ilvl="0">
      <w:start w:val="1"/>
      <w:numFmt w:val="decimal"/>
      <w:lvlText w:val="（%1）"/>
      <w:lvlJc w:val="left"/>
      <w:pPr>
        <w:ind w:left="400" w:hanging="601"/>
        <w:jc w:val="left"/>
      </w:pPr>
      <w:rPr>
        <w:rFonts w:ascii="仿宋" w:eastAsia="仿宋" w:hAnsi="仿宋" w:cs="仿宋" w:hint="default"/>
        <w:b w:val="0"/>
        <w:bCs w:val="0"/>
        <w:i w:val="0"/>
        <w:iCs w:val="0"/>
        <w:spacing w:val="-48"/>
        <w:w w:val="100"/>
        <w:sz w:val="22"/>
        <w:szCs w:val="22"/>
        <w:lang w:val="en-US" w:eastAsia="zh-CN" w:bidi="ar-SA"/>
      </w:rPr>
    </w:lvl>
    <w:lvl w:ilvl="1">
      <w:start w:val="0"/>
      <w:numFmt w:val="bullet"/>
      <w:lvlText w:val="•"/>
      <w:lvlJc w:val="left"/>
      <w:pPr>
        <w:ind w:left="1254" w:hanging="601"/>
      </w:pPr>
      <w:rPr>
        <w:rFonts w:hint="default"/>
        <w:lang w:val="en-US" w:eastAsia="zh-CN" w:bidi="ar-SA"/>
      </w:rPr>
    </w:lvl>
    <w:lvl w:ilvl="2">
      <w:start w:val="0"/>
      <w:numFmt w:val="bullet"/>
      <w:lvlText w:val="•"/>
      <w:lvlJc w:val="left"/>
      <w:pPr>
        <w:ind w:left="2109" w:hanging="601"/>
      </w:pPr>
      <w:rPr>
        <w:rFonts w:hint="default"/>
        <w:lang w:val="en-US" w:eastAsia="zh-CN" w:bidi="ar-SA"/>
      </w:rPr>
    </w:lvl>
    <w:lvl w:ilvl="3">
      <w:start w:val="0"/>
      <w:numFmt w:val="bullet"/>
      <w:lvlText w:val="•"/>
      <w:lvlJc w:val="left"/>
      <w:pPr>
        <w:ind w:left="2963" w:hanging="601"/>
      </w:pPr>
      <w:rPr>
        <w:rFonts w:hint="default"/>
        <w:lang w:val="en-US" w:eastAsia="zh-CN" w:bidi="ar-SA"/>
      </w:rPr>
    </w:lvl>
    <w:lvl w:ilvl="4">
      <w:start w:val="0"/>
      <w:numFmt w:val="bullet"/>
      <w:lvlText w:val="•"/>
      <w:lvlJc w:val="left"/>
      <w:pPr>
        <w:ind w:left="3818" w:hanging="601"/>
      </w:pPr>
      <w:rPr>
        <w:rFonts w:hint="default"/>
        <w:lang w:val="en-US" w:eastAsia="zh-CN" w:bidi="ar-SA"/>
      </w:rPr>
    </w:lvl>
    <w:lvl w:ilvl="5">
      <w:start w:val="0"/>
      <w:numFmt w:val="bullet"/>
      <w:lvlText w:val="•"/>
      <w:lvlJc w:val="left"/>
      <w:pPr>
        <w:ind w:left="4673" w:hanging="601"/>
      </w:pPr>
      <w:rPr>
        <w:rFonts w:hint="default"/>
        <w:lang w:val="en-US" w:eastAsia="zh-CN" w:bidi="ar-SA"/>
      </w:rPr>
    </w:lvl>
    <w:lvl w:ilvl="6">
      <w:start w:val="0"/>
      <w:numFmt w:val="bullet"/>
      <w:lvlText w:val="•"/>
      <w:lvlJc w:val="left"/>
      <w:pPr>
        <w:ind w:left="5527" w:hanging="601"/>
      </w:pPr>
      <w:rPr>
        <w:rFonts w:hint="default"/>
        <w:lang w:val="en-US" w:eastAsia="zh-CN" w:bidi="ar-SA"/>
      </w:rPr>
    </w:lvl>
    <w:lvl w:ilvl="7">
      <w:start w:val="0"/>
      <w:numFmt w:val="bullet"/>
      <w:lvlText w:val="•"/>
      <w:lvlJc w:val="left"/>
      <w:pPr>
        <w:ind w:left="6382" w:hanging="601"/>
      </w:pPr>
      <w:rPr>
        <w:rFonts w:hint="default"/>
        <w:lang w:val="en-US" w:eastAsia="zh-CN" w:bidi="ar-SA"/>
      </w:rPr>
    </w:lvl>
    <w:lvl w:ilvl="8">
      <w:start w:val="0"/>
      <w:numFmt w:val="bullet"/>
      <w:lvlText w:val="•"/>
      <w:lvlJc w:val="left"/>
      <w:pPr>
        <w:ind w:left="7236" w:hanging="601"/>
      </w:pPr>
      <w:rPr>
        <w:rFonts w:hint="default"/>
        <w:lang w:val="en-US" w:eastAsia="zh-CN" w:bidi="ar-SA"/>
      </w:rPr>
    </w:lvl>
  </w:abstractNum>
  <w:abstractNum w:abstractNumId="7">
    <w:nsid w:val="418AD29C"/>
    <w:multiLevelType w:val="hybridMultilevel"/>
    <w:tmpl w:val="00000000"/>
    <w:lvl w:ilvl="0">
      <w:start w:val="1"/>
      <w:numFmt w:val="decimal"/>
      <w:lvlText w:val="(%1)"/>
      <w:lvlJc w:val="left"/>
      <w:pPr>
        <w:ind w:left="400" w:hanging="361"/>
        <w:jc w:val="left"/>
      </w:pPr>
      <w:rPr>
        <w:rFonts w:ascii="仿宋" w:eastAsia="仿宋" w:hAnsi="仿宋" w:cs="仿宋" w:hint="default"/>
        <w:b w:val="0"/>
        <w:bCs w:val="0"/>
        <w:i w:val="0"/>
        <w:iCs w:val="0"/>
        <w:w w:val="100"/>
        <w:sz w:val="22"/>
        <w:szCs w:val="22"/>
        <w:lang w:val="en-US" w:eastAsia="zh-CN" w:bidi="ar-SA"/>
      </w:rPr>
    </w:lvl>
    <w:lvl w:ilvl="1">
      <w:start w:val="0"/>
      <w:numFmt w:val="bullet"/>
      <w:lvlText w:val="•"/>
      <w:lvlJc w:val="left"/>
      <w:pPr>
        <w:ind w:left="1254" w:hanging="361"/>
      </w:pPr>
      <w:rPr>
        <w:rFonts w:hint="default"/>
        <w:lang w:val="en-US" w:eastAsia="zh-CN" w:bidi="ar-SA"/>
      </w:rPr>
    </w:lvl>
    <w:lvl w:ilvl="2">
      <w:start w:val="0"/>
      <w:numFmt w:val="bullet"/>
      <w:lvlText w:val="•"/>
      <w:lvlJc w:val="left"/>
      <w:pPr>
        <w:ind w:left="2109" w:hanging="361"/>
      </w:pPr>
      <w:rPr>
        <w:rFonts w:hint="default"/>
        <w:lang w:val="en-US" w:eastAsia="zh-CN" w:bidi="ar-SA"/>
      </w:rPr>
    </w:lvl>
    <w:lvl w:ilvl="3">
      <w:start w:val="0"/>
      <w:numFmt w:val="bullet"/>
      <w:lvlText w:val="•"/>
      <w:lvlJc w:val="left"/>
      <w:pPr>
        <w:ind w:left="2963" w:hanging="361"/>
      </w:pPr>
      <w:rPr>
        <w:rFonts w:hint="default"/>
        <w:lang w:val="en-US" w:eastAsia="zh-CN" w:bidi="ar-SA"/>
      </w:rPr>
    </w:lvl>
    <w:lvl w:ilvl="4">
      <w:start w:val="0"/>
      <w:numFmt w:val="bullet"/>
      <w:lvlText w:val="•"/>
      <w:lvlJc w:val="left"/>
      <w:pPr>
        <w:ind w:left="3818" w:hanging="361"/>
      </w:pPr>
      <w:rPr>
        <w:rFonts w:hint="default"/>
        <w:lang w:val="en-US" w:eastAsia="zh-CN" w:bidi="ar-SA"/>
      </w:rPr>
    </w:lvl>
    <w:lvl w:ilvl="5">
      <w:start w:val="0"/>
      <w:numFmt w:val="bullet"/>
      <w:lvlText w:val="•"/>
      <w:lvlJc w:val="left"/>
      <w:pPr>
        <w:ind w:left="4673" w:hanging="361"/>
      </w:pPr>
      <w:rPr>
        <w:rFonts w:hint="default"/>
        <w:lang w:val="en-US" w:eastAsia="zh-CN" w:bidi="ar-SA"/>
      </w:rPr>
    </w:lvl>
    <w:lvl w:ilvl="6">
      <w:start w:val="0"/>
      <w:numFmt w:val="bullet"/>
      <w:lvlText w:val="•"/>
      <w:lvlJc w:val="left"/>
      <w:pPr>
        <w:ind w:left="5527" w:hanging="361"/>
      </w:pPr>
      <w:rPr>
        <w:rFonts w:hint="default"/>
        <w:lang w:val="en-US" w:eastAsia="zh-CN" w:bidi="ar-SA"/>
      </w:rPr>
    </w:lvl>
    <w:lvl w:ilvl="7">
      <w:start w:val="0"/>
      <w:numFmt w:val="bullet"/>
      <w:lvlText w:val="•"/>
      <w:lvlJc w:val="left"/>
      <w:pPr>
        <w:ind w:left="6382" w:hanging="361"/>
      </w:pPr>
      <w:rPr>
        <w:rFonts w:hint="default"/>
        <w:lang w:val="en-US" w:eastAsia="zh-CN" w:bidi="ar-SA"/>
      </w:rPr>
    </w:lvl>
    <w:lvl w:ilvl="8">
      <w:start w:val="0"/>
      <w:numFmt w:val="bullet"/>
      <w:lvlText w:val="•"/>
      <w:lvlJc w:val="left"/>
      <w:pPr>
        <w:ind w:left="7236" w:hanging="361"/>
      </w:pPr>
      <w:rPr>
        <w:rFonts w:hint="default"/>
        <w:lang w:val="en-US" w:eastAsia="zh-CN" w:bidi="ar-SA"/>
      </w:rPr>
    </w:lvl>
  </w:abstractNum>
  <w:abstractNum w:abstractNumId="8">
    <w:nsid w:val="431F0EB4"/>
    <w:multiLevelType w:val="hybridMultilevel"/>
    <w:tmpl w:val="00000000"/>
    <w:lvl w:ilvl="0">
      <w:start w:val="1"/>
      <w:numFmt w:val="decimal"/>
      <w:lvlText w:val="（%1）"/>
      <w:lvlJc w:val="left"/>
      <w:pPr>
        <w:ind w:left="1361" w:hanging="601"/>
        <w:jc w:val="left"/>
      </w:pPr>
      <w:rPr>
        <w:rFonts w:ascii="仿宋" w:eastAsia="仿宋" w:hAnsi="仿宋" w:cs="仿宋" w:hint="default"/>
        <w:b w:val="0"/>
        <w:bCs w:val="0"/>
        <w:i w:val="0"/>
        <w:iCs w:val="0"/>
        <w:w w:val="100"/>
        <w:sz w:val="22"/>
        <w:szCs w:val="22"/>
        <w:lang w:val="en-US" w:eastAsia="zh-CN" w:bidi="ar-SA"/>
      </w:rPr>
    </w:lvl>
    <w:lvl w:ilvl="1">
      <w:start w:val="0"/>
      <w:numFmt w:val="bullet"/>
      <w:lvlText w:val="•"/>
      <w:lvlJc w:val="left"/>
      <w:pPr>
        <w:ind w:left="2222" w:hanging="601"/>
      </w:pPr>
      <w:rPr>
        <w:rFonts w:hint="default"/>
        <w:lang w:val="en-US" w:eastAsia="zh-CN" w:bidi="ar-SA"/>
      </w:rPr>
    </w:lvl>
    <w:lvl w:ilvl="2">
      <w:start w:val="0"/>
      <w:numFmt w:val="bullet"/>
      <w:lvlText w:val="•"/>
      <w:lvlJc w:val="left"/>
      <w:pPr>
        <w:ind w:left="3085" w:hanging="601"/>
      </w:pPr>
      <w:rPr>
        <w:rFonts w:hint="default"/>
        <w:lang w:val="en-US" w:eastAsia="zh-CN" w:bidi="ar-SA"/>
      </w:rPr>
    </w:lvl>
    <w:lvl w:ilvl="3">
      <w:start w:val="0"/>
      <w:numFmt w:val="bullet"/>
      <w:lvlText w:val="•"/>
      <w:lvlJc w:val="left"/>
      <w:pPr>
        <w:ind w:left="3947" w:hanging="601"/>
      </w:pPr>
      <w:rPr>
        <w:rFonts w:hint="default"/>
        <w:lang w:val="en-US" w:eastAsia="zh-CN" w:bidi="ar-SA"/>
      </w:rPr>
    </w:lvl>
    <w:lvl w:ilvl="4">
      <w:start w:val="0"/>
      <w:numFmt w:val="bullet"/>
      <w:lvlText w:val="•"/>
      <w:lvlJc w:val="left"/>
      <w:pPr>
        <w:ind w:left="4810" w:hanging="601"/>
      </w:pPr>
      <w:rPr>
        <w:rFonts w:hint="default"/>
        <w:lang w:val="en-US" w:eastAsia="zh-CN" w:bidi="ar-SA"/>
      </w:rPr>
    </w:lvl>
    <w:lvl w:ilvl="5">
      <w:start w:val="0"/>
      <w:numFmt w:val="bullet"/>
      <w:lvlText w:val="•"/>
      <w:lvlJc w:val="left"/>
      <w:pPr>
        <w:ind w:left="5673" w:hanging="601"/>
      </w:pPr>
      <w:rPr>
        <w:rFonts w:hint="default"/>
        <w:lang w:val="en-US" w:eastAsia="zh-CN" w:bidi="ar-SA"/>
      </w:rPr>
    </w:lvl>
    <w:lvl w:ilvl="6">
      <w:start w:val="0"/>
      <w:numFmt w:val="bullet"/>
      <w:lvlText w:val="•"/>
      <w:lvlJc w:val="left"/>
      <w:pPr>
        <w:ind w:left="6535" w:hanging="601"/>
      </w:pPr>
      <w:rPr>
        <w:rFonts w:hint="default"/>
        <w:lang w:val="en-US" w:eastAsia="zh-CN" w:bidi="ar-SA"/>
      </w:rPr>
    </w:lvl>
    <w:lvl w:ilvl="7">
      <w:start w:val="0"/>
      <w:numFmt w:val="bullet"/>
      <w:lvlText w:val="•"/>
      <w:lvlJc w:val="left"/>
      <w:pPr>
        <w:ind w:left="7398" w:hanging="601"/>
      </w:pPr>
      <w:rPr>
        <w:rFonts w:hint="default"/>
        <w:lang w:val="en-US" w:eastAsia="zh-CN" w:bidi="ar-SA"/>
      </w:rPr>
    </w:lvl>
    <w:lvl w:ilvl="8">
      <w:start w:val="0"/>
      <w:numFmt w:val="bullet"/>
      <w:lvlText w:val="•"/>
      <w:lvlJc w:val="left"/>
      <w:pPr>
        <w:ind w:left="8260" w:hanging="601"/>
      </w:pPr>
      <w:rPr>
        <w:rFonts w:hint="default"/>
        <w:lang w:val="en-US" w:eastAsia="zh-CN" w:bidi="ar-SA"/>
      </w:rPr>
    </w:lvl>
  </w:abstractNum>
  <w:abstractNum w:abstractNumId="9">
    <w:nsid w:val="48D429BF"/>
    <w:multiLevelType w:val="hybridMultilevel"/>
    <w:tmpl w:val="00000000"/>
    <w:lvl w:ilvl="0">
      <w:start w:val="1"/>
      <w:numFmt w:val="decimal"/>
      <w:lvlText w:val="（%1）"/>
      <w:lvlJc w:val="left"/>
      <w:pPr>
        <w:ind w:left="280" w:hanging="601"/>
        <w:jc w:val="left"/>
      </w:pPr>
      <w:rPr>
        <w:rFonts w:ascii="仿宋" w:eastAsia="仿宋" w:hAnsi="仿宋" w:cs="仿宋" w:hint="default"/>
        <w:b w:val="0"/>
        <w:bCs w:val="0"/>
        <w:i w:val="0"/>
        <w:iCs w:val="0"/>
        <w:w w:val="100"/>
        <w:sz w:val="22"/>
        <w:szCs w:val="22"/>
        <w:lang w:val="en-US" w:eastAsia="zh-CN" w:bidi="ar-SA"/>
      </w:rPr>
    </w:lvl>
    <w:lvl w:ilvl="1">
      <w:start w:val="1"/>
      <w:numFmt w:val="decimal"/>
      <w:lvlText w:val="（%2）"/>
      <w:lvlJc w:val="left"/>
      <w:pPr>
        <w:ind w:left="400" w:hanging="720"/>
        <w:jc w:val="left"/>
      </w:pPr>
      <w:rPr>
        <w:rFonts w:ascii="仿宋" w:eastAsia="仿宋" w:hAnsi="仿宋" w:cs="仿宋" w:hint="default"/>
        <w:b w:val="0"/>
        <w:bCs w:val="0"/>
        <w:i w:val="0"/>
        <w:iCs w:val="0"/>
        <w:w w:val="100"/>
        <w:sz w:val="24"/>
        <w:szCs w:val="24"/>
        <w:lang w:val="en-US" w:eastAsia="zh-CN" w:bidi="ar-SA"/>
      </w:rPr>
    </w:lvl>
    <w:lvl w:ilvl="2">
      <w:start w:val="1"/>
      <w:numFmt w:val="decimal"/>
      <w:lvlText w:val="（%3）"/>
      <w:lvlJc w:val="left"/>
      <w:pPr>
        <w:ind w:left="1601" w:hanging="601"/>
        <w:jc w:val="left"/>
      </w:pPr>
      <w:rPr>
        <w:rFonts w:ascii="仿宋" w:eastAsia="仿宋" w:hAnsi="仿宋" w:cs="仿宋" w:hint="default"/>
        <w:b w:val="0"/>
        <w:bCs w:val="0"/>
        <w:i w:val="0"/>
        <w:iCs w:val="0"/>
        <w:w w:val="100"/>
        <w:sz w:val="22"/>
        <w:szCs w:val="22"/>
        <w:lang w:val="en-US" w:eastAsia="zh-CN" w:bidi="ar-SA"/>
      </w:rPr>
    </w:lvl>
    <w:lvl w:ilvl="3">
      <w:start w:val="0"/>
      <w:numFmt w:val="bullet"/>
      <w:lvlText w:val="•"/>
      <w:lvlJc w:val="left"/>
      <w:pPr>
        <w:ind w:left="2503" w:hanging="601"/>
      </w:pPr>
      <w:rPr>
        <w:rFonts w:hint="default"/>
        <w:lang w:val="en-US" w:eastAsia="zh-CN" w:bidi="ar-SA"/>
      </w:rPr>
    </w:lvl>
    <w:lvl w:ilvl="4">
      <w:start w:val="0"/>
      <w:numFmt w:val="bullet"/>
      <w:lvlText w:val="•"/>
      <w:lvlJc w:val="left"/>
      <w:pPr>
        <w:ind w:left="3406" w:hanging="601"/>
      </w:pPr>
      <w:rPr>
        <w:rFonts w:hint="default"/>
        <w:lang w:val="en-US" w:eastAsia="zh-CN" w:bidi="ar-SA"/>
      </w:rPr>
    </w:lvl>
    <w:lvl w:ilvl="5">
      <w:start w:val="0"/>
      <w:numFmt w:val="bullet"/>
      <w:lvlText w:val="•"/>
      <w:lvlJc w:val="left"/>
      <w:pPr>
        <w:ind w:left="4309" w:hanging="601"/>
      </w:pPr>
      <w:rPr>
        <w:rFonts w:hint="default"/>
        <w:lang w:val="en-US" w:eastAsia="zh-CN" w:bidi="ar-SA"/>
      </w:rPr>
    </w:lvl>
    <w:lvl w:ilvl="6">
      <w:start w:val="0"/>
      <w:numFmt w:val="bullet"/>
      <w:lvlText w:val="•"/>
      <w:lvlJc w:val="left"/>
      <w:pPr>
        <w:ind w:left="5213" w:hanging="601"/>
      </w:pPr>
      <w:rPr>
        <w:rFonts w:hint="default"/>
        <w:lang w:val="en-US" w:eastAsia="zh-CN" w:bidi="ar-SA"/>
      </w:rPr>
    </w:lvl>
    <w:lvl w:ilvl="7">
      <w:start w:val="0"/>
      <w:numFmt w:val="bullet"/>
      <w:lvlText w:val="•"/>
      <w:lvlJc w:val="left"/>
      <w:pPr>
        <w:ind w:left="6116" w:hanging="601"/>
      </w:pPr>
      <w:rPr>
        <w:rFonts w:hint="default"/>
        <w:lang w:val="en-US" w:eastAsia="zh-CN" w:bidi="ar-SA"/>
      </w:rPr>
    </w:lvl>
    <w:lvl w:ilvl="8">
      <w:start w:val="0"/>
      <w:numFmt w:val="bullet"/>
      <w:lvlText w:val="•"/>
      <w:lvlJc w:val="left"/>
      <w:pPr>
        <w:ind w:left="7019" w:hanging="601"/>
      </w:pPr>
      <w:rPr>
        <w:rFonts w:hint="default"/>
        <w:lang w:val="en-US" w:eastAsia="zh-CN" w:bidi="ar-SA"/>
      </w:rPr>
    </w:lvl>
  </w:abstractNum>
  <w:abstractNum w:abstractNumId="10">
    <w:nsid w:val="4B351DB6"/>
    <w:multiLevelType w:val="hybridMultilevel"/>
    <w:tmpl w:val="00000000"/>
    <w:lvl w:ilvl="0">
      <w:start w:val="1"/>
      <w:numFmt w:val="decimal"/>
      <w:lvlText w:val="（%1）"/>
      <w:lvlJc w:val="left"/>
      <w:pPr>
        <w:ind w:left="1361" w:hanging="601"/>
        <w:jc w:val="left"/>
      </w:pPr>
      <w:rPr>
        <w:rFonts w:ascii="仿宋" w:eastAsia="仿宋" w:hAnsi="仿宋" w:cs="仿宋" w:hint="default"/>
        <w:b w:val="0"/>
        <w:bCs w:val="0"/>
        <w:i w:val="0"/>
        <w:iCs w:val="0"/>
        <w:w w:val="100"/>
        <w:sz w:val="22"/>
        <w:szCs w:val="22"/>
        <w:lang w:val="en-US" w:eastAsia="zh-CN" w:bidi="ar-SA"/>
      </w:rPr>
    </w:lvl>
    <w:lvl w:ilvl="1">
      <w:start w:val="0"/>
      <w:numFmt w:val="bullet"/>
      <w:lvlText w:val="•"/>
      <w:lvlJc w:val="left"/>
      <w:pPr>
        <w:ind w:left="2222" w:hanging="601"/>
      </w:pPr>
      <w:rPr>
        <w:rFonts w:hint="default"/>
        <w:lang w:val="en-US" w:eastAsia="zh-CN" w:bidi="ar-SA"/>
      </w:rPr>
    </w:lvl>
    <w:lvl w:ilvl="2">
      <w:start w:val="0"/>
      <w:numFmt w:val="bullet"/>
      <w:lvlText w:val="•"/>
      <w:lvlJc w:val="left"/>
      <w:pPr>
        <w:ind w:left="3085" w:hanging="601"/>
      </w:pPr>
      <w:rPr>
        <w:rFonts w:hint="default"/>
        <w:lang w:val="en-US" w:eastAsia="zh-CN" w:bidi="ar-SA"/>
      </w:rPr>
    </w:lvl>
    <w:lvl w:ilvl="3">
      <w:start w:val="0"/>
      <w:numFmt w:val="bullet"/>
      <w:lvlText w:val="•"/>
      <w:lvlJc w:val="left"/>
      <w:pPr>
        <w:ind w:left="3947" w:hanging="601"/>
      </w:pPr>
      <w:rPr>
        <w:rFonts w:hint="default"/>
        <w:lang w:val="en-US" w:eastAsia="zh-CN" w:bidi="ar-SA"/>
      </w:rPr>
    </w:lvl>
    <w:lvl w:ilvl="4">
      <w:start w:val="0"/>
      <w:numFmt w:val="bullet"/>
      <w:lvlText w:val="•"/>
      <w:lvlJc w:val="left"/>
      <w:pPr>
        <w:ind w:left="4810" w:hanging="601"/>
      </w:pPr>
      <w:rPr>
        <w:rFonts w:hint="default"/>
        <w:lang w:val="en-US" w:eastAsia="zh-CN" w:bidi="ar-SA"/>
      </w:rPr>
    </w:lvl>
    <w:lvl w:ilvl="5">
      <w:start w:val="0"/>
      <w:numFmt w:val="bullet"/>
      <w:lvlText w:val="•"/>
      <w:lvlJc w:val="left"/>
      <w:pPr>
        <w:ind w:left="5673" w:hanging="601"/>
      </w:pPr>
      <w:rPr>
        <w:rFonts w:hint="default"/>
        <w:lang w:val="en-US" w:eastAsia="zh-CN" w:bidi="ar-SA"/>
      </w:rPr>
    </w:lvl>
    <w:lvl w:ilvl="6">
      <w:start w:val="0"/>
      <w:numFmt w:val="bullet"/>
      <w:lvlText w:val="•"/>
      <w:lvlJc w:val="left"/>
      <w:pPr>
        <w:ind w:left="6535" w:hanging="601"/>
      </w:pPr>
      <w:rPr>
        <w:rFonts w:hint="default"/>
        <w:lang w:val="en-US" w:eastAsia="zh-CN" w:bidi="ar-SA"/>
      </w:rPr>
    </w:lvl>
    <w:lvl w:ilvl="7">
      <w:start w:val="0"/>
      <w:numFmt w:val="bullet"/>
      <w:lvlText w:val="•"/>
      <w:lvlJc w:val="left"/>
      <w:pPr>
        <w:ind w:left="7398" w:hanging="601"/>
      </w:pPr>
      <w:rPr>
        <w:rFonts w:hint="default"/>
        <w:lang w:val="en-US" w:eastAsia="zh-CN" w:bidi="ar-SA"/>
      </w:rPr>
    </w:lvl>
    <w:lvl w:ilvl="8">
      <w:start w:val="0"/>
      <w:numFmt w:val="bullet"/>
      <w:lvlText w:val="•"/>
      <w:lvlJc w:val="left"/>
      <w:pPr>
        <w:ind w:left="8260" w:hanging="601"/>
      </w:pPr>
      <w:rPr>
        <w:rFonts w:hint="default"/>
        <w:lang w:val="en-US" w:eastAsia="zh-CN" w:bidi="ar-SA"/>
      </w:rPr>
    </w:lvl>
  </w:abstractNum>
  <w:abstractNum w:abstractNumId="11">
    <w:nsid w:val="4B6B7032"/>
    <w:multiLevelType w:val="hybridMultilevel"/>
    <w:tmpl w:val="00000000"/>
    <w:lvl w:ilvl="0">
      <w:start w:val="1"/>
      <w:numFmt w:val="decimal"/>
      <w:lvlText w:val="（%1）"/>
      <w:lvlJc w:val="left"/>
      <w:pPr>
        <w:ind w:left="280" w:hanging="601"/>
        <w:jc w:val="right"/>
      </w:pPr>
      <w:rPr>
        <w:rFonts w:hint="default"/>
        <w:spacing w:val="-48"/>
        <w:w w:val="100"/>
        <w:lang w:val="en-US" w:eastAsia="zh-CN" w:bidi="ar-SA"/>
      </w:rPr>
    </w:lvl>
    <w:lvl w:ilvl="1">
      <w:start w:val="0"/>
      <w:numFmt w:val="bullet"/>
      <w:lvlText w:val="•"/>
      <w:lvlJc w:val="left"/>
      <w:pPr>
        <w:ind w:left="1250" w:hanging="601"/>
      </w:pPr>
      <w:rPr>
        <w:rFonts w:hint="default"/>
        <w:lang w:val="en-US" w:eastAsia="zh-CN" w:bidi="ar-SA"/>
      </w:rPr>
    </w:lvl>
    <w:lvl w:ilvl="2">
      <w:start w:val="0"/>
      <w:numFmt w:val="bullet"/>
      <w:lvlText w:val="•"/>
      <w:lvlJc w:val="left"/>
      <w:pPr>
        <w:ind w:left="2221" w:hanging="601"/>
      </w:pPr>
      <w:rPr>
        <w:rFonts w:hint="default"/>
        <w:lang w:val="en-US" w:eastAsia="zh-CN" w:bidi="ar-SA"/>
      </w:rPr>
    </w:lvl>
    <w:lvl w:ilvl="3">
      <w:start w:val="0"/>
      <w:numFmt w:val="bullet"/>
      <w:lvlText w:val="•"/>
      <w:lvlJc w:val="left"/>
      <w:pPr>
        <w:ind w:left="3191" w:hanging="601"/>
      </w:pPr>
      <w:rPr>
        <w:rFonts w:hint="default"/>
        <w:lang w:val="en-US" w:eastAsia="zh-CN" w:bidi="ar-SA"/>
      </w:rPr>
    </w:lvl>
    <w:lvl w:ilvl="4">
      <w:start w:val="0"/>
      <w:numFmt w:val="bullet"/>
      <w:lvlText w:val="•"/>
      <w:lvlJc w:val="left"/>
      <w:pPr>
        <w:ind w:left="4162" w:hanging="601"/>
      </w:pPr>
      <w:rPr>
        <w:rFonts w:hint="default"/>
        <w:lang w:val="en-US" w:eastAsia="zh-CN" w:bidi="ar-SA"/>
      </w:rPr>
    </w:lvl>
    <w:lvl w:ilvl="5">
      <w:start w:val="0"/>
      <w:numFmt w:val="bullet"/>
      <w:lvlText w:val="•"/>
      <w:lvlJc w:val="left"/>
      <w:pPr>
        <w:ind w:left="5133" w:hanging="601"/>
      </w:pPr>
      <w:rPr>
        <w:rFonts w:hint="default"/>
        <w:lang w:val="en-US" w:eastAsia="zh-CN" w:bidi="ar-SA"/>
      </w:rPr>
    </w:lvl>
    <w:lvl w:ilvl="6">
      <w:start w:val="0"/>
      <w:numFmt w:val="bullet"/>
      <w:lvlText w:val="•"/>
      <w:lvlJc w:val="left"/>
      <w:pPr>
        <w:ind w:left="6103" w:hanging="601"/>
      </w:pPr>
      <w:rPr>
        <w:rFonts w:hint="default"/>
        <w:lang w:val="en-US" w:eastAsia="zh-CN" w:bidi="ar-SA"/>
      </w:rPr>
    </w:lvl>
    <w:lvl w:ilvl="7">
      <w:start w:val="0"/>
      <w:numFmt w:val="bullet"/>
      <w:lvlText w:val="•"/>
      <w:lvlJc w:val="left"/>
      <w:pPr>
        <w:ind w:left="7074" w:hanging="601"/>
      </w:pPr>
      <w:rPr>
        <w:rFonts w:hint="default"/>
        <w:lang w:val="en-US" w:eastAsia="zh-CN" w:bidi="ar-SA"/>
      </w:rPr>
    </w:lvl>
    <w:lvl w:ilvl="8">
      <w:start w:val="0"/>
      <w:numFmt w:val="bullet"/>
      <w:lvlText w:val="•"/>
      <w:lvlJc w:val="left"/>
      <w:pPr>
        <w:ind w:left="8044" w:hanging="601"/>
      </w:pPr>
      <w:rPr>
        <w:rFonts w:hint="default"/>
        <w:lang w:val="en-US" w:eastAsia="zh-CN" w:bidi="ar-SA"/>
      </w:rPr>
    </w:lvl>
  </w:abstractNum>
  <w:abstractNum w:abstractNumId="12">
    <w:nsid w:val="5AA6DE63"/>
    <w:multiLevelType w:val="hybridMultilevel"/>
    <w:tmpl w:val="00000000"/>
    <w:lvl w:ilvl="0">
      <w:start w:val="1"/>
      <w:numFmt w:val="decimal"/>
      <w:lvlText w:val="%1）"/>
      <w:lvlJc w:val="left"/>
      <w:pPr>
        <w:ind w:left="1135" w:hanging="316"/>
        <w:jc w:val="left"/>
      </w:pPr>
      <w:rPr>
        <w:rFonts w:ascii="宋体" w:eastAsia="宋体" w:hAnsi="宋体" w:cs="宋体" w:hint="default"/>
        <w:b w:val="0"/>
        <w:bCs w:val="0"/>
        <w:i w:val="0"/>
        <w:iCs w:val="0"/>
        <w:spacing w:val="-34"/>
        <w:w w:val="100"/>
        <w:sz w:val="19"/>
        <w:szCs w:val="19"/>
        <w:lang w:val="en-US" w:eastAsia="zh-CN" w:bidi="ar-SA"/>
      </w:rPr>
    </w:lvl>
    <w:lvl w:ilvl="1">
      <w:start w:val="0"/>
      <w:numFmt w:val="bullet"/>
      <w:lvlText w:val="•"/>
      <w:lvlJc w:val="left"/>
      <w:pPr>
        <w:ind w:left="1920" w:hanging="316"/>
      </w:pPr>
      <w:rPr>
        <w:rFonts w:hint="default"/>
        <w:lang w:val="en-US" w:eastAsia="zh-CN" w:bidi="ar-SA"/>
      </w:rPr>
    </w:lvl>
    <w:lvl w:ilvl="2">
      <w:start w:val="0"/>
      <w:numFmt w:val="bullet"/>
      <w:lvlText w:val="•"/>
      <w:lvlJc w:val="left"/>
      <w:pPr>
        <w:ind w:left="2701" w:hanging="316"/>
      </w:pPr>
      <w:rPr>
        <w:rFonts w:hint="default"/>
        <w:lang w:val="en-US" w:eastAsia="zh-CN" w:bidi="ar-SA"/>
      </w:rPr>
    </w:lvl>
    <w:lvl w:ilvl="3">
      <w:start w:val="0"/>
      <w:numFmt w:val="bullet"/>
      <w:lvlText w:val="•"/>
      <w:lvlJc w:val="left"/>
      <w:pPr>
        <w:ind w:left="3481" w:hanging="316"/>
      </w:pPr>
      <w:rPr>
        <w:rFonts w:hint="default"/>
        <w:lang w:val="en-US" w:eastAsia="zh-CN" w:bidi="ar-SA"/>
      </w:rPr>
    </w:lvl>
    <w:lvl w:ilvl="4">
      <w:start w:val="0"/>
      <w:numFmt w:val="bullet"/>
      <w:lvlText w:val="•"/>
      <w:lvlJc w:val="left"/>
      <w:pPr>
        <w:ind w:left="4262" w:hanging="316"/>
      </w:pPr>
      <w:rPr>
        <w:rFonts w:hint="default"/>
        <w:lang w:val="en-US" w:eastAsia="zh-CN" w:bidi="ar-SA"/>
      </w:rPr>
    </w:lvl>
    <w:lvl w:ilvl="5">
      <w:start w:val="0"/>
      <w:numFmt w:val="bullet"/>
      <w:lvlText w:val="•"/>
      <w:lvlJc w:val="left"/>
      <w:pPr>
        <w:ind w:left="5043" w:hanging="316"/>
      </w:pPr>
      <w:rPr>
        <w:rFonts w:hint="default"/>
        <w:lang w:val="en-US" w:eastAsia="zh-CN" w:bidi="ar-SA"/>
      </w:rPr>
    </w:lvl>
    <w:lvl w:ilvl="6">
      <w:start w:val="0"/>
      <w:numFmt w:val="bullet"/>
      <w:lvlText w:val="•"/>
      <w:lvlJc w:val="left"/>
      <w:pPr>
        <w:ind w:left="5823" w:hanging="316"/>
      </w:pPr>
      <w:rPr>
        <w:rFonts w:hint="default"/>
        <w:lang w:val="en-US" w:eastAsia="zh-CN" w:bidi="ar-SA"/>
      </w:rPr>
    </w:lvl>
    <w:lvl w:ilvl="7">
      <w:start w:val="0"/>
      <w:numFmt w:val="bullet"/>
      <w:lvlText w:val="•"/>
      <w:lvlJc w:val="left"/>
      <w:pPr>
        <w:ind w:left="6604" w:hanging="316"/>
      </w:pPr>
      <w:rPr>
        <w:rFonts w:hint="default"/>
        <w:lang w:val="en-US" w:eastAsia="zh-CN" w:bidi="ar-SA"/>
      </w:rPr>
    </w:lvl>
    <w:lvl w:ilvl="8">
      <w:start w:val="0"/>
      <w:numFmt w:val="bullet"/>
      <w:lvlText w:val="•"/>
      <w:lvlJc w:val="left"/>
      <w:pPr>
        <w:ind w:left="7384" w:hanging="316"/>
      </w:pPr>
      <w:rPr>
        <w:rFonts w:hint="default"/>
        <w:lang w:val="en-US" w:eastAsia="zh-CN" w:bidi="ar-SA"/>
      </w:rPr>
    </w:lvl>
  </w:abstractNum>
  <w:abstractNum w:abstractNumId="13">
    <w:nsid w:val="5E2B2A99"/>
    <w:multiLevelType w:val="hybridMultilevel"/>
    <w:tmpl w:val="00000000"/>
    <w:lvl w:ilvl="0">
      <w:start w:val="1"/>
      <w:numFmt w:val="decimal"/>
      <w:lvlText w:val="（%1）"/>
      <w:lvlJc w:val="left"/>
      <w:pPr>
        <w:ind w:left="280" w:hanging="601"/>
        <w:jc w:val="left"/>
      </w:pPr>
      <w:rPr>
        <w:rFonts w:ascii="仿宋" w:eastAsia="仿宋" w:hAnsi="仿宋" w:cs="仿宋" w:hint="default"/>
        <w:b w:val="0"/>
        <w:bCs w:val="0"/>
        <w:i w:val="0"/>
        <w:iCs w:val="0"/>
        <w:w w:val="100"/>
        <w:sz w:val="22"/>
        <w:szCs w:val="22"/>
        <w:lang w:val="en-US" w:eastAsia="zh-CN" w:bidi="ar-SA"/>
      </w:rPr>
    </w:lvl>
    <w:lvl w:ilvl="1">
      <w:start w:val="0"/>
      <w:numFmt w:val="bullet"/>
      <w:lvlText w:val="•"/>
      <w:lvlJc w:val="left"/>
      <w:pPr>
        <w:ind w:left="1250" w:hanging="601"/>
      </w:pPr>
      <w:rPr>
        <w:rFonts w:hint="default"/>
        <w:lang w:val="en-US" w:eastAsia="zh-CN" w:bidi="ar-SA"/>
      </w:rPr>
    </w:lvl>
    <w:lvl w:ilvl="2">
      <w:start w:val="0"/>
      <w:numFmt w:val="bullet"/>
      <w:lvlText w:val="•"/>
      <w:lvlJc w:val="left"/>
      <w:pPr>
        <w:ind w:left="2221" w:hanging="601"/>
      </w:pPr>
      <w:rPr>
        <w:rFonts w:hint="default"/>
        <w:lang w:val="en-US" w:eastAsia="zh-CN" w:bidi="ar-SA"/>
      </w:rPr>
    </w:lvl>
    <w:lvl w:ilvl="3">
      <w:start w:val="0"/>
      <w:numFmt w:val="bullet"/>
      <w:lvlText w:val="•"/>
      <w:lvlJc w:val="left"/>
      <w:pPr>
        <w:ind w:left="3191" w:hanging="601"/>
      </w:pPr>
      <w:rPr>
        <w:rFonts w:hint="default"/>
        <w:lang w:val="en-US" w:eastAsia="zh-CN" w:bidi="ar-SA"/>
      </w:rPr>
    </w:lvl>
    <w:lvl w:ilvl="4">
      <w:start w:val="0"/>
      <w:numFmt w:val="bullet"/>
      <w:lvlText w:val="•"/>
      <w:lvlJc w:val="left"/>
      <w:pPr>
        <w:ind w:left="4162" w:hanging="601"/>
      </w:pPr>
      <w:rPr>
        <w:rFonts w:hint="default"/>
        <w:lang w:val="en-US" w:eastAsia="zh-CN" w:bidi="ar-SA"/>
      </w:rPr>
    </w:lvl>
    <w:lvl w:ilvl="5">
      <w:start w:val="0"/>
      <w:numFmt w:val="bullet"/>
      <w:lvlText w:val="•"/>
      <w:lvlJc w:val="left"/>
      <w:pPr>
        <w:ind w:left="5133" w:hanging="601"/>
      </w:pPr>
      <w:rPr>
        <w:rFonts w:hint="default"/>
        <w:lang w:val="en-US" w:eastAsia="zh-CN" w:bidi="ar-SA"/>
      </w:rPr>
    </w:lvl>
    <w:lvl w:ilvl="6">
      <w:start w:val="0"/>
      <w:numFmt w:val="bullet"/>
      <w:lvlText w:val="•"/>
      <w:lvlJc w:val="left"/>
      <w:pPr>
        <w:ind w:left="6103" w:hanging="601"/>
      </w:pPr>
      <w:rPr>
        <w:rFonts w:hint="default"/>
        <w:lang w:val="en-US" w:eastAsia="zh-CN" w:bidi="ar-SA"/>
      </w:rPr>
    </w:lvl>
    <w:lvl w:ilvl="7">
      <w:start w:val="0"/>
      <w:numFmt w:val="bullet"/>
      <w:lvlText w:val="•"/>
      <w:lvlJc w:val="left"/>
      <w:pPr>
        <w:ind w:left="7074" w:hanging="601"/>
      </w:pPr>
      <w:rPr>
        <w:rFonts w:hint="default"/>
        <w:lang w:val="en-US" w:eastAsia="zh-CN" w:bidi="ar-SA"/>
      </w:rPr>
    </w:lvl>
    <w:lvl w:ilvl="8">
      <w:start w:val="0"/>
      <w:numFmt w:val="bullet"/>
      <w:lvlText w:val="•"/>
      <w:lvlJc w:val="left"/>
      <w:pPr>
        <w:ind w:left="8044" w:hanging="601"/>
      </w:pPr>
      <w:rPr>
        <w:rFonts w:hint="default"/>
        <w:lang w:val="en-US" w:eastAsia="zh-CN" w:bidi="ar-SA"/>
      </w:rPr>
    </w:lvl>
  </w:abstractNum>
  <w:abstractNum w:abstractNumId="14">
    <w:nsid w:val="613C859D"/>
    <w:multiLevelType w:val="hybridMultilevel"/>
    <w:tmpl w:val="00000000"/>
    <w:lvl w:ilvl="0">
      <w:start w:val="1"/>
      <w:numFmt w:val="decimal"/>
      <w:lvlText w:val="%1）"/>
      <w:lvlJc w:val="left"/>
      <w:pPr>
        <w:ind w:left="1300" w:hanging="420"/>
        <w:jc w:val="left"/>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2064" w:hanging="420"/>
      </w:pPr>
      <w:rPr>
        <w:rFonts w:hint="default"/>
        <w:lang w:val="en-US" w:eastAsia="zh-CN" w:bidi="ar-SA"/>
      </w:rPr>
    </w:lvl>
    <w:lvl w:ilvl="2">
      <w:start w:val="0"/>
      <w:numFmt w:val="bullet"/>
      <w:lvlText w:val="•"/>
      <w:lvlJc w:val="left"/>
      <w:pPr>
        <w:ind w:left="2829" w:hanging="420"/>
      </w:pPr>
      <w:rPr>
        <w:rFonts w:hint="default"/>
        <w:lang w:val="en-US" w:eastAsia="zh-CN" w:bidi="ar-SA"/>
      </w:rPr>
    </w:lvl>
    <w:lvl w:ilvl="3">
      <w:start w:val="0"/>
      <w:numFmt w:val="bullet"/>
      <w:lvlText w:val="•"/>
      <w:lvlJc w:val="left"/>
      <w:pPr>
        <w:ind w:left="3593" w:hanging="420"/>
      </w:pPr>
      <w:rPr>
        <w:rFonts w:hint="default"/>
        <w:lang w:val="en-US" w:eastAsia="zh-CN" w:bidi="ar-SA"/>
      </w:rPr>
    </w:lvl>
    <w:lvl w:ilvl="4">
      <w:start w:val="0"/>
      <w:numFmt w:val="bullet"/>
      <w:lvlText w:val="•"/>
      <w:lvlJc w:val="left"/>
      <w:pPr>
        <w:ind w:left="4358" w:hanging="420"/>
      </w:pPr>
      <w:rPr>
        <w:rFonts w:hint="default"/>
        <w:lang w:val="en-US" w:eastAsia="zh-CN" w:bidi="ar-SA"/>
      </w:rPr>
    </w:lvl>
    <w:lvl w:ilvl="5">
      <w:start w:val="0"/>
      <w:numFmt w:val="bullet"/>
      <w:lvlText w:val="•"/>
      <w:lvlJc w:val="left"/>
      <w:pPr>
        <w:ind w:left="5123" w:hanging="420"/>
      </w:pPr>
      <w:rPr>
        <w:rFonts w:hint="default"/>
        <w:lang w:val="en-US" w:eastAsia="zh-CN" w:bidi="ar-SA"/>
      </w:rPr>
    </w:lvl>
    <w:lvl w:ilvl="6">
      <w:start w:val="0"/>
      <w:numFmt w:val="bullet"/>
      <w:lvlText w:val="•"/>
      <w:lvlJc w:val="left"/>
      <w:pPr>
        <w:ind w:left="5887" w:hanging="420"/>
      </w:pPr>
      <w:rPr>
        <w:rFonts w:hint="default"/>
        <w:lang w:val="en-US" w:eastAsia="zh-CN" w:bidi="ar-SA"/>
      </w:rPr>
    </w:lvl>
    <w:lvl w:ilvl="7">
      <w:start w:val="0"/>
      <w:numFmt w:val="bullet"/>
      <w:lvlText w:val="•"/>
      <w:lvlJc w:val="left"/>
      <w:pPr>
        <w:ind w:left="6652" w:hanging="420"/>
      </w:pPr>
      <w:rPr>
        <w:rFonts w:hint="default"/>
        <w:lang w:val="en-US" w:eastAsia="zh-CN" w:bidi="ar-SA"/>
      </w:rPr>
    </w:lvl>
    <w:lvl w:ilvl="8">
      <w:start w:val="0"/>
      <w:numFmt w:val="bullet"/>
      <w:lvlText w:val="•"/>
      <w:lvlJc w:val="left"/>
      <w:pPr>
        <w:ind w:left="7416" w:hanging="420"/>
      </w:pPr>
      <w:rPr>
        <w:rFonts w:hint="default"/>
        <w:lang w:val="en-US" w:eastAsia="zh-CN" w:bidi="ar-SA"/>
      </w:rPr>
    </w:lvl>
  </w:abstractNum>
  <w:abstractNum w:abstractNumId="15">
    <w:nsid w:val="68DAD53B"/>
    <w:multiLevelType w:val="hybridMultilevel"/>
    <w:tmpl w:val="00000000"/>
    <w:lvl w:ilvl="0">
      <w:start w:val="1"/>
      <w:numFmt w:val="decimal"/>
      <w:lvlText w:val="%1"/>
      <w:lvlJc w:val="left"/>
      <w:pPr>
        <w:ind w:left="280" w:hanging="240"/>
        <w:jc w:val="left"/>
      </w:pPr>
      <w:rPr>
        <w:rFonts w:ascii="仿宋" w:eastAsia="仿宋" w:hAnsi="仿宋" w:cs="仿宋" w:hint="default"/>
        <w:b w:val="0"/>
        <w:bCs w:val="0"/>
        <w:i w:val="0"/>
        <w:iCs w:val="0"/>
        <w:w w:val="100"/>
        <w:sz w:val="24"/>
        <w:szCs w:val="24"/>
        <w:lang w:val="en-US" w:eastAsia="zh-CN" w:bidi="ar-SA"/>
      </w:rPr>
    </w:lvl>
    <w:lvl w:ilvl="1">
      <w:start w:val="0"/>
      <w:numFmt w:val="bullet"/>
      <w:lvlText w:val="•"/>
      <w:lvlJc w:val="left"/>
      <w:pPr>
        <w:ind w:left="1250" w:hanging="240"/>
      </w:pPr>
      <w:rPr>
        <w:rFonts w:hint="default"/>
        <w:lang w:val="en-US" w:eastAsia="zh-CN" w:bidi="ar-SA"/>
      </w:rPr>
    </w:lvl>
    <w:lvl w:ilvl="2">
      <w:start w:val="0"/>
      <w:numFmt w:val="bullet"/>
      <w:lvlText w:val="•"/>
      <w:lvlJc w:val="left"/>
      <w:pPr>
        <w:ind w:left="2221" w:hanging="240"/>
      </w:pPr>
      <w:rPr>
        <w:rFonts w:hint="default"/>
        <w:lang w:val="en-US" w:eastAsia="zh-CN" w:bidi="ar-SA"/>
      </w:rPr>
    </w:lvl>
    <w:lvl w:ilvl="3">
      <w:start w:val="0"/>
      <w:numFmt w:val="bullet"/>
      <w:lvlText w:val="•"/>
      <w:lvlJc w:val="left"/>
      <w:pPr>
        <w:ind w:left="3191" w:hanging="240"/>
      </w:pPr>
      <w:rPr>
        <w:rFonts w:hint="default"/>
        <w:lang w:val="en-US" w:eastAsia="zh-CN" w:bidi="ar-SA"/>
      </w:rPr>
    </w:lvl>
    <w:lvl w:ilvl="4">
      <w:start w:val="0"/>
      <w:numFmt w:val="bullet"/>
      <w:lvlText w:val="•"/>
      <w:lvlJc w:val="left"/>
      <w:pPr>
        <w:ind w:left="4162" w:hanging="240"/>
      </w:pPr>
      <w:rPr>
        <w:rFonts w:hint="default"/>
        <w:lang w:val="en-US" w:eastAsia="zh-CN" w:bidi="ar-SA"/>
      </w:rPr>
    </w:lvl>
    <w:lvl w:ilvl="5">
      <w:start w:val="0"/>
      <w:numFmt w:val="bullet"/>
      <w:lvlText w:val="•"/>
      <w:lvlJc w:val="left"/>
      <w:pPr>
        <w:ind w:left="5133" w:hanging="240"/>
      </w:pPr>
      <w:rPr>
        <w:rFonts w:hint="default"/>
        <w:lang w:val="en-US" w:eastAsia="zh-CN" w:bidi="ar-SA"/>
      </w:rPr>
    </w:lvl>
    <w:lvl w:ilvl="6">
      <w:start w:val="0"/>
      <w:numFmt w:val="bullet"/>
      <w:lvlText w:val="•"/>
      <w:lvlJc w:val="left"/>
      <w:pPr>
        <w:ind w:left="6103" w:hanging="240"/>
      </w:pPr>
      <w:rPr>
        <w:rFonts w:hint="default"/>
        <w:lang w:val="en-US" w:eastAsia="zh-CN" w:bidi="ar-SA"/>
      </w:rPr>
    </w:lvl>
    <w:lvl w:ilvl="7">
      <w:start w:val="0"/>
      <w:numFmt w:val="bullet"/>
      <w:lvlText w:val="•"/>
      <w:lvlJc w:val="left"/>
      <w:pPr>
        <w:ind w:left="7074" w:hanging="240"/>
      </w:pPr>
      <w:rPr>
        <w:rFonts w:hint="default"/>
        <w:lang w:val="en-US" w:eastAsia="zh-CN" w:bidi="ar-SA"/>
      </w:rPr>
    </w:lvl>
    <w:lvl w:ilvl="8">
      <w:start w:val="0"/>
      <w:numFmt w:val="bullet"/>
      <w:lvlText w:val="•"/>
      <w:lvlJc w:val="left"/>
      <w:pPr>
        <w:ind w:left="8044" w:hanging="240"/>
      </w:pPr>
      <w:rPr>
        <w:rFonts w:hint="default"/>
        <w:lang w:val="en-US" w:eastAsia="zh-CN" w:bidi="ar-SA"/>
      </w:rPr>
    </w:lvl>
  </w:abstractNum>
  <w:abstractNum w:abstractNumId="16">
    <w:nsid w:val="69030E8F"/>
    <w:multiLevelType w:val="hybridMultilevel"/>
    <w:tmpl w:val="00000000"/>
    <w:lvl w:ilvl="0">
      <w:start w:val="1"/>
      <w:numFmt w:val="decimal"/>
      <w:lvlText w:val="%1."/>
      <w:lvlJc w:val="left"/>
      <w:pPr>
        <w:ind w:left="1121" w:hanging="241"/>
        <w:jc w:val="right"/>
      </w:pPr>
      <w:rPr>
        <w:rFonts w:hint="default"/>
        <w:w w:val="100"/>
        <w:lang w:val="en-US" w:eastAsia="zh-CN" w:bidi="ar-SA"/>
      </w:rPr>
    </w:lvl>
    <w:lvl w:ilvl="1">
      <w:start w:val="1"/>
      <w:numFmt w:val="decimal"/>
      <w:lvlText w:val="%2."/>
      <w:lvlJc w:val="left"/>
      <w:pPr>
        <w:ind w:left="3928" w:hanging="482"/>
        <w:jc w:val="right"/>
      </w:pPr>
      <w:rPr>
        <w:rFonts w:ascii="Times New Roman" w:eastAsia="Times New Roman" w:hAnsi="Times New Roman" w:cs="Times New Roman" w:hint="default"/>
        <w:b/>
        <w:bCs/>
        <w:i w:val="0"/>
        <w:iCs w:val="0"/>
        <w:w w:val="100"/>
        <w:sz w:val="30"/>
        <w:szCs w:val="30"/>
        <w:lang w:val="en-US" w:eastAsia="zh-CN" w:bidi="ar-SA"/>
      </w:rPr>
    </w:lvl>
    <w:lvl w:ilvl="2">
      <w:start w:val="1"/>
      <w:numFmt w:val="decimal"/>
      <w:lvlText w:val="%2.%3"/>
      <w:lvlJc w:val="left"/>
      <w:pPr>
        <w:ind w:left="535" w:hanging="424"/>
        <w:jc w:val="left"/>
      </w:pPr>
      <w:rPr>
        <w:rFonts w:hint="default"/>
        <w:spacing w:val="1"/>
        <w:w w:val="81"/>
        <w:lang w:val="en-US" w:eastAsia="zh-CN" w:bidi="ar-SA"/>
      </w:rPr>
    </w:lvl>
    <w:lvl w:ilvl="3">
      <w:start w:val="0"/>
      <w:numFmt w:val="bullet"/>
      <w:lvlText w:val=""/>
      <w:lvlJc w:val="left"/>
      <w:pPr>
        <w:ind w:left="1380" w:hanging="424"/>
      </w:pPr>
      <w:rPr>
        <w:rFonts w:ascii="Wingdings" w:eastAsia="Wingdings" w:hAnsi="Wingdings" w:cs="Wingdings" w:hint="default"/>
        <w:w w:val="100"/>
        <w:lang w:val="en-US" w:eastAsia="zh-CN" w:bidi="ar-SA"/>
      </w:rPr>
    </w:lvl>
    <w:lvl w:ilvl="4">
      <w:start w:val="0"/>
      <w:numFmt w:val="bullet"/>
      <w:lvlText w:val="•"/>
      <w:lvlJc w:val="left"/>
      <w:pPr>
        <w:ind w:left="4638" w:hanging="424"/>
      </w:pPr>
      <w:rPr>
        <w:rFonts w:hint="default"/>
        <w:lang w:val="en-US" w:eastAsia="zh-CN" w:bidi="ar-SA"/>
      </w:rPr>
    </w:lvl>
    <w:lvl w:ilvl="5">
      <w:start w:val="0"/>
      <w:numFmt w:val="bullet"/>
      <w:lvlText w:val="•"/>
      <w:lvlJc w:val="left"/>
      <w:pPr>
        <w:ind w:left="5356" w:hanging="424"/>
      </w:pPr>
      <w:rPr>
        <w:rFonts w:hint="default"/>
        <w:lang w:val="en-US" w:eastAsia="zh-CN" w:bidi="ar-SA"/>
      </w:rPr>
    </w:lvl>
    <w:lvl w:ilvl="6">
      <w:start w:val="0"/>
      <w:numFmt w:val="bullet"/>
      <w:lvlText w:val="•"/>
      <w:lvlJc w:val="left"/>
      <w:pPr>
        <w:ind w:left="6074" w:hanging="424"/>
      </w:pPr>
      <w:rPr>
        <w:rFonts w:hint="default"/>
        <w:lang w:val="en-US" w:eastAsia="zh-CN" w:bidi="ar-SA"/>
      </w:rPr>
    </w:lvl>
    <w:lvl w:ilvl="7">
      <w:start w:val="0"/>
      <w:numFmt w:val="bullet"/>
      <w:lvlText w:val="•"/>
      <w:lvlJc w:val="left"/>
      <w:pPr>
        <w:ind w:left="6792" w:hanging="424"/>
      </w:pPr>
      <w:rPr>
        <w:rFonts w:hint="default"/>
        <w:lang w:val="en-US" w:eastAsia="zh-CN" w:bidi="ar-SA"/>
      </w:rPr>
    </w:lvl>
    <w:lvl w:ilvl="8">
      <w:start w:val="0"/>
      <w:numFmt w:val="bullet"/>
      <w:lvlText w:val="•"/>
      <w:lvlJc w:val="left"/>
      <w:pPr>
        <w:ind w:left="7510" w:hanging="424"/>
      </w:pPr>
      <w:rPr>
        <w:rFonts w:hint="default"/>
        <w:lang w:val="en-US" w:eastAsia="zh-CN" w:bidi="ar-SA"/>
      </w:rPr>
    </w:lvl>
  </w:abstractNum>
  <w:abstractNum w:abstractNumId="17">
    <w:nsid w:val="6B3E4390"/>
    <w:multiLevelType w:val="hybridMultilevel"/>
    <w:tmpl w:val="00000000"/>
    <w:lvl w:ilvl="0">
      <w:start w:val="1"/>
      <w:numFmt w:val="decimal"/>
      <w:lvlText w:val="%1）"/>
      <w:lvlJc w:val="left"/>
      <w:pPr>
        <w:ind w:left="1135" w:hanging="316"/>
        <w:jc w:val="left"/>
      </w:pPr>
      <w:rPr>
        <w:rFonts w:ascii="宋体" w:eastAsia="宋体" w:hAnsi="宋体" w:cs="宋体" w:hint="default"/>
        <w:b w:val="0"/>
        <w:bCs w:val="0"/>
        <w:i w:val="0"/>
        <w:iCs w:val="0"/>
        <w:w w:val="100"/>
        <w:sz w:val="19"/>
        <w:szCs w:val="19"/>
        <w:lang w:val="en-US" w:eastAsia="zh-CN" w:bidi="ar-SA"/>
      </w:rPr>
    </w:lvl>
    <w:lvl w:ilvl="1">
      <w:start w:val="0"/>
      <w:numFmt w:val="bullet"/>
      <w:lvlText w:val="•"/>
      <w:lvlJc w:val="left"/>
      <w:pPr>
        <w:ind w:left="1920" w:hanging="316"/>
      </w:pPr>
      <w:rPr>
        <w:rFonts w:hint="default"/>
        <w:lang w:val="en-US" w:eastAsia="zh-CN" w:bidi="ar-SA"/>
      </w:rPr>
    </w:lvl>
    <w:lvl w:ilvl="2">
      <w:start w:val="0"/>
      <w:numFmt w:val="bullet"/>
      <w:lvlText w:val="•"/>
      <w:lvlJc w:val="left"/>
      <w:pPr>
        <w:ind w:left="2701" w:hanging="316"/>
      </w:pPr>
      <w:rPr>
        <w:rFonts w:hint="default"/>
        <w:lang w:val="en-US" w:eastAsia="zh-CN" w:bidi="ar-SA"/>
      </w:rPr>
    </w:lvl>
    <w:lvl w:ilvl="3">
      <w:start w:val="0"/>
      <w:numFmt w:val="bullet"/>
      <w:lvlText w:val="•"/>
      <w:lvlJc w:val="left"/>
      <w:pPr>
        <w:ind w:left="3481" w:hanging="316"/>
      </w:pPr>
      <w:rPr>
        <w:rFonts w:hint="default"/>
        <w:lang w:val="en-US" w:eastAsia="zh-CN" w:bidi="ar-SA"/>
      </w:rPr>
    </w:lvl>
    <w:lvl w:ilvl="4">
      <w:start w:val="0"/>
      <w:numFmt w:val="bullet"/>
      <w:lvlText w:val="•"/>
      <w:lvlJc w:val="left"/>
      <w:pPr>
        <w:ind w:left="4262" w:hanging="316"/>
      </w:pPr>
      <w:rPr>
        <w:rFonts w:hint="default"/>
        <w:lang w:val="en-US" w:eastAsia="zh-CN" w:bidi="ar-SA"/>
      </w:rPr>
    </w:lvl>
    <w:lvl w:ilvl="5">
      <w:start w:val="0"/>
      <w:numFmt w:val="bullet"/>
      <w:lvlText w:val="•"/>
      <w:lvlJc w:val="left"/>
      <w:pPr>
        <w:ind w:left="5043" w:hanging="316"/>
      </w:pPr>
      <w:rPr>
        <w:rFonts w:hint="default"/>
        <w:lang w:val="en-US" w:eastAsia="zh-CN" w:bidi="ar-SA"/>
      </w:rPr>
    </w:lvl>
    <w:lvl w:ilvl="6">
      <w:start w:val="0"/>
      <w:numFmt w:val="bullet"/>
      <w:lvlText w:val="•"/>
      <w:lvlJc w:val="left"/>
      <w:pPr>
        <w:ind w:left="5823" w:hanging="316"/>
      </w:pPr>
      <w:rPr>
        <w:rFonts w:hint="default"/>
        <w:lang w:val="en-US" w:eastAsia="zh-CN" w:bidi="ar-SA"/>
      </w:rPr>
    </w:lvl>
    <w:lvl w:ilvl="7">
      <w:start w:val="0"/>
      <w:numFmt w:val="bullet"/>
      <w:lvlText w:val="•"/>
      <w:lvlJc w:val="left"/>
      <w:pPr>
        <w:ind w:left="6604" w:hanging="316"/>
      </w:pPr>
      <w:rPr>
        <w:rFonts w:hint="default"/>
        <w:lang w:val="en-US" w:eastAsia="zh-CN" w:bidi="ar-SA"/>
      </w:rPr>
    </w:lvl>
    <w:lvl w:ilvl="8">
      <w:start w:val="0"/>
      <w:numFmt w:val="bullet"/>
      <w:lvlText w:val="•"/>
      <w:lvlJc w:val="left"/>
      <w:pPr>
        <w:ind w:left="7384" w:hanging="316"/>
      </w:pPr>
      <w:rPr>
        <w:rFonts w:hint="default"/>
        <w:lang w:val="en-US" w:eastAsia="zh-CN" w:bidi="ar-SA"/>
      </w:rPr>
    </w:lvl>
  </w:abstractNum>
  <w:abstractNum w:abstractNumId="18">
    <w:nsid w:val="6E11D298"/>
    <w:multiLevelType w:val="hybridMultilevel"/>
    <w:tmpl w:val="00000000"/>
    <w:lvl w:ilvl="0">
      <w:start w:val="1"/>
      <w:numFmt w:val="decimal"/>
      <w:lvlText w:val="（%1）"/>
      <w:lvlJc w:val="left"/>
      <w:pPr>
        <w:ind w:left="280" w:hanging="601"/>
        <w:jc w:val="left"/>
      </w:pPr>
      <w:rPr>
        <w:rFonts w:ascii="仿宋" w:eastAsia="仿宋" w:hAnsi="仿宋" w:cs="仿宋" w:hint="default"/>
        <w:b w:val="0"/>
        <w:bCs w:val="0"/>
        <w:i w:val="0"/>
        <w:iCs w:val="0"/>
        <w:spacing w:val="-32"/>
        <w:w w:val="100"/>
        <w:sz w:val="22"/>
        <w:szCs w:val="22"/>
        <w:lang w:val="en-US" w:eastAsia="zh-CN" w:bidi="ar-SA"/>
      </w:rPr>
    </w:lvl>
    <w:lvl w:ilvl="1">
      <w:start w:val="0"/>
      <w:numFmt w:val="bullet"/>
      <w:lvlText w:val="•"/>
      <w:lvlJc w:val="left"/>
      <w:pPr>
        <w:ind w:left="1250" w:hanging="601"/>
      </w:pPr>
      <w:rPr>
        <w:rFonts w:hint="default"/>
        <w:lang w:val="en-US" w:eastAsia="zh-CN" w:bidi="ar-SA"/>
      </w:rPr>
    </w:lvl>
    <w:lvl w:ilvl="2">
      <w:start w:val="0"/>
      <w:numFmt w:val="bullet"/>
      <w:lvlText w:val="•"/>
      <w:lvlJc w:val="left"/>
      <w:pPr>
        <w:ind w:left="2221" w:hanging="601"/>
      </w:pPr>
      <w:rPr>
        <w:rFonts w:hint="default"/>
        <w:lang w:val="en-US" w:eastAsia="zh-CN" w:bidi="ar-SA"/>
      </w:rPr>
    </w:lvl>
    <w:lvl w:ilvl="3">
      <w:start w:val="0"/>
      <w:numFmt w:val="bullet"/>
      <w:lvlText w:val="•"/>
      <w:lvlJc w:val="left"/>
      <w:pPr>
        <w:ind w:left="3191" w:hanging="601"/>
      </w:pPr>
      <w:rPr>
        <w:rFonts w:hint="default"/>
        <w:lang w:val="en-US" w:eastAsia="zh-CN" w:bidi="ar-SA"/>
      </w:rPr>
    </w:lvl>
    <w:lvl w:ilvl="4">
      <w:start w:val="0"/>
      <w:numFmt w:val="bullet"/>
      <w:lvlText w:val="•"/>
      <w:lvlJc w:val="left"/>
      <w:pPr>
        <w:ind w:left="4162" w:hanging="601"/>
      </w:pPr>
      <w:rPr>
        <w:rFonts w:hint="default"/>
        <w:lang w:val="en-US" w:eastAsia="zh-CN" w:bidi="ar-SA"/>
      </w:rPr>
    </w:lvl>
    <w:lvl w:ilvl="5">
      <w:start w:val="0"/>
      <w:numFmt w:val="bullet"/>
      <w:lvlText w:val="•"/>
      <w:lvlJc w:val="left"/>
      <w:pPr>
        <w:ind w:left="5133" w:hanging="601"/>
      </w:pPr>
      <w:rPr>
        <w:rFonts w:hint="default"/>
        <w:lang w:val="en-US" w:eastAsia="zh-CN" w:bidi="ar-SA"/>
      </w:rPr>
    </w:lvl>
    <w:lvl w:ilvl="6">
      <w:start w:val="0"/>
      <w:numFmt w:val="bullet"/>
      <w:lvlText w:val="•"/>
      <w:lvlJc w:val="left"/>
      <w:pPr>
        <w:ind w:left="6103" w:hanging="601"/>
      </w:pPr>
      <w:rPr>
        <w:rFonts w:hint="default"/>
        <w:lang w:val="en-US" w:eastAsia="zh-CN" w:bidi="ar-SA"/>
      </w:rPr>
    </w:lvl>
    <w:lvl w:ilvl="7">
      <w:start w:val="0"/>
      <w:numFmt w:val="bullet"/>
      <w:lvlText w:val="•"/>
      <w:lvlJc w:val="left"/>
      <w:pPr>
        <w:ind w:left="7074" w:hanging="601"/>
      </w:pPr>
      <w:rPr>
        <w:rFonts w:hint="default"/>
        <w:lang w:val="en-US" w:eastAsia="zh-CN" w:bidi="ar-SA"/>
      </w:rPr>
    </w:lvl>
    <w:lvl w:ilvl="8">
      <w:start w:val="0"/>
      <w:numFmt w:val="bullet"/>
      <w:lvlText w:val="•"/>
      <w:lvlJc w:val="left"/>
      <w:pPr>
        <w:ind w:left="8044" w:hanging="601"/>
      </w:pPr>
      <w:rPr>
        <w:rFonts w:hint="default"/>
        <w:lang w:val="en-US" w:eastAsia="zh-CN" w:bidi="ar-SA"/>
      </w:rPr>
    </w:lvl>
  </w:abstractNum>
  <w:abstractNum w:abstractNumId="19">
    <w:nsid w:val="71281EA1"/>
    <w:multiLevelType w:val="hybridMultilevel"/>
    <w:tmpl w:val="00000000"/>
    <w:lvl w:ilvl="0">
      <w:start w:val="1"/>
      <w:numFmt w:val="decimal"/>
      <w:lvlText w:val="（%1）"/>
      <w:lvlJc w:val="left"/>
      <w:pPr>
        <w:ind w:left="280" w:hanging="601"/>
        <w:jc w:val="left"/>
      </w:pPr>
      <w:rPr>
        <w:rFonts w:ascii="仿宋" w:eastAsia="仿宋" w:hAnsi="仿宋" w:cs="仿宋" w:hint="default"/>
        <w:b w:val="0"/>
        <w:bCs w:val="0"/>
        <w:i w:val="0"/>
        <w:iCs w:val="0"/>
        <w:w w:val="100"/>
        <w:sz w:val="22"/>
        <w:szCs w:val="22"/>
        <w:lang w:val="en-US" w:eastAsia="zh-CN" w:bidi="ar-SA"/>
      </w:rPr>
    </w:lvl>
    <w:lvl w:ilvl="1">
      <w:start w:val="0"/>
      <w:numFmt w:val="bullet"/>
      <w:lvlText w:val="•"/>
      <w:lvlJc w:val="left"/>
      <w:pPr>
        <w:ind w:left="1250" w:hanging="601"/>
      </w:pPr>
      <w:rPr>
        <w:rFonts w:hint="default"/>
        <w:lang w:val="en-US" w:eastAsia="zh-CN" w:bidi="ar-SA"/>
      </w:rPr>
    </w:lvl>
    <w:lvl w:ilvl="2">
      <w:start w:val="0"/>
      <w:numFmt w:val="bullet"/>
      <w:lvlText w:val="•"/>
      <w:lvlJc w:val="left"/>
      <w:pPr>
        <w:ind w:left="2221" w:hanging="601"/>
      </w:pPr>
      <w:rPr>
        <w:rFonts w:hint="default"/>
        <w:lang w:val="en-US" w:eastAsia="zh-CN" w:bidi="ar-SA"/>
      </w:rPr>
    </w:lvl>
    <w:lvl w:ilvl="3">
      <w:start w:val="0"/>
      <w:numFmt w:val="bullet"/>
      <w:lvlText w:val="•"/>
      <w:lvlJc w:val="left"/>
      <w:pPr>
        <w:ind w:left="3191" w:hanging="601"/>
      </w:pPr>
      <w:rPr>
        <w:rFonts w:hint="default"/>
        <w:lang w:val="en-US" w:eastAsia="zh-CN" w:bidi="ar-SA"/>
      </w:rPr>
    </w:lvl>
    <w:lvl w:ilvl="4">
      <w:start w:val="0"/>
      <w:numFmt w:val="bullet"/>
      <w:lvlText w:val="•"/>
      <w:lvlJc w:val="left"/>
      <w:pPr>
        <w:ind w:left="4162" w:hanging="601"/>
      </w:pPr>
      <w:rPr>
        <w:rFonts w:hint="default"/>
        <w:lang w:val="en-US" w:eastAsia="zh-CN" w:bidi="ar-SA"/>
      </w:rPr>
    </w:lvl>
    <w:lvl w:ilvl="5">
      <w:start w:val="0"/>
      <w:numFmt w:val="bullet"/>
      <w:lvlText w:val="•"/>
      <w:lvlJc w:val="left"/>
      <w:pPr>
        <w:ind w:left="5133" w:hanging="601"/>
      </w:pPr>
      <w:rPr>
        <w:rFonts w:hint="default"/>
        <w:lang w:val="en-US" w:eastAsia="zh-CN" w:bidi="ar-SA"/>
      </w:rPr>
    </w:lvl>
    <w:lvl w:ilvl="6">
      <w:start w:val="0"/>
      <w:numFmt w:val="bullet"/>
      <w:lvlText w:val="•"/>
      <w:lvlJc w:val="left"/>
      <w:pPr>
        <w:ind w:left="6103" w:hanging="601"/>
      </w:pPr>
      <w:rPr>
        <w:rFonts w:hint="default"/>
        <w:lang w:val="en-US" w:eastAsia="zh-CN" w:bidi="ar-SA"/>
      </w:rPr>
    </w:lvl>
    <w:lvl w:ilvl="7">
      <w:start w:val="0"/>
      <w:numFmt w:val="bullet"/>
      <w:lvlText w:val="•"/>
      <w:lvlJc w:val="left"/>
      <w:pPr>
        <w:ind w:left="7074" w:hanging="601"/>
      </w:pPr>
      <w:rPr>
        <w:rFonts w:hint="default"/>
        <w:lang w:val="en-US" w:eastAsia="zh-CN" w:bidi="ar-SA"/>
      </w:rPr>
    </w:lvl>
    <w:lvl w:ilvl="8">
      <w:start w:val="0"/>
      <w:numFmt w:val="bullet"/>
      <w:lvlText w:val="•"/>
      <w:lvlJc w:val="left"/>
      <w:pPr>
        <w:ind w:left="8044" w:hanging="601"/>
      </w:pPr>
      <w:rPr>
        <w:rFonts w:hint="default"/>
        <w:lang w:val="en-US" w:eastAsia="zh-CN" w:bidi="ar-SA"/>
      </w:rPr>
    </w:lvl>
  </w:abstractNum>
  <w:abstractNum w:abstractNumId="20">
    <w:nsid w:val="77A5B632"/>
    <w:multiLevelType w:val="hybridMultilevel"/>
    <w:tmpl w:val="00000000"/>
    <w:lvl w:ilvl="0">
      <w:start w:val="1"/>
      <w:numFmt w:val="decimal"/>
      <w:lvlText w:val="（%1）"/>
      <w:lvlJc w:val="left"/>
      <w:pPr>
        <w:ind w:left="1481" w:hanging="601"/>
        <w:jc w:val="left"/>
      </w:pPr>
      <w:rPr>
        <w:rFonts w:ascii="仿宋" w:eastAsia="仿宋" w:hAnsi="仿宋" w:cs="仿宋" w:hint="default"/>
        <w:b w:val="0"/>
        <w:bCs w:val="0"/>
        <w:i w:val="0"/>
        <w:iCs w:val="0"/>
        <w:w w:val="100"/>
        <w:sz w:val="22"/>
        <w:szCs w:val="22"/>
        <w:lang w:val="en-US" w:eastAsia="zh-CN" w:bidi="ar-SA"/>
      </w:rPr>
    </w:lvl>
    <w:lvl w:ilvl="1">
      <w:start w:val="0"/>
      <w:numFmt w:val="bullet"/>
      <w:lvlText w:val="•"/>
      <w:lvlJc w:val="left"/>
      <w:pPr>
        <w:ind w:left="2226" w:hanging="601"/>
      </w:pPr>
      <w:rPr>
        <w:rFonts w:hint="default"/>
        <w:lang w:val="en-US" w:eastAsia="zh-CN" w:bidi="ar-SA"/>
      </w:rPr>
    </w:lvl>
    <w:lvl w:ilvl="2">
      <w:start w:val="0"/>
      <w:numFmt w:val="bullet"/>
      <w:lvlText w:val="•"/>
      <w:lvlJc w:val="left"/>
      <w:pPr>
        <w:ind w:left="2973" w:hanging="601"/>
      </w:pPr>
      <w:rPr>
        <w:rFonts w:hint="default"/>
        <w:lang w:val="en-US" w:eastAsia="zh-CN" w:bidi="ar-SA"/>
      </w:rPr>
    </w:lvl>
    <w:lvl w:ilvl="3">
      <w:start w:val="0"/>
      <w:numFmt w:val="bullet"/>
      <w:lvlText w:val="•"/>
      <w:lvlJc w:val="left"/>
      <w:pPr>
        <w:ind w:left="3719" w:hanging="601"/>
      </w:pPr>
      <w:rPr>
        <w:rFonts w:hint="default"/>
        <w:lang w:val="en-US" w:eastAsia="zh-CN" w:bidi="ar-SA"/>
      </w:rPr>
    </w:lvl>
    <w:lvl w:ilvl="4">
      <w:start w:val="0"/>
      <w:numFmt w:val="bullet"/>
      <w:lvlText w:val="•"/>
      <w:lvlJc w:val="left"/>
      <w:pPr>
        <w:ind w:left="4466" w:hanging="601"/>
      </w:pPr>
      <w:rPr>
        <w:rFonts w:hint="default"/>
        <w:lang w:val="en-US" w:eastAsia="zh-CN" w:bidi="ar-SA"/>
      </w:rPr>
    </w:lvl>
    <w:lvl w:ilvl="5">
      <w:start w:val="0"/>
      <w:numFmt w:val="bullet"/>
      <w:lvlText w:val="•"/>
      <w:lvlJc w:val="left"/>
      <w:pPr>
        <w:ind w:left="5213" w:hanging="601"/>
      </w:pPr>
      <w:rPr>
        <w:rFonts w:hint="default"/>
        <w:lang w:val="en-US" w:eastAsia="zh-CN" w:bidi="ar-SA"/>
      </w:rPr>
    </w:lvl>
    <w:lvl w:ilvl="6">
      <w:start w:val="0"/>
      <w:numFmt w:val="bullet"/>
      <w:lvlText w:val="•"/>
      <w:lvlJc w:val="left"/>
      <w:pPr>
        <w:ind w:left="5959" w:hanging="601"/>
      </w:pPr>
      <w:rPr>
        <w:rFonts w:hint="default"/>
        <w:lang w:val="en-US" w:eastAsia="zh-CN" w:bidi="ar-SA"/>
      </w:rPr>
    </w:lvl>
    <w:lvl w:ilvl="7">
      <w:start w:val="0"/>
      <w:numFmt w:val="bullet"/>
      <w:lvlText w:val="•"/>
      <w:lvlJc w:val="left"/>
      <w:pPr>
        <w:ind w:left="6706" w:hanging="601"/>
      </w:pPr>
      <w:rPr>
        <w:rFonts w:hint="default"/>
        <w:lang w:val="en-US" w:eastAsia="zh-CN" w:bidi="ar-SA"/>
      </w:rPr>
    </w:lvl>
    <w:lvl w:ilvl="8">
      <w:start w:val="0"/>
      <w:numFmt w:val="bullet"/>
      <w:lvlText w:val="•"/>
      <w:lvlJc w:val="left"/>
      <w:pPr>
        <w:ind w:left="7452" w:hanging="601"/>
      </w:pPr>
      <w:rPr>
        <w:rFonts w:hint="default"/>
        <w:lang w:val="en-US" w:eastAsia="zh-CN" w:bidi="ar-SA"/>
      </w:rPr>
    </w:lvl>
  </w:abstractNum>
  <w:abstractNum w:abstractNumId="21">
    <w:nsid w:val="7A75E6DF"/>
    <w:multiLevelType w:val="hybridMultilevel"/>
    <w:tmpl w:val="00000000"/>
    <w:lvl w:ilvl="0">
      <w:start w:val="1"/>
      <w:numFmt w:val="decimal"/>
      <w:lvlText w:val="（%1）"/>
      <w:lvlJc w:val="left"/>
      <w:pPr>
        <w:ind w:left="280" w:hanging="601"/>
        <w:jc w:val="left"/>
      </w:pPr>
      <w:rPr>
        <w:rFonts w:ascii="仿宋" w:eastAsia="仿宋" w:hAnsi="仿宋" w:cs="仿宋" w:hint="default"/>
        <w:b w:val="0"/>
        <w:bCs w:val="0"/>
        <w:i w:val="0"/>
        <w:iCs w:val="0"/>
        <w:w w:val="100"/>
        <w:sz w:val="22"/>
        <w:szCs w:val="22"/>
        <w:lang w:val="en-US" w:eastAsia="zh-CN" w:bidi="ar-SA"/>
      </w:rPr>
    </w:lvl>
    <w:lvl w:ilvl="1">
      <w:start w:val="0"/>
      <w:numFmt w:val="bullet"/>
      <w:lvlText w:val="•"/>
      <w:lvlJc w:val="left"/>
      <w:pPr>
        <w:ind w:left="1250" w:hanging="601"/>
      </w:pPr>
      <w:rPr>
        <w:rFonts w:hint="default"/>
        <w:lang w:val="en-US" w:eastAsia="zh-CN" w:bidi="ar-SA"/>
      </w:rPr>
    </w:lvl>
    <w:lvl w:ilvl="2">
      <w:start w:val="0"/>
      <w:numFmt w:val="bullet"/>
      <w:lvlText w:val="•"/>
      <w:lvlJc w:val="left"/>
      <w:pPr>
        <w:ind w:left="2221" w:hanging="601"/>
      </w:pPr>
      <w:rPr>
        <w:rFonts w:hint="default"/>
        <w:lang w:val="en-US" w:eastAsia="zh-CN" w:bidi="ar-SA"/>
      </w:rPr>
    </w:lvl>
    <w:lvl w:ilvl="3">
      <w:start w:val="0"/>
      <w:numFmt w:val="bullet"/>
      <w:lvlText w:val="•"/>
      <w:lvlJc w:val="left"/>
      <w:pPr>
        <w:ind w:left="3191" w:hanging="601"/>
      </w:pPr>
      <w:rPr>
        <w:rFonts w:hint="default"/>
        <w:lang w:val="en-US" w:eastAsia="zh-CN" w:bidi="ar-SA"/>
      </w:rPr>
    </w:lvl>
    <w:lvl w:ilvl="4">
      <w:start w:val="0"/>
      <w:numFmt w:val="bullet"/>
      <w:lvlText w:val="•"/>
      <w:lvlJc w:val="left"/>
      <w:pPr>
        <w:ind w:left="4162" w:hanging="601"/>
      </w:pPr>
      <w:rPr>
        <w:rFonts w:hint="default"/>
        <w:lang w:val="en-US" w:eastAsia="zh-CN" w:bidi="ar-SA"/>
      </w:rPr>
    </w:lvl>
    <w:lvl w:ilvl="5">
      <w:start w:val="0"/>
      <w:numFmt w:val="bullet"/>
      <w:lvlText w:val="•"/>
      <w:lvlJc w:val="left"/>
      <w:pPr>
        <w:ind w:left="5133" w:hanging="601"/>
      </w:pPr>
      <w:rPr>
        <w:rFonts w:hint="default"/>
        <w:lang w:val="en-US" w:eastAsia="zh-CN" w:bidi="ar-SA"/>
      </w:rPr>
    </w:lvl>
    <w:lvl w:ilvl="6">
      <w:start w:val="0"/>
      <w:numFmt w:val="bullet"/>
      <w:lvlText w:val="•"/>
      <w:lvlJc w:val="left"/>
      <w:pPr>
        <w:ind w:left="6103" w:hanging="601"/>
      </w:pPr>
      <w:rPr>
        <w:rFonts w:hint="default"/>
        <w:lang w:val="en-US" w:eastAsia="zh-CN" w:bidi="ar-SA"/>
      </w:rPr>
    </w:lvl>
    <w:lvl w:ilvl="7">
      <w:start w:val="0"/>
      <w:numFmt w:val="bullet"/>
      <w:lvlText w:val="•"/>
      <w:lvlJc w:val="left"/>
      <w:pPr>
        <w:ind w:left="7074" w:hanging="601"/>
      </w:pPr>
      <w:rPr>
        <w:rFonts w:hint="default"/>
        <w:lang w:val="en-US" w:eastAsia="zh-CN" w:bidi="ar-SA"/>
      </w:rPr>
    </w:lvl>
    <w:lvl w:ilvl="8">
      <w:start w:val="0"/>
      <w:numFmt w:val="bullet"/>
      <w:lvlText w:val="•"/>
      <w:lvlJc w:val="left"/>
      <w:pPr>
        <w:ind w:left="8044" w:hanging="601"/>
      </w:pPr>
      <w:rPr>
        <w:rFonts w:hint="default"/>
        <w:lang w:val="en-US" w:eastAsia="zh-CN" w:bidi="ar-SA"/>
      </w:rPr>
    </w:lvl>
  </w:abstractNum>
  <w:abstractNum w:abstractNumId="22">
    <w:nsid w:val="7BB54E3E"/>
    <w:multiLevelType w:val="hybridMultilevel"/>
    <w:tmpl w:val="00000000"/>
    <w:lvl w:ilvl="0">
      <w:start w:val="1"/>
      <w:numFmt w:val="decimal"/>
      <w:lvlText w:val="（%1）"/>
      <w:lvlJc w:val="left"/>
      <w:pPr>
        <w:ind w:left="1480" w:hanging="720"/>
        <w:jc w:val="right"/>
      </w:pPr>
      <w:rPr>
        <w:rFonts w:ascii="仿宋" w:eastAsia="仿宋" w:hAnsi="仿宋" w:cs="仿宋" w:hint="default"/>
        <w:b w:val="0"/>
        <w:bCs w:val="0"/>
        <w:i w:val="0"/>
        <w:iCs w:val="0"/>
        <w:w w:val="100"/>
        <w:sz w:val="24"/>
        <w:szCs w:val="24"/>
        <w:lang w:val="en-US" w:eastAsia="zh-CN" w:bidi="ar-SA"/>
      </w:rPr>
    </w:lvl>
    <w:lvl w:ilvl="1">
      <w:start w:val="0"/>
      <w:numFmt w:val="bullet"/>
      <w:lvlText w:val="•"/>
      <w:lvlJc w:val="left"/>
      <w:pPr>
        <w:ind w:left="2330" w:hanging="720"/>
      </w:pPr>
      <w:rPr>
        <w:rFonts w:hint="default"/>
        <w:lang w:val="en-US" w:eastAsia="zh-CN" w:bidi="ar-SA"/>
      </w:rPr>
    </w:lvl>
    <w:lvl w:ilvl="2">
      <w:start w:val="0"/>
      <w:numFmt w:val="bullet"/>
      <w:lvlText w:val="•"/>
      <w:lvlJc w:val="left"/>
      <w:pPr>
        <w:ind w:left="3181" w:hanging="720"/>
      </w:pPr>
      <w:rPr>
        <w:rFonts w:hint="default"/>
        <w:lang w:val="en-US" w:eastAsia="zh-CN" w:bidi="ar-SA"/>
      </w:rPr>
    </w:lvl>
    <w:lvl w:ilvl="3">
      <w:start w:val="0"/>
      <w:numFmt w:val="bullet"/>
      <w:lvlText w:val="•"/>
      <w:lvlJc w:val="left"/>
      <w:pPr>
        <w:ind w:left="4031" w:hanging="720"/>
      </w:pPr>
      <w:rPr>
        <w:rFonts w:hint="default"/>
        <w:lang w:val="en-US" w:eastAsia="zh-CN" w:bidi="ar-SA"/>
      </w:rPr>
    </w:lvl>
    <w:lvl w:ilvl="4">
      <w:start w:val="0"/>
      <w:numFmt w:val="bullet"/>
      <w:lvlText w:val="•"/>
      <w:lvlJc w:val="left"/>
      <w:pPr>
        <w:ind w:left="4882" w:hanging="720"/>
      </w:pPr>
      <w:rPr>
        <w:rFonts w:hint="default"/>
        <w:lang w:val="en-US" w:eastAsia="zh-CN" w:bidi="ar-SA"/>
      </w:rPr>
    </w:lvl>
    <w:lvl w:ilvl="5">
      <w:start w:val="0"/>
      <w:numFmt w:val="bullet"/>
      <w:lvlText w:val="•"/>
      <w:lvlJc w:val="left"/>
      <w:pPr>
        <w:ind w:left="5733" w:hanging="720"/>
      </w:pPr>
      <w:rPr>
        <w:rFonts w:hint="default"/>
        <w:lang w:val="en-US" w:eastAsia="zh-CN" w:bidi="ar-SA"/>
      </w:rPr>
    </w:lvl>
    <w:lvl w:ilvl="6">
      <w:start w:val="0"/>
      <w:numFmt w:val="bullet"/>
      <w:lvlText w:val="•"/>
      <w:lvlJc w:val="left"/>
      <w:pPr>
        <w:ind w:left="6583" w:hanging="720"/>
      </w:pPr>
      <w:rPr>
        <w:rFonts w:hint="default"/>
        <w:lang w:val="en-US" w:eastAsia="zh-CN" w:bidi="ar-SA"/>
      </w:rPr>
    </w:lvl>
    <w:lvl w:ilvl="7">
      <w:start w:val="0"/>
      <w:numFmt w:val="bullet"/>
      <w:lvlText w:val="•"/>
      <w:lvlJc w:val="left"/>
      <w:pPr>
        <w:ind w:left="7434" w:hanging="720"/>
      </w:pPr>
      <w:rPr>
        <w:rFonts w:hint="default"/>
        <w:lang w:val="en-US" w:eastAsia="zh-CN" w:bidi="ar-SA"/>
      </w:rPr>
    </w:lvl>
    <w:lvl w:ilvl="8">
      <w:start w:val="0"/>
      <w:numFmt w:val="bullet"/>
      <w:lvlText w:val="•"/>
      <w:lvlJc w:val="left"/>
      <w:pPr>
        <w:ind w:left="8284" w:hanging="720"/>
      </w:pPr>
      <w:rPr>
        <w:rFonts w:hint="default"/>
        <w:lang w:val="en-US" w:eastAsia="zh-CN" w:bidi="ar-SA"/>
      </w:rPr>
    </w:lvl>
  </w:abstractNum>
  <w:abstractNum w:abstractNumId="23">
    <w:nsid w:val="7E2888EA"/>
    <w:multiLevelType w:val="hybridMultilevel"/>
    <w:tmpl w:val="00000000"/>
    <w:lvl w:ilvl="0">
      <w:start w:val="1"/>
      <w:numFmt w:val="decimal"/>
      <w:lvlText w:val="（%1）"/>
      <w:lvlJc w:val="left"/>
      <w:pPr>
        <w:ind w:left="1601" w:hanging="601"/>
        <w:jc w:val="left"/>
      </w:pPr>
      <w:rPr>
        <w:rFonts w:ascii="仿宋" w:eastAsia="仿宋" w:hAnsi="仿宋" w:cs="仿宋" w:hint="default"/>
        <w:b w:val="0"/>
        <w:bCs w:val="0"/>
        <w:i w:val="0"/>
        <w:iCs w:val="0"/>
        <w:spacing w:val="-32"/>
        <w:w w:val="100"/>
        <w:sz w:val="22"/>
        <w:szCs w:val="22"/>
        <w:lang w:val="en-US" w:eastAsia="zh-CN" w:bidi="ar-SA"/>
      </w:rPr>
    </w:lvl>
    <w:lvl w:ilvl="1">
      <w:start w:val="0"/>
      <w:numFmt w:val="bullet"/>
      <w:lvlText w:val="•"/>
      <w:lvlJc w:val="left"/>
      <w:pPr>
        <w:ind w:left="2334" w:hanging="601"/>
      </w:pPr>
      <w:rPr>
        <w:rFonts w:hint="default"/>
        <w:lang w:val="en-US" w:eastAsia="zh-CN" w:bidi="ar-SA"/>
      </w:rPr>
    </w:lvl>
    <w:lvl w:ilvl="2">
      <w:start w:val="0"/>
      <w:numFmt w:val="bullet"/>
      <w:lvlText w:val="•"/>
      <w:lvlJc w:val="left"/>
      <w:pPr>
        <w:ind w:left="3069" w:hanging="601"/>
      </w:pPr>
      <w:rPr>
        <w:rFonts w:hint="default"/>
        <w:lang w:val="en-US" w:eastAsia="zh-CN" w:bidi="ar-SA"/>
      </w:rPr>
    </w:lvl>
    <w:lvl w:ilvl="3">
      <w:start w:val="0"/>
      <w:numFmt w:val="bullet"/>
      <w:lvlText w:val="•"/>
      <w:lvlJc w:val="left"/>
      <w:pPr>
        <w:ind w:left="3803" w:hanging="601"/>
      </w:pPr>
      <w:rPr>
        <w:rFonts w:hint="default"/>
        <w:lang w:val="en-US" w:eastAsia="zh-CN" w:bidi="ar-SA"/>
      </w:rPr>
    </w:lvl>
    <w:lvl w:ilvl="4">
      <w:start w:val="0"/>
      <w:numFmt w:val="bullet"/>
      <w:lvlText w:val="•"/>
      <w:lvlJc w:val="left"/>
      <w:pPr>
        <w:ind w:left="4538" w:hanging="601"/>
      </w:pPr>
      <w:rPr>
        <w:rFonts w:hint="default"/>
        <w:lang w:val="en-US" w:eastAsia="zh-CN" w:bidi="ar-SA"/>
      </w:rPr>
    </w:lvl>
    <w:lvl w:ilvl="5">
      <w:start w:val="0"/>
      <w:numFmt w:val="bullet"/>
      <w:lvlText w:val="•"/>
      <w:lvlJc w:val="left"/>
      <w:pPr>
        <w:ind w:left="5273" w:hanging="601"/>
      </w:pPr>
      <w:rPr>
        <w:rFonts w:hint="default"/>
        <w:lang w:val="en-US" w:eastAsia="zh-CN" w:bidi="ar-SA"/>
      </w:rPr>
    </w:lvl>
    <w:lvl w:ilvl="6">
      <w:start w:val="0"/>
      <w:numFmt w:val="bullet"/>
      <w:lvlText w:val="•"/>
      <w:lvlJc w:val="left"/>
      <w:pPr>
        <w:ind w:left="6007" w:hanging="601"/>
      </w:pPr>
      <w:rPr>
        <w:rFonts w:hint="default"/>
        <w:lang w:val="en-US" w:eastAsia="zh-CN" w:bidi="ar-SA"/>
      </w:rPr>
    </w:lvl>
    <w:lvl w:ilvl="7">
      <w:start w:val="0"/>
      <w:numFmt w:val="bullet"/>
      <w:lvlText w:val="•"/>
      <w:lvlJc w:val="left"/>
      <w:pPr>
        <w:ind w:left="6742" w:hanging="601"/>
      </w:pPr>
      <w:rPr>
        <w:rFonts w:hint="default"/>
        <w:lang w:val="en-US" w:eastAsia="zh-CN" w:bidi="ar-SA"/>
      </w:rPr>
    </w:lvl>
    <w:lvl w:ilvl="8">
      <w:start w:val="0"/>
      <w:numFmt w:val="bullet"/>
      <w:lvlText w:val="•"/>
      <w:lvlJc w:val="left"/>
      <w:pPr>
        <w:ind w:left="7476" w:hanging="601"/>
      </w:pPr>
      <w:rPr>
        <w:rFonts w:hint="default"/>
        <w:lang w:val="en-US" w:eastAsia="zh-CN" w:bidi="ar-SA"/>
      </w:rPr>
    </w:lvl>
  </w:abstractNum>
  <w:num w:numId="1">
    <w:abstractNumId w:val="12"/>
  </w:num>
  <w:num w:numId="2">
    <w:abstractNumId w:val="17"/>
  </w:num>
  <w:num w:numId="3">
    <w:abstractNumId w:val="0"/>
  </w:num>
  <w:num w:numId="4">
    <w:abstractNumId w:val="14"/>
  </w:num>
  <w:num w:numId="5">
    <w:abstractNumId w:val="5"/>
  </w:num>
  <w:num w:numId="6">
    <w:abstractNumId w:val="16"/>
  </w:num>
  <w:num w:numId="7">
    <w:abstractNumId w:val="20"/>
  </w:num>
  <w:num w:numId="8">
    <w:abstractNumId w:val="4"/>
  </w:num>
  <w:num w:numId="9">
    <w:abstractNumId w:val="7"/>
  </w:num>
  <w:num w:numId="10">
    <w:abstractNumId w:val="2"/>
  </w:num>
  <w:num w:numId="11">
    <w:abstractNumId w:val="6"/>
  </w:num>
  <w:num w:numId="12">
    <w:abstractNumId w:val="23"/>
  </w:num>
  <w:num w:numId="13">
    <w:abstractNumId w:val="9"/>
  </w:num>
  <w:num w:numId="14">
    <w:abstractNumId w:val="8"/>
  </w:num>
  <w:num w:numId="15">
    <w:abstractNumId w:val="21"/>
  </w:num>
  <w:num w:numId="16">
    <w:abstractNumId w:val="22"/>
  </w:num>
  <w:num w:numId="17">
    <w:abstractNumId w:val="13"/>
  </w:num>
  <w:num w:numId="18">
    <w:abstractNumId w:val="10"/>
  </w:num>
  <w:num w:numId="19">
    <w:abstractNumId w:val="1"/>
  </w:num>
  <w:num w:numId="20">
    <w:abstractNumId w:val="19"/>
  </w:num>
  <w:num w:numId="21">
    <w:abstractNumId w:val="15"/>
  </w:num>
  <w:num w:numId="22">
    <w:abstractNumId w:val="18"/>
  </w:num>
  <w:num w:numId="23">
    <w:abstractNumId w:val="3"/>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仿宋" w:eastAsia="仿宋" w:hAnsi="仿宋" w:cs="仿宋"/>
      <w:lang w:val="en-US" w:eastAsia="zh-CN" w:bidi="ar-SA"/>
    </w:rPr>
  </w:style>
  <w:style w:type="paragraph" w:styleId="Heading1">
    <w:name w:val="heading 1"/>
    <w:basedOn w:val="Normal"/>
    <w:uiPriority w:val="1"/>
    <w:qFormat/>
    <w:pPr>
      <w:ind w:left="1499" w:hanging="482"/>
      <w:outlineLvl w:val="0"/>
    </w:pPr>
    <w:rPr>
      <w:rFonts w:ascii="微软雅黑" w:eastAsia="微软雅黑" w:hAnsi="微软雅黑" w:cs="微软雅黑"/>
      <w:b/>
      <w:bCs/>
      <w:sz w:val="32"/>
      <w:szCs w:val="32"/>
      <w:lang w:val="en-US" w:eastAsia="zh-CN" w:bidi="ar-SA"/>
    </w:rPr>
  </w:style>
  <w:style w:type="paragraph" w:styleId="Heading2">
    <w:name w:val="heading 2"/>
    <w:basedOn w:val="Normal"/>
    <w:uiPriority w:val="1"/>
    <w:qFormat/>
    <w:pPr>
      <w:ind w:left="535" w:hanging="424"/>
      <w:outlineLvl w:val="1"/>
    </w:pPr>
    <w:rPr>
      <w:rFonts w:ascii="微软雅黑" w:eastAsia="微软雅黑" w:hAnsi="微软雅黑" w:cs="微软雅黑"/>
      <w:b/>
      <w:bCs/>
      <w:sz w:val="28"/>
      <w:szCs w:val="28"/>
      <w:lang w:val="en-US" w:eastAsia="zh-CN" w:bidi="ar-SA"/>
    </w:rPr>
  </w:style>
  <w:style w:type="paragraph" w:styleId="Heading3">
    <w:name w:val="heading 3"/>
    <w:basedOn w:val="Normal"/>
    <w:uiPriority w:val="1"/>
    <w:qFormat/>
    <w:pPr>
      <w:ind w:left="280"/>
      <w:outlineLvl w:val="2"/>
    </w:pPr>
    <w:rPr>
      <w:rFonts w:ascii="微软雅黑" w:eastAsia="微软雅黑" w:hAnsi="微软雅黑" w:cs="微软雅黑"/>
      <w:b/>
      <w:bCs/>
      <w:sz w:val="24"/>
      <w:szCs w:val="24"/>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仿宋" w:eastAsia="仿宋" w:hAnsi="仿宋" w:cs="仿宋"/>
      <w:sz w:val="24"/>
      <w:szCs w:val="24"/>
      <w:lang w:val="en-US" w:eastAsia="zh-CN" w:bidi="ar-SA"/>
    </w:rPr>
  </w:style>
  <w:style w:type="paragraph" w:styleId="ListParagraph">
    <w:name w:val="List Paragraph"/>
    <w:basedOn w:val="Normal"/>
    <w:uiPriority w:val="1"/>
    <w:qFormat/>
    <w:pPr>
      <w:ind w:left="1380" w:hanging="420"/>
    </w:pPr>
    <w:rPr>
      <w:rFonts w:ascii="仿宋" w:eastAsia="仿宋" w:hAnsi="仿宋" w:cs="仿宋"/>
      <w:lang w:val="en-US" w:eastAsia="zh-CN" w:bidi="ar-SA"/>
    </w:rPr>
  </w:style>
  <w:style w:type="paragraph" w:customStyle="1" w:styleId="TableParagraph">
    <w:name w:val="Table Paragraph"/>
    <w:basedOn w:val="Normal"/>
    <w:uiPriority w:val="1"/>
    <w:qFormat/>
    <w:pPr>
      <w:spacing w:before="82"/>
      <w:jc w:val="center"/>
    </w:pPr>
    <w:rPr>
      <w:rFonts w:ascii="宋体" w:eastAsia="宋体" w:hAnsi="宋体" w:cs="宋体"/>
      <w:lang w:val="en-US" w:eastAsia="zh-CN" w:bidi="ar-SA"/>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 w:type="table" w:customStyle="1" w:styleId="TableNormal3">
    <w:name w:val="Table Normal_3"/>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d.book118.com/127145050103006050" TargetMode="Externa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media/image2.jpeg" /><Relationship Id="rId6" Type="http://schemas.openxmlformats.org/officeDocument/2006/relationships/image" Target="media/image3.jpeg" /><Relationship Id="rId7" Type="http://schemas.openxmlformats.org/officeDocument/2006/relationships/image" Target="media/image4.jpeg" /><Relationship Id="rId8" Type="http://schemas.openxmlformats.org/officeDocument/2006/relationships/image" Target="media/image5.jpeg" /><Relationship Id="rId9" Type="http://schemas.openxmlformats.org/officeDocument/2006/relationships/image" Target="media/image6.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2024-03-04T13:46:27Z</dcterms:created>
  <dcterms:modified xsi:type="dcterms:W3CDTF">2024-03-04T13:46:27Z</dcterms:modified>
</cp:coreProperties>
</file>