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A77B3E" w:rsidRPr="00FD78BA" w:rsidP="00FD78BA" w14:paraId="5AE626D9" w14:textId="77777777">
      <w:pPr>
        <w:spacing w:before="48" w:beforeLines="20" w:after="360" w:afterLines="150" w:line="360" w:lineRule="auto"/>
        <w:jc w:val="center"/>
        <w:rPr>
          <w:rFonts w:ascii="华文中宋" w:eastAsia="华文中宋" w:hAnsi="华文中宋"/>
          <w:b/>
          <w:sz w:val="30"/>
        </w:rPr>
      </w:pPr>
      <w:r w:rsidRPr="00FD78BA">
        <w:rPr>
          <w:rFonts w:ascii="华文中宋" w:eastAsia="华文中宋" w:hAnsi="华文中宋"/>
          <w:b/>
          <w:sz w:val="30"/>
        </w:rPr>
        <w:t>2024</w:t>
      </w:r>
      <w:r w:rsidRPr="00FD78BA">
        <w:rPr>
          <w:rFonts w:ascii="华文中宋" w:eastAsia="华文中宋" w:hAnsi="华文中宋"/>
          <w:b/>
          <w:sz w:val="30"/>
        </w:rPr>
        <w:t>年山东省促进就业创业贷款担保中心人员招聘考试题库及答案解析</w:t>
      </w:r>
    </w:p>
    <w:p w:rsidR="00A77B3E" w14:paraId="4A6D428D" w14:textId="77777777">
      <w:pPr>
        <w:spacing w:after="260" w:line="360" w:lineRule="auto"/>
        <w:jc w:val="center"/>
        <w:rPr>
          <w:sz w:val="21"/>
        </w:rPr>
      </w:pPr>
      <w:r>
        <w:rPr>
          <w:rFonts w:eastAsia="微软雅黑"/>
        </w:rPr>
        <w:t>毕业院校：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姓名：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考场：</w:t>
      </w:r>
      <w:r>
        <w:rPr>
          <w:rFonts w:eastAsia="微软雅黑"/>
        </w:rPr>
        <w:t xml:space="preserve">__________ </w:t>
      </w:r>
      <w:r>
        <w:rPr>
          <w:rFonts w:eastAsia="微软雅黑"/>
        </w:rPr>
        <w:t>考号：</w:t>
      </w:r>
      <w:r>
        <w:rPr>
          <w:rFonts w:eastAsia="微软雅黑"/>
        </w:rPr>
        <w:t>__________</w:t>
      </w:r>
    </w:p>
    <w:p w:rsidR="00A77B3E" w14:paraId="5C9EEE64" w14:textId="77777777">
      <w:pPr>
        <w:spacing w:after="260" w:line="360" w:lineRule="auto"/>
      </w:pPr>
      <w:r>
        <w:rPr>
          <w:rFonts w:eastAsia="微软雅黑" w:cs="宋体"/>
          <w:b/>
        </w:rPr>
        <w:t>一、言语理解与表达</w:t>
      </w:r>
    </w:p>
    <w:p w:rsidR="00E0697D" w14:paraId="582C63F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1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做好食品安全工作，必须坚持预防为主、关口前移。各地、各部门要继续加强食品安全风险监测，全面排查食品安全隐患。要及时发现和解决食品安全的苗头性、倾向性问题，切实把好食品安全的源头关、生产关、流通关和入口关，加强食品安全舆情管理，强化社会监督，健全长效机制，确保食品质量安全可靠，让广大人民群众吃得放心、吃得健康。</w:t>
      </w:r>
    </w:p>
    <w:p w:rsidR="00E0697D" w14:paraId="3A04F62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根据文意，指出不属于“预防措施”的一项是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6B64A2D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、加强食品安全舆情管理，强化社会监督，健全长效机制</w:t>
      </w:r>
    </w:p>
    <w:p w:rsidR="00E0697D" w14:paraId="0EC8F0E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、加强食品安全风险监测，全面排查食品安全隐患</w:t>
      </w:r>
    </w:p>
    <w:p w:rsidR="00E0697D" w14:paraId="4DCF524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、及时发现和解决食品安全的苗头性、倾向性问题</w:t>
      </w:r>
    </w:p>
    <w:p w:rsidR="00E0697D" w14:paraId="2594E8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、把好食品安全的源头关、生产关、流通关和入口关</w:t>
      </w:r>
    </w:p>
    <w:p w:rsidR="00E0697D" w14:paraId="5CB3ED5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paraId="7DA51FE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134" w:right="1474" w:bottom="1134" w:left="1474" w:header="708" w:footer="708" w:gutter="0"/>
          <w:cols w:sep="1" w:space="708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第一步，定位原文，关于“预防措施”的相关内容，全文均有涉及，故将选项与原文一一对应。第二步，辨析选项。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</w:p>
    <w:p w:rsidR="00E0697D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项对应“加强食品安全舆情管理，强化社会监督，健全长效机制”，“舆情管理”是对已发生的食品安全事件的报告，属于事后行为，不属于“预防措施”。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项对应“各地、各部门要继续加强食品安全风险监</w:t>
      </w:r>
      <w:r w:rsidRPr="00E0697D">
        <w:rPr>
          <w:rFonts w:ascii="Times New Roman" w:eastAsia="微软雅黑" w:hAnsi="微软雅黑" w:cs="宋体" w:hint="eastAsia"/>
          <w:szCs w:val="18"/>
        </w:rPr>
        <w:t>测，全面排查食品安全隐患”</w:t>
      </w:r>
      <w:r w:rsidRPr="00E0697D">
        <w:rPr>
          <w:rFonts w:ascii="Times New Roman" w:eastAsia="微软雅黑" w:hAnsi="微软雅黑" w:cs="宋体" w:hint="eastAsia"/>
          <w:szCs w:val="18"/>
        </w:rPr>
        <w:t>;C</w:t>
      </w:r>
      <w:r w:rsidRPr="00E0697D">
        <w:rPr>
          <w:rFonts w:ascii="Times New Roman" w:eastAsia="微软雅黑" w:hAnsi="微软雅黑" w:cs="宋体" w:hint="eastAsia"/>
          <w:szCs w:val="18"/>
        </w:rPr>
        <w:t>项对应“要及时发现和解决食品安全的苗头性、倾向性问题”</w:t>
      </w:r>
      <w:r w:rsidRPr="00E0697D">
        <w:rPr>
          <w:rFonts w:ascii="Times New Roman" w:eastAsia="微软雅黑" w:hAnsi="微软雅黑" w:cs="宋体" w:hint="eastAsia"/>
          <w:szCs w:val="18"/>
        </w:rPr>
        <w:t>;D</w:t>
      </w:r>
      <w:r w:rsidRPr="00E0697D">
        <w:rPr>
          <w:rFonts w:ascii="Times New Roman" w:eastAsia="微软雅黑" w:hAnsi="微软雅黑" w:cs="宋体" w:hint="eastAsia"/>
          <w:szCs w:val="18"/>
        </w:rPr>
        <w:t>项对应“切实把好食品安全的源头关、生产关、流通关和入口关”。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项均属于“预防措施”，排除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项、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项和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项。故选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2C515E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2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古人行文简略，优秀的作品常常“字不虚设”，阅读者决定不予深究的地方，有可能正是作者用心良苦之所在。因此我们阅读时不宜有所偏，应该像作家写作这些文章时那样“</w:t>
      </w:r>
      <w:r w:rsidRPr="00E0697D">
        <w:rPr>
          <w:rFonts w:ascii="Times New Roman" w:eastAsia="微软雅黑" w:hAnsi="微软雅黑" w:cs="宋体" w:hint="eastAsia"/>
          <w:szCs w:val="18"/>
        </w:rPr>
        <w:t>____________</w:t>
      </w:r>
      <w:r w:rsidRPr="00E0697D">
        <w:rPr>
          <w:rFonts w:ascii="Times New Roman" w:eastAsia="微软雅黑" w:hAnsi="微软雅黑" w:cs="宋体" w:hint="eastAsia"/>
          <w:szCs w:val="18"/>
        </w:rPr>
        <w:t>”。</w:t>
      </w:r>
    </w:p>
    <w:p w:rsidR="00E0697D" w14:paraId="1DE692B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填入划横线部分最恰当的一项是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3198499B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、孜孜不倦</w:t>
      </w:r>
    </w:p>
    <w:p w:rsidR="00E0697D" w14:paraId="3A4C9D32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、精益求精</w:t>
      </w:r>
    </w:p>
    <w:p w:rsidR="00E0697D" w14:paraId="2837517F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、字斟句酌</w:t>
      </w:r>
    </w:p>
    <w:p w:rsidR="00E0697D" w14:paraId="6D3E2FCE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、心无旁骛</w:t>
      </w:r>
    </w:p>
    <w:p w:rsidR="00E0697D" w14:paraId="05BCD44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</w:p>
    <w:p w:rsidR="00E0697D" w14:paraId="38290ECC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134" w:right="1474" w:bottom="1134" w:left="1474" w:header="708" w:footer="708" w:gutter="0"/>
          <w:pgNumType w:start="2"/>
          <w:cols w:sep="1" w:space="708"/>
          <w:titlePg w:val="0"/>
          <w:docGrid w:linePitch="360"/>
        </w:sect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由“字不虚设”、“阅读者决定不深究的地方有可能是作者用心良苦之所在”、“阅读时不宜有所偏”</w:t>
      </w:r>
      <w:r w:rsidRPr="00E0697D">
        <w:rPr>
          <w:rFonts w:ascii="Times New Roman" w:eastAsia="微软雅黑" w:hAnsi="微软雅黑" w:cs="宋体" w:hint="eastAsia"/>
          <w:szCs w:val="18"/>
        </w:rPr>
        <w:t>可知，作家写作对细节之处十分重视，字字珠玑，那阅读者对待这些文字的状态就应该是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选项“字斟句酌”，即对每一字、每一句都仔细斟酌、推敲，符合文意。</w:t>
      </w: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选项“孜孜不倦”侧重勤奋，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选项“精益求精”侧重好上加好追求更完美，</w:t>
      </w: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选项“心无旁骛”形容心无杂念、专心致志，三项均不能体现出对细节、在每个字上狠下功夫的特点，排除。故选</w:t>
      </w: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1A2981E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color w:val="0000FF"/>
          <w:szCs w:val="18"/>
        </w:rPr>
        <w:t>3</w:t>
      </w:r>
      <w:r w:rsidRPr="00E0697D">
        <w:rPr>
          <w:rFonts w:ascii="Times New Roman" w:eastAsia="微软雅黑" w:hAnsi="微软雅黑" w:cs="宋体" w:hint="eastAsia"/>
          <w:color w:val="0000FF"/>
          <w:szCs w:val="18"/>
        </w:rPr>
        <w:t>．</w:t>
      </w:r>
      <w:r w:rsidRPr="00E0697D">
        <w:rPr>
          <w:rFonts w:ascii="Times New Roman" w:eastAsia="微软雅黑" w:hAnsi="微软雅黑" w:cs="宋体" w:hint="eastAsia"/>
          <w:szCs w:val="18"/>
        </w:rPr>
        <w:t>徜徉在中国国家博物馆，老挝出土的史前铜鼓、公元前</w:t>
      </w:r>
      <w:r w:rsidRPr="00E0697D">
        <w:rPr>
          <w:rFonts w:ascii="Times New Roman" w:eastAsia="微软雅黑" w:hAnsi="微软雅黑" w:cs="宋体" w:hint="eastAsia"/>
          <w:szCs w:val="18"/>
        </w:rPr>
        <w:t>3</w:t>
      </w:r>
      <w:r w:rsidRPr="00E0697D">
        <w:rPr>
          <w:rFonts w:ascii="Times New Roman" w:eastAsia="微软雅黑" w:hAnsi="微软雅黑" w:cs="宋体" w:hint="eastAsia"/>
          <w:szCs w:val="18"/>
        </w:rPr>
        <w:t>世纪的叙利亚组装画、公元前</w:t>
      </w:r>
      <w:r w:rsidRPr="00E0697D">
        <w:rPr>
          <w:rFonts w:ascii="Times New Roman" w:eastAsia="微软雅黑" w:hAnsi="微软雅黑" w:cs="宋体" w:hint="eastAsia"/>
          <w:szCs w:val="18"/>
        </w:rPr>
        <w:t>4</w:t>
      </w:r>
      <w:r w:rsidRPr="00E0697D">
        <w:rPr>
          <w:rFonts w:ascii="Times New Roman" w:eastAsia="微软雅黑" w:hAnsi="微软雅黑" w:cs="宋体" w:hint="eastAsia"/>
          <w:szCs w:val="18"/>
        </w:rPr>
        <w:t>世纪的沙特石雕映入眼帘，亚细亚的辉煌文明扑面而来</w:t>
      </w:r>
      <w:r w:rsidRPr="00E0697D">
        <w:rPr>
          <w:rFonts w:ascii="Times New Roman" w:eastAsia="微软雅黑" w:hAnsi="微软雅黑" w:cs="宋体" w:hint="eastAsia"/>
          <w:szCs w:val="18"/>
        </w:rPr>
        <w:t>;</w:t>
      </w:r>
      <w:r w:rsidRPr="00E0697D">
        <w:rPr>
          <w:rFonts w:ascii="Times New Roman" w:eastAsia="微软雅黑" w:hAnsi="微软雅黑" w:cs="宋体" w:hint="eastAsia"/>
          <w:szCs w:val="18"/>
        </w:rPr>
        <w:t>流连于红墙黄瓦的故</w:t>
      </w:r>
      <w:r w:rsidRPr="00E0697D">
        <w:rPr>
          <w:rFonts w:ascii="Times New Roman" w:eastAsia="微软雅黑" w:hAnsi="微软雅黑" w:cs="宋体" w:hint="eastAsia"/>
          <w:szCs w:val="18"/>
        </w:rPr>
        <w:t>宫博物院，来自“一带一路”沿线国家的艺术家们用他们的双手和智慧，将不同的文化以版画形式加以呈现……时代的前行、技术的进步、观念的更新，让博物馆的角色不断发生改变。如今，博物馆已不仅是留存文明记忆、呈现文明魅力的“全息视窗”，更是多元文化的“超级链接”、文明交流的“社交网络”。带着欣赏的目光来到博物馆，就如同走进一个气象万千的文明世界。</w:t>
      </w:r>
    </w:p>
    <w:p w:rsidR="00E0697D" w14:paraId="45683914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最适合做这段文字标题的是</w:t>
      </w:r>
      <w:r w:rsidRPr="00E0697D">
        <w:rPr>
          <w:rFonts w:ascii="Times New Roman" w:eastAsia="微软雅黑" w:hAnsi="微软雅黑" w:cs="宋体" w:hint="eastAsia"/>
          <w:szCs w:val="18"/>
        </w:rPr>
        <w:t>()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</w:p>
    <w:p w:rsidR="00E0697D" w14:paraId="4A6291C7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A</w:t>
      </w:r>
      <w:r w:rsidRPr="00E0697D">
        <w:rPr>
          <w:rFonts w:ascii="Times New Roman" w:eastAsia="微软雅黑" w:hAnsi="微软雅黑" w:cs="宋体" w:hint="eastAsia"/>
          <w:szCs w:val="18"/>
        </w:rPr>
        <w:t>、博物馆里的“一带一路”</w:t>
      </w:r>
    </w:p>
    <w:p w:rsidR="00E0697D" w14:paraId="427F4D25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、在博物馆共赏文明之美</w:t>
      </w:r>
    </w:p>
    <w:p w:rsidR="00E0697D" w14:paraId="28BF53B8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C</w:t>
      </w:r>
      <w:r w:rsidRPr="00E0697D">
        <w:rPr>
          <w:rFonts w:ascii="Times New Roman" w:eastAsia="微软雅黑" w:hAnsi="微软雅黑" w:cs="宋体" w:hint="eastAsia"/>
          <w:szCs w:val="18"/>
        </w:rPr>
        <w:t>、新时代博物馆的角色转变</w:t>
      </w:r>
    </w:p>
    <w:p w:rsidR="00E0697D" w14:paraId="4EFB7410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szCs w:val="18"/>
        </w:rPr>
        <w:t>D</w:t>
      </w:r>
      <w:r w:rsidRPr="00E0697D">
        <w:rPr>
          <w:rFonts w:ascii="Times New Roman" w:eastAsia="微软雅黑" w:hAnsi="微软雅黑" w:cs="宋体" w:hint="eastAsia"/>
          <w:szCs w:val="18"/>
        </w:rPr>
        <w:t>、现代博物馆：多元文化之窗</w:t>
      </w:r>
    </w:p>
    <w:p w:rsidR="00E0697D" w14:paraId="1FA068D3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szCs w:val="18"/>
        </w:rPr>
      </w:pPr>
      <w:r w:rsidRPr="00E0697D">
        <w:rPr>
          <w:rFonts w:ascii="Times New Roman" w:eastAsia="微软雅黑" w:hAnsi="微软雅黑" w:cs="宋体" w:hint="eastAsia"/>
          <w:b/>
          <w:color w:val="228B22"/>
          <w:szCs w:val="18"/>
        </w:rPr>
        <w:t>答案：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</w:p>
    <w:p w:rsidR="00E0697D" w14:paraId="67E2266A" w14:textId="77777777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  <w:r w:rsidRPr="00E0697D">
        <w:rPr>
          <w:rFonts w:ascii="Times New Roman" w:eastAsia="微软雅黑" w:hAnsi="微软雅黑" w:cs="宋体" w:hint="eastAsia"/>
          <w:color w:val="228B22"/>
          <w:szCs w:val="18"/>
        </w:rPr>
        <w:t>解析：</w:t>
      </w:r>
      <w:r w:rsidRPr="00E0697D">
        <w:rPr>
          <w:rFonts w:ascii="Times New Roman" w:eastAsia="微软雅黑" w:hAnsi="微软雅黑" w:cs="宋体" w:hint="eastAsia"/>
          <w:szCs w:val="18"/>
        </w:rPr>
        <w:t>第一步，分析文段。文段首句为两层并列的内容，第一层并列指出徜徉在中国国家博物馆，可以欣赏到不同的文明，第二层并列指出流连于红墙黄瓦的故宫，可以欣赏到“一带一路”沿线国家的艺术家们以版画形式呈现的不同的文化。接着指出博物馆的角色不断发生改变，是多元文化的“超级链接”、文明交流的“社交网络”。尾句总结全文，为文段的主旨句，“带着欣赏的目光来到博物馆，如同走进一个气象万千的文明世界”，也就是在博物馆中可以欣赏到多元的、气象万千的文明。第二步，对比选项。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项符合文段主旨，适合作为文段的标题。故选</w:t>
      </w:r>
      <w:r w:rsidRPr="00E0697D">
        <w:rPr>
          <w:rFonts w:ascii="Times New Roman" w:eastAsia="微软雅黑" w:hAnsi="微软雅黑" w:cs="宋体" w:hint="eastAsia"/>
          <w:szCs w:val="18"/>
        </w:rPr>
        <w:t>B</w:t>
      </w:r>
      <w:r w:rsidRPr="00E0697D">
        <w:rPr>
          <w:rFonts w:ascii="Times New Roman" w:eastAsia="微软雅黑" w:hAnsi="微软雅黑" w:cs="宋体" w:hint="eastAsia"/>
          <w:szCs w:val="18"/>
        </w:rPr>
        <w:t>。</w:t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  <w:r>
        <w:rPr>
          <w:rFonts w:ascii="微软雅黑" w:eastAsia="微软雅黑" w:hAnsi="微软雅黑" w:cs="微软雅黑"/>
          <w:b/>
          <w:color w:val="4066F4"/>
          <w:szCs w:val="18"/>
        </w:rP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16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https://d.book118.com/128042105042006027</w:t>
        </w:r>
      </w:hyperlink>
    </w:p>
    <w:p w:rsidR="00E0697D">
      <w:pPr>
        <w:pStyle w:val="NormalWeb"/>
        <w:widowControl/>
        <w:snapToGrid w:val="0"/>
        <w:spacing w:beforeAutospacing="0" w:after="260" w:afterAutospacing="0" w:line="360" w:lineRule="auto"/>
        <w:rPr>
          <w:rFonts w:ascii="微软雅黑" w:eastAsia="微软雅黑" w:hAnsi="微软雅黑" w:cs="微软雅黑"/>
          <w:b/>
          <w:color w:val="4066F4"/>
          <w:szCs w:val="18"/>
        </w:rPr>
      </w:pPr>
    </w:p>
    <w:sectPr>
      <w:headerReference w:type="even" r:id="rId17"/>
      <w:headerReference w:type="default" r:id="rId18"/>
      <w:footerReference w:type="even" r:id="rId19"/>
      <w:footerReference w:type="default" r:id="rId20"/>
      <w:headerReference w:type="first" r:id="rId21"/>
      <w:footerReference w:type="first" r:id="rId22"/>
      <w:type w:val="nextPage"/>
      <w:pgSz w:w="11906" w:h="16838"/>
      <w:pgMar w:top="1134" w:right="1474" w:bottom="1134" w:left="1474" w:header="708" w:footer="708" w:gutter="0"/>
      <w:pgNumType w:start="3"/>
      <w:cols w:sep="1" w:space="708"/>
      <w:titlePg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:rsidP="00E002BD" w14:paraId="139F376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78BA" w14:paraId="10BC3E4F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:rsidP="00E002BD" w14:paraId="5E1C2847" w14:textId="74BDFE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D78BA" w14:paraId="7609ABA8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paraId="153ABED9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78B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:rsidP="00E002BD" w14:textId="74BDFE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78B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:rsidP="00E002B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D78B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:rsidP="00E002BD" w14:textId="74BDFE0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D78B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paraId="1436053C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paraId="27873004" w14:textId="7777777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paraId="067E824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D78B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stylePaneFormatFilter w:val="3F01" w:allStyles="1" w:alternateStyleNames="0" w:clearFormatting="1" w:customStyles="0" w:directFormattingOnNumbering="1" w:directFormattingOnParagraphs="1" w:directFormattingOnRuns="1" w:directFormattingOnTables="1" w:headingStyles="0" w:latentStyles="0" w:numberingStyles="0" w:stylesInUse="0" w:tableStyles="0" w:top3HeadingStyles="1" w:visibleStyles="0"/>
  <w:defaultTabStop w:val="720"/>
  <w:noPunctuationKerning/>
  <w:characterSpacingControl w:val="doNotCompress"/>
  <w:compat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77B3E"/>
    <w:rsid w:val="007675BD"/>
    <w:rsid w:val="009C641C"/>
    <w:rsid w:val="00A77B3E"/>
    <w:rsid w:val="00CA2A55"/>
    <w:rsid w:val="00E002BD"/>
    <w:rsid w:val="00E0697D"/>
    <w:rsid w:val="00FD78B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14:docId w14:val="6C7BC7A4"/>
  <w15:docId w15:val="{2A5422DC-0A84-466C-A877-0052CBB76C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hAnsi="Times New Roman" w:eastAsiaTheme="minorEastAsia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iPriority="99" w:unhideWhenUsed="1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1">
    <w:name w:val="正文1"/>
    <w:qFormat/>
    <w:pPr>
      <w:widowControl w:val="0"/>
      <w:jc w:val="both"/>
    </w:pPr>
    <w:rPr>
      <w:rFonts w:ascii="等线" w:eastAsia="等线" w:hAnsi="等线"/>
      <w:kern w:val="2"/>
      <w:sz w:val="21"/>
      <w:szCs w:val="22"/>
      <w:lang w:eastAsia="zh-CN"/>
    </w:rPr>
  </w:style>
  <w:style w:type="paragraph" w:styleId="NormalWeb">
    <w:name w:val="Normal (Web)"/>
    <w:basedOn w:val="1"/>
    <w:rsid w:val="00E0697D"/>
    <w:pPr>
      <w:spacing w:beforeAutospacing="1" w:afterAutospacing="1"/>
      <w:jc w:val="left"/>
    </w:pPr>
    <w:rPr>
      <w:kern w:val="0"/>
      <w:sz w:val="24"/>
      <w:szCs w:val="24"/>
    </w:rPr>
  </w:style>
  <w:style w:type="paragraph" w:styleId="Header">
    <w:name w:val="header"/>
    <w:basedOn w:val="Normal"/>
    <w:link w:val="a"/>
    <w:rsid w:val="00FD78B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rsid w:val="00FD78BA"/>
    <w:rPr>
      <w:sz w:val="18"/>
      <w:szCs w:val="18"/>
    </w:rPr>
  </w:style>
  <w:style w:type="paragraph" w:styleId="Footer">
    <w:name w:val="footer"/>
    <w:basedOn w:val="Normal"/>
    <w:link w:val="a0"/>
    <w:rsid w:val="00FD78BA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rsid w:val="00FD78BA"/>
    <w:rPr>
      <w:sz w:val="18"/>
      <w:szCs w:val="18"/>
    </w:rPr>
  </w:style>
  <w:style w:type="character" w:styleId="PageNumber">
    <w:name w:val="page number"/>
    <w:basedOn w:val="DefaultParagraphFont"/>
    <w:rsid w:val="00FD78B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yperlink" Target="https://d.book118.com/128042105042006027" TargetMode="External" /><Relationship Id="rId17" Type="http://schemas.openxmlformats.org/officeDocument/2006/relationships/header" Target="header7.xml" /><Relationship Id="rId18" Type="http://schemas.openxmlformats.org/officeDocument/2006/relationships/header" Target="header8.xml" /><Relationship Id="rId19" Type="http://schemas.openxmlformats.org/officeDocument/2006/relationships/footer" Target="footer7.xml" /><Relationship Id="rId2" Type="http://schemas.openxmlformats.org/officeDocument/2006/relationships/webSettings" Target="webSettings.xml" /><Relationship Id="rId20" Type="http://schemas.openxmlformats.org/officeDocument/2006/relationships/footer" Target="footer8.xml" /><Relationship Id="rId21" Type="http://schemas.openxmlformats.org/officeDocument/2006/relationships/header" Target="header9.xml" /><Relationship Id="rId22" Type="http://schemas.openxmlformats.org/officeDocument/2006/relationships/footer" Target="footer9.xml" /><Relationship Id="rId23" Type="http://schemas.openxmlformats.org/officeDocument/2006/relationships/theme" Target="theme/theme1.xml" /><Relationship Id="rId24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4559</Words>
  <Characters>25990</Characters>
  <Application>Microsoft Office Word</Application>
  <DocSecurity>0</DocSecurity>
  <Lines>216</Lines>
  <Paragraphs>60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铭基 席</cp:lastModifiedBy>
  <cp:revision>2</cp:revision>
  <dcterms:created xsi:type="dcterms:W3CDTF">2024-01-17T07:56:00Z</dcterms:created>
  <dcterms:modified xsi:type="dcterms:W3CDTF">2024-01-17T07:56:00Z</dcterms:modified>
</cp:coreProperties>
</file>