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body>
    <w:p w:rsidR="001B1F19" w:rsidRPr="00937657" w14:paraId="7F7A67AA" w14:textId="0AE8485B">
      <w:pPr>
        <w:pStyle w:val="Heading1"/>
        <w:jc w:val="center"/>
        <w:rPr>
          <w:color w:val="000000" w:themeColor="text1"/>
          <w:lang w:eastAsia="zh-CN"/>
        </w:rPr>
      </w:pPr>
      <w:r>
        <w:rPr>
          <w:color w:val="000000" w:themeColor="text1"/>
          <w:sz w:val="44"/>
          <w:lang w:eastAsia="zh-CN"/>
        </w:rPr>
        <w:t>国培学习计划集合14篇</w:t>
      </w:r>
    </w:p>
    <w:p w:rsidR="001B1F19" w14:paraId="15E7D7A0" w14:textId="27C3F48A">
      <w:pPr>
        <w:rPr>
          <w:lang w:eastAsia="zh-CN"/>
        </w:rPr>
        <w:sectPr>
          <w:pgSz w:w="11906" w:h="16838"/>
          <w:pgMar w:top="1440" w:right="1800" w:bottom="1440" w:left="1800" w:header="851" w:footer="992" w:gutter="0"/>
          <w:cols w:space="425"/>
          <w:docGrid w:type="lines" w:linePitch="312"/>
        </w:sectPr>
      </w:pPr>
      <w:r>
        <w:rPr>
          <w:lang w:eastAsia="zh-CN"/>
        </w:rPr>
        <w:br/>
      </w:r>
      <w:r>
        <w:rPr>
          <w:lang w:eastAsia="zh-CN"/>
        </w:rPr>
        <w:br/>
      </w:r>
      <w:r>
        <w:rPr>
          <w:lang w:eastAsia="zh-CN"/>
        </w:rPr>
        <w:t xml:space="preserve">                         </w:t>
      </w:r>
      <w:r>
        <w:rPr>
          <w:lang w:eastAsia="zh-CN"/>
        </w:rPr>
        <w:br/>
      </w:r>
      <w:r>
        <w:rPr>
          <w:lang w:eastAsia="zh-CN"/>
        </w:rPr>
        <w:t xml:space="preserve">    对于我们的团队和项目来说，文档处理是非常重要的。通过合理处理文档，我们可以提升团队的管理能力和项目的执行效率。而且，文档处理还能够增加我们在行业中的影响力。 </w:t>
      </w:r>
      <w:r>
        <w:rPr>
          <w:lang w:eastAsia="zh-CN"/>
        </w:rPr>
        <w:br/>
      </w:r>
      <w:r>
        <w:rPr>
          <w:lang w:eastAsia="zh-CN"/>
        </w:rPr>
        <w:t xml:space="preserve">    为了提高写作的质量和效果，我们可以参考一些范文。范文给我们提供了一个写作的框架和逻辑思维，让我们更好地组织文章内容。我们可以从范文中学习到很多有价值的启示，这些启示可以帮助我们更好地写作。 </w:t>
      </w:r>
      <w:r>
        <w:rPr>
          <w:lang w:eastAsia="zh-CN"/>
        </w:rPr>
        <w:br/>
      </w:r>
      <w:r>
        <w:rPr>
          <w:lang w:eastAsia="zh-CN"/>
        </w:rPr>
        <w:t xml:space="preserve">    那么怎样才能更好地使用范文呢？首先，我们需要仔细研究范文的内容和结构。我们可以学习范文中的语言表达和段落结构，借鉴其中的优点。其次，我们可以尝试将范文中的写作思路应用到自己的文章中。我们可以通过改编范文中的例子或者改写范文的句子来提升自己的写作水平。 </w:t>
      </w:r>
      <w:r>
        <w:rPr>
          <w:lang w:eastAsia="zh-CN"/>
        </w:rPr>
        <w:br/>
      </w:r>
      <w:r>
        <w:rPr>
          <w:lang w:eastAsia="zh-CN"/>
        </w:rPr>
        <w:t xml:space="preserve">    总之，范文可以为我们的写作提供指导和灵感。通过学习范文，我们可以提高作文的质量和效果。希望我们的建议能够对您的决策提供支持和协助，从而帮助我们更好地发展。 </w:t>
      </w:r>
      <w:r>
        <w:rPr>
          <w:lang w:eastAsia="zh-CN"/>
        </w:rPr>
        <w:br/>
      </w:r>
      <w:r>
        <w:rPr>
          <w:lang w:eastAsia="zh-CN"/>
        </w:rPr>
        <w:t xml:space="preserve">    国培学习计划 篇1 </w:t>
      </w:r>
      <w:r>
        <w:rPr>
          <w:lang w:eastAsia="zh-CN"/>
        </w:rPr>
        <w:br/>
      </w:r>
      <w:r>
        <w:rPr>
          <w:lang w:eastAsia="zh-CN"/>
        </w:rPr>
        <w:t xml:space="preserve">    ＊我与名师之间的距离 </w:t>
      </w:r>
      <w:r>
        <w:rPr>
          <w:lang w:eastAsia="zh-CN"/>
        </w:rPr>
        <w:br/>
      </w:r>
    </w:p>
    <w:p w:rsidR="001B1F19" w14:textId="27C3F48A">
      <w:pPr>
        <w:rPr>
          <w:lang w:eastAsia="zh-CN"/>
        </w:rPr>
        <w:sectPr>
          <w:type w:val="nextPage"/>
          <w:pgSz w:w="11906" w:h="16838"/>
          <w:pgMar w:top="1440" w:right="1800" w:bottom="1440" w:left="1800" w:header="851" w:footer="992" w:gutter="0"/>
          <w:pgNumType w:start="2"/>
          <w:cols w:space="425"/>
          <w:titlePg w:val="0"/>
          <w:docGrid w:type="lines" w:linePitch="312"/>
        </w:sectPr>
      </w:pPr>
      <w:r>
        <w:rPr>
          <w:lang w:eastAsia="zh-CN"/>
        </w:rPr>
        <w:t xml:space="preserve">    老城镇老城小学杜芳芳 </w:t>
      </w:r>
      <w:r>
        <w:rPr>
          <w:lang w:eastAsia="zh-CN"/>
        </w:rPr>
        <w:br/>
      </w:r>
      <w:r>
        <w:rPr>
          <w:lang w:eastAsia="zh-CN"/>
        </w:rPr>
        <w:t xml:space="preserve">    11月23、24日，国培计划（20__）湖北省送教下乡项目特级教师巡回讲学活动在松滋市进行。小学语文教师参加了培训活动。两天的时间，虽然短暂，但是活动形式多样，有4节现场观摩课，湖北省特级教师任利君老师，中学高级教师刘进老师的专题讲座以及和专家的互动交流。 </w:t>
      </w:r>
      <w:r>
        <w:rPr>
          <w:lang w:eastAsia="zh-CN"/>
        </w:rPr>
        <w:br/>
      </w:r>
      <w:r>
        <w:rPr>
          <w:lang w:eastAsia="zh-CN"/>
        </w:rPr>
        <w:t xml:space="preserve">    纵观这几节课，上课教师对课堂教学的驾驭能力、对学生润物细无声的引导，都给我留下了深刻的印象，让我真切地体验到了语文教学的无穷魅力，也让我不断发出这样的思考：自己与名师到底有多远的距离？我与名师之间到底还相差些什么呢？ </w:t>
      </w:r>
      <w:r>
        <w:rPr>
          <w:lang w:eastAsia="zh-CN"/>
        </w:rPr>
        <w:br/>
      </w:r>
      <w:r>
        <w:rPr>
          <w:lang w:eastAsia="zh-CN"/>
        </w:rPr>
        <w:t xml:space="preserve">    反思我的教学过程，我认为应该从以下几个方面来总结： </w:t>
      </w:r>
      <w:r>
        <w:rPr>
          <w:lang w:eastAsia="zh-CN"/>
        </w:rPr>
        <w:br/>
      </w:r>
      <w:r>
        <w:rPr>
          <w:lang w:eastAsia="zh-CN"/>
        </w:rPr>
        <w:t xml:space="preserve">    一、没有深厚的文化积淀 </w:t>
      </w:r>
      <w:r>
        <w:rPr>
          <w:lang w:eastAsia="zh-CN"/>
        </w:rPr>
        <w:br/>
      </w:r>
      <w:r>
        <w:rPr>
          <w:lang w:eastAsia="zh-CN"/>
        </w:rPr>
        <w:t xml:space="preserve">    我们常说，“给孩子一杯水，自己要有一桶水”，而今天，“给孩子一杯水，自己必须有流淌不息的泉水”，否则就无法满足学生越来越广泛的求知欲，无法使自己的课堂达到有效、进而高效。纵观那些成功的教师，谁是不爱读书、善于积累的人呢？读书已成为他们生活的一部分，也是一种乐趣。 </w:t>
      </w:r>
      <w:r>
        <w:rPr>
          <w:lang w:eastAsia="zh-CN"/>
        </w:rPr>
        <w:br/>
      </w:r>
      <w:r>
        <w:rPr>
          <w:lang w:eastAsia="zh-CN"/>
        </w:rPr>
        <w:t xml:space="preserve">    今天坐在台上那几位名师，之所以对教学方面的知识能做到侃侃而谈，对答如流，对教学设计总有自己独到的见解。我想，与她们丰富的知识积累，是分不开的！今天，任利君老师的讲座让我充分认识到教师多读书对引导学生阅读、创造高效课堂的重要性。 </w:t>
      </w:r>
      <w:r>
        <w:rPr>
          <w:lang w:eastAsia="zh-CN"/>
        </w:rPr>
        <w:br/>
      </w:r>
      <w:r>
        <w:rPr>
          <w:lang w:eastAsia="zh-CN"/>
        </w:rPr>
        <w:t xml:space="preserve">  </w:t>
      </w:r>
      <w:r>
        <w:rPr>
          <w:lang w:eastAsia="zh-CN"/>
        </w:rPr>
        <w:t xml:space="preserve"> </w:t>
      </w:r>
    </w:p>
    <w:p w:rsidR="001B1F19" w14:textId="27C3F48A">
      <w:pPr>
        <w:rPr>
          <w:lang w:eastAsia="zh-CN"/>
        </w:rPr>
        <w:sectPr>
          <w:type w:val="nextPage"/>
          <w:pgSz w:w="11906" w:h="16838"/>
          <w:pgMar w:top="1440" w:right="1800" w:bottom="1440" w:left="1800" w:header="851" w:footer="992" w:gutter="0"/>
          <w:pgNumType w:start="3"/>
          <w:cols w:space="425"/>
          <w:titlePg w:val="0"/>
          <w:docGrid w:type="lines" w:linePitch="312"/>
        </w:sectPr>
      </w:pPr>
      <w:r>
        <w:rPr>
          <w:lang w:eastAsia="zh-CN"/>
        </w:rPr>
        <w:t xml:space="preserve"> 试想一下，一个老师不爱读书，那他怎么能提高学生的阅读兴趣呢？当学生有困难时，他们没有丰富的知识储备，如何帮助学生解决问题？如果你不读很多书，你的语文素养就无法提高。如何培养学生的语文素养？</w:t>
      </w:r>
      <w:r>
        <w:rPr>
          <w:lang w:eastAsia="zh-CN"/>
        </w:rPr>
        <w:t xml:space="preserve"> </w:t>
      </w:r>
      <w:r>
        <w:rPr>
          <w:lang w:eastAsia="zh-CN"/>
        </w:rPr>
        <w:br/>
      </w:r>
      <w:r>
        <w:rPr>
          <w:lang w:eastAsia="zh-CN"/>
        </w:rPr>
        <w:t xml:space="preserve">    再看看我自己，工作之余，一些专业书籍都看得不多，文学著作更不用说了，而且总是不断给自己找借口，每天工作那么忙，又要教学，还要应付各种检查，忙得晕头转向，哪有时间读书呢？鲁迅曾经说过“时间像海绵，只要愿意挤总还是有的”。只要你想读书，就会见缝插针，只有你去读了，才会体验到读书的好处。 </w:t>
      </w:r>
      <w:r>
        <w:rPr>
          <w:lang w:eastAsia="zh-CN"/>
        </w:rPr>
        <w:br/>
      </w:r>
      <w:r>
        <w:rPr>
          <w:lang w:eastAsia="zh-CN"/>
        </w:rPr>
        <w:t xml:space="preserve">    不要把阅读当作一项任务，一种负担，而是一种享受，一种乐趣。“腹有诗书气自华，最是书香能致远。”所以要善于读书，不断从书中汲取营养，用智慧支撑起自己的灵性，做一个有思想的人，这样才会走得更远。 </w:t>
      </w:r>
      <w:r>
        <w:rPr>
          <w:lang w:eastAsia="zh-CN"/>
        </w:rPr>
        <w:br/>
      </w:r>
      <w:r>
        <w:rPr>
          <w:lang w:eastAsia="zh-CN"/>
        </w:rPr>
        <w:t xml:space="preserve">    二、缺乏对文本的深入研究 </w:t>
      </w:r>
      <w:r>
        <w:rPr>
          <w:lang w:eastAsia="zh-CN"/>
        </w:rPr>
        <w:br/>
      </w:r>
      <w:r>
        <w:rPr>
          <w:lang w:eastAsia="zh-CN"/>
        </w:rPr>
        <w:t xml:space="preserve">    今天的三位专家，他们的课堂之所以那么精彩，他们的讲座之所以那么吸引人，和他们自己对文本的深入研究与解读是分不开的。令我印象最深的是刘进老师这句话“教学因文而异，因人而异”。是啊，不同的文本我们有不同的教法，刘老师上的这节课是《盘古开天地》，是一篇神话故事，刘老师就抓住了文本的特点，上出了神话的“神”。 </w:t>
      </w:r>
      <w:r>
        <w:rPr>
          <w:lang w:eastAsia="zh-CN"/>
        </w:rPr>
        <w:br/>
      </w:r>
      <w:r>
        <w:rPr>
          <w:lang w:eastAsia="zh-CN"/>
        </w:rPr>
        <w:t xml:space="preserve">  </w:t>
      </w:r>
      <w:r>
        <w:rPr>
          <w:lang w:eastAsia="zh-CN"/>
        </w:rPr>
        <w:t xml:space="preserve"> </w:t>
      </w:r>
    </w:p>
    <w:p w:rsidR="001B1F19" w14:textId="27C3F48A">
      <w:pPr>
        <w:rPr>
          <w:lang w:eastAsia="zh-CN"/>
        </w:rPr>
        <w:sectPr>
          <w:type w:val="nextPage"/>
          <w:pgSz w:w="11906" w:h="16838"/>
          <w:pgMar w:top="1440" w:right="1800" w:bottom="1440" w:left="1800" w:header="851" w:footer="992" w:gutter="0"/>
          <w:pgNumType w:start="4"/>
          <w:cols w:space="425"/>
          <w:titlePg w:val="0"/>
          <w:docGrid w:type="lines" w:linePitch="312"/>
        </w:sectPr>
      </w:pPr>
      <w:r>
        <w:rPr>
          <w:lang w:eastAsia="zh-CN"/>
        </w:rPr>
        <w:t xml:space="preserve"> 反观我自己，上课都是同一种模式，按着一种套路走，对于不同的文本根本没有区别对待，这样的课堂又怎能吸引学生，调动学生的学习兴趣了？所以深入研读文本对于老师来说是尤为重要的，只有对文本有了深入的理解，才能在此基础上针对性的设计出一个合适的教案，使教学不再仅仅是停留在教课文上和把这篇课文的知识点掌握。</w:t>
      </w:r>
      <w:r>
        <w:rPr>
          <w:lang w:eastAsia="zh-CN"/>
        </w:rPr>
        <w:t xml:space="preserve"> </w:t>
      </w:r>
      <w:r>
        <w:rPr>
          <w:lang w:eastAsia="zh-CN"/>
        </w:rPr>
        <w:br/>
      </w:r>
      <w:r>
        <w:rPr>
          <w:lang w:eastAsia="zh-CN"/>
        </w:rPr>
        <w:t xml:space="preserve">    三、缺少持之以恒的精神 </w:t>
      </w:r>
      <w:r>
        <w:rPr>
          <w:lang w:eastAsia="zh-CN"/>
        </w:rPr>
        <w:br/>
      </w:r>
      <w:r>
        <w:rPr>
          <w:lang w:eastAsia="zh-CN"/>
        </w:rPr>
        <w:t xml:space="preserve">    看看今天三位专家的成长历程，你会发现，她们都有着一股永不服输的干劲，都有着持之以恒的精神，在学习上、研究上舍得下工夫。日复一日，年复一年，长期的积累才能成就今天的成功。“宝剑锋从磨砺出，梅花香自苦寒来”，不经历风雨怎能见彩虹？ </w:t>
      </w:r>
      <w:r>
        <w:rPr>
          <w:lang w:eastAsia="zh-CN"/>
        </w:rPr>
        <w:br/>
      </w:r>
      <w:r>
        <w:rPr>
          <w:lang w:eastAsia="zh-CN"/>
        </w:rPr>
        <w:t xml:space="preserve">    每个人都不会随便成功，成功的背后是无尽的付出，漫长的等待。可是，我自己很多时候做事就是三分钟热度，不能坚持到底。听了专题报告后，我有了很多自己的想法。我决定努力学习，努力学习。然而，几天之内，我又恢到了原来的状态；听了名师的课，我下定决心再向她们学习，但由于工作压力太大，坚持不了多久。 </w:t>
      </w:r>
      <w:r>
        <w:rPr>
          <w:lang w:eastAsia="zh-CN"/>
        </w:rPr>
        <w:br/>
      </w:r>
      <w:r>
        <w:rPr>
          <w:lang w:eastAsia="zh-CN"/>
        </w:rPr>
        <w:t xml:space="preserve">    就像平时教导学生一样，我这毛病得改。 </w:t>
      </w:r>
      <w:r>
        <w:rPr>
          <w:lang w:eastAsia="zh-CN"/>
        </w:rPr>
        <w:br/>
      </w:r>
      <w:r>
        <w:rPr>
          <w:lang w:eastAsia="zh-CN"/>
        </w:rPr>
        <w:t xml:space="preserve">    四、缺少工作的激情 </w:t>
      </w:r>
      <w:r>
        <w:rPr>
          <w:lang w:eastAsia="zh-CN"/>
        </w:rPr>
        <w:br/>
      </w:r>
      <w:r>
        <w:rPr>
          <w:lang w:eastAsia="zh-CN"/>
        </w:rPr>
        <w:t xml:space="preserve">    我常常厌倦了学校的日常琐事，几乎每天都在逐步生活。但这次学习，我看到了好几位年纪较大的教师，他们在自己的工作岗位上工作了几十年，在临近退休时依然能够勤于学习、不断反思，这不正是他们身上那种工作激情吗？与这些老教师相比，我感到惭愧。 </w:t>
      </w:r>
      <w:r>
        <w:rPr>
          <w:lang w:eastAsia="zh-CN"/>
        </w:rPr>
        <w:br/>
      </w:r>
      <w:r>
        <w:rPr>
          <w:lang w:eastAsia="zh-CN"/>
        </w:rPr>
        <w:t xml:space="preserve">    作为一名青年教师，他应该满怀激情地走上讲台，用爱点燃学生智慧之光，努力每天超越自己。 </w:t>
      </w:r>
      <w:r>
        <w:rPr>
          <w:lang w:eastAsia="zh-CN"/>
        </w:rPr>
        <w:br/>
      </w:r>
      <w:r>
        <w:rPr>
          <w:lang w:eastAsia="zh-CN"/>
        </w:rPr>
        <w:t xml:space="preserve">  </w:t>
      </w:r>
      <w:r>
        <w:rPr>
          <w:lang w:eastAsia="zh-CN"/>
        </w:rPr>
        <w:t xml:space="preserve"> </w:t>
      </w:r>
    </w:p>
    <w:p w:rsidR="001B1F19" w14:textId="27C3F48A">
      <w:pPr>
        <w:rPr>
          <w:lang w:eastAsia="zh-CN"/>
        </w:rPr>
        <w:sectPr>
          <w:type w:val="nextPage"/>
          <w:pgSz w:w="11906" w:h="16838"/>
          <w:pgMar w:top="1440" w:right="1800" w:bottom="1440" w:left="1800" w:header="851" w:footer="992" w:gutter="0"/>
          <w:pgNumType w:start="5"/>
          <w:cols w:space="425"/>
          <w:titlePg w:val="0"/>
          <w:docGrid w:type="lines" w:linePitch="312"/>
        </w:sectPr>
      </w:pPr>
      <w:r>
        <w:rPr>
          <w:lang w:eastAsia="zh-CN"/>
        </w:rPr>
        <w:t xml:space="preserve"> 如果你想在教学中能够取得一定的成绩，没有努力，就不会有丰硕的回报。我要不断充实自己，努力在平凡的岗位上取得不平凡的成绩，让自己与名师的距离越来越近！</w:t>
      </w:r>
      <w:r>
        <w:rPr>
          <w:lang w:eastAsia="zh-CN"/>
        </w:rPr>
        <w:t xml:space="preserve"> </w:t>
      </w:r>
      <w:r>
        <w:rPr>
          <w:lang w:eastAsia="zh-CN"/>
        </w:rPr>
        <w:br/>
      </w:r>
      <w:r>
        <w:rPr>
          <w:lang w:eastAsia="zh-CN"/>
        </w:rPr>
        <w:t xml:space="preserve">    国培学习计划 篇2 </w:t>
      </w:r>
      <w:r>
        <w:rPr>
          <w:lang w:eastAsia="zh-CN"/>
        </w:rPr>
        <w:br/>
      </w:r>
      <w:r>
        <w:rPr>
          <w:lang w:eastAsia="zh-CN"/>
        </w:rPr>
        <w:t xml:space="preserve">    为了贯彻落实《国家中长期教育改革和发展规划纲要》，进一步加强农村中小学教师队伍建设，提高我们新疆小学英语教师的业务水平和个人素质，我有幸被学校委派到南京师范大学接受为期三个月的系统的、全面的、专业的培训。通过对学科教学的最新动态、教学方法与策略和学科核心知识体系的学习，以及到优秀的学校实地教学实践，让我由一个教学者逐渐迈向研究型教师的行列中，现将我的学习和收获总结如下： </w:t>
      </w:r>
      <w:r>
        <w:rPr>
          <w:lang w:eastAsia="zh-CN"/>
        </w:rPr>
        <w:br/>
      </w:r>
      <w:r>
        <w:rPr>
          <w:lang w:eastAsia="zh-CN"/>
        </w:rPr>
        <w:t xml:space="preserve">    本次学习分三个阶段进行： </w:t>
      </w:r>
      <w:r>
        <w:rPr>
          <w:lang w:eastAsia="zh-CN"/>
        </w:rPr>
        <w:br/>
      </w:r>
      <w:r>
        <w:rPr>
          <w:lang w:eastAsia="zh-CN"/>
        </w:rPr>
        <w:t xml:space="preserve">    一、理论学习阶段 </w:t>
      </w:r>
      <w:r>
        <w:rPr>
          <w:lang w:eastAsia="zh-CN"/>
        </w:rPr>
        <w:br/>
      </w:r>
      <w:r>
        <w:rPr>
          <w:lang w:eastAsia="zh-CN"/>
        </w:rPr>
        <w:t xml:space="preserve">  </w:t>
      </w:r>
      <w:r>
        <w:rPr>
          <w:lang w:eastAsia="zh-CN"/>
        </w:rPr>
        <w:t xml:space="preserve"> </w:t>
      </w:r>
    </w:p>
    <w:p w:rsidR="001B1F19" w14:textId="27C3F48A">
      <w:pPr>
        <w:rPr>
          <w:lang w:eastAsia="zh-CN"/>
        </w:rPr>
        <w:sectPr>
          <w:type w:val="nextPage"/>
          <w:pgSz w:w="11906" w:h="16838"/>
          <w:pgMar w:top="1440" w:right="1800" w:bottom="1440" w:left="1800" w:header="851" w:footer="992" w:gutter="0"/>
          <w:pgNumType w:start="6"/>
          <w:cols w:space="425"/>
          <w:titlePg w:val="0"/>
          <w:docGrid w:type="lines" w:linePitch="312"/>
        </w:sectPr>
      </w:pPr>
      <w:r>
        <w:rPr>
          <w:lang w:eastAsia="zh-CN"/>
        </w:rPr>
        <w:t xml:space="preserve"> 这一阶段采取集中学习，学习了教育教学理论，主要是教育改革的核心是促进学生的全面发展，教师不应该教育学生思考什么样的问题，而是教育学生怎样思考问题，教会学生如何认知比学生学会知识更重要。在教材教法中，张海燕和任洁老师的讲座很给力，她们谈到任务型教学必须是真实的任务，要求学习者使用语言为达到目的而完成一项活动，活动的过程中强调意义的表达，并且强调活动的设计要关注大面积学生参与语言运用，活动应符合学生能力范围，并且学生感兴趣，教师的设计应具有一定的坡度，有利于知识的达成、能力的发展。在课堂实例的讲解中，我曾多次参与玄武区的教研活动，在观课中，教师发挥主导作用，让学生自主体验学习，充分体现了一堂好课的标准，正如崔允教授所说：“教得有效、学得愉快、考得满意。”、</w:t>
      </w:r>
      <w:r>
        <w:rPr>
          <w:lang w:eastAsia="zh-CN"/>
        </w:rPr>
        <w:t xml:space="preserve"> </w:t>
      </w:r>
      <w:r>
        <w:rPr>
          <w:lang w:eastAsia="zh-CN"/>
        </w:rPr>
        <w:br/>
      </w:r>
      <w:r>
        <w:rPr>
          <w:lang w:eastAsia="zh-CN"/>
        </w:rPr>
        <w:t xml:space="preserve">    二、实习阶段 </w:t>
      </w:r>
      <w:r>
        <w:rPr>
          <w:lang w:eastAsia="zh-CN"/>
        </w:rPr>
        <w:br/>
      </w:r>
      <w:r>
        <w:rPr>
          <w:lang w:eastAsia="zh-CN"/>
        </w:rPr>
        <w:t xml:space="preserve">    我被安排在北京东路小学实习，感受如下：首先，北京东路小学的校园文化氛围浓厚 </w:t>
      </w:r>
      <w:r>
        <w:rPr>
          <w:lang w:eastAsia="zh-CN"/>
        </w:rPr>
        <w:br/>
      </w:r>
      <w:r>
        <w:rPr>
          <w:lang w:eastAsia="zh-CN"/>
        </w:rPr>
        <w:t xml:space="preserve">    校园里一幅幅学生的作品：书法、美术画、小标语等等，都是学生亲手所写，亲手所画，亲口所说，看到这些学生自己布置的校园文化更能感受到孩子们那奋发向上的心。特别是在文化长廊里的那幅“未来世界”的长画卷，让我记忆深刻，画中孩子们用简单的线条、五彩的颜色勾画出未来世界的发展过程，充满了想象，更是孩子们对美好未来的憧憬。我感受到学生那高尚的情感和丰富的智慧，而这就是情智。 </w:t>
      </w:r>
      <w:r>
        <w:rPr>
          <w:lang w:eastAsia="zh-CN"/>
        </w:rPr>
        <w:br/>
      </w:r>
      <w:r>
        <w:rPr>
          <w:lang w:eastAsia="zh-CN"/>
        </w:rPr>
        <w:t xml:space="preserve">    其次，北京东路小学的课堂充满活力 </w:t>
      </w:r>
      <w:r>
        <w:rPr>
          <w:lang w:eastAsia="zh-CN"/>
        </w:rPr>
        <w:br/>
      </w:r>
      <w:r>
        <w:rPr>
          <w:lang w:eastAsia="zh-CN"/>
        </w:rPr>
        <w:t xml:space="preserve">  </w:t>
      </w:r>
      <w:r>
        <w:rPr>
          <w:lang w:eastAsia="zh-CN"/>
        </w:rPr>
        <w:t xml:space="preserve"> </w:t>
      </w:r>
    </w:p>
    <w:p w:rsidR="001B1F19" w14:textId="27C3F48A">
      <w:pPr>
        <w:rPr>
          <w:lang w:eastAsia="zh-CN"/>
        </w:rPr>
        <w:sectPr>
          <w:type w:val="nextPage"/>
          <w:pgSz w:w="11906" w:h="16838"/>
          <w:pgMar w:top="1440" w:right="1800" w:bottom="1440" w:left="1800" w:header="851" w:footer="992" w:gutter="0"/>
          <w:pgNumType w:start="7"/>
          <w:cols w:space="425"/>
          <w:titlePg w:val="0"/>
          <w:docGrid w:type="lines" w:linePitch="312"/>
        </w:sectPr>
      </w:pPr>
      <w:r>
        <w:rPr>
          <w:lang w:eastAsia="zh-CN"/>
        </w:rPr>
        <w:t xml:space="preserve"> 在实习时有幸听到北京东路小学孙双金校长的讲座，他在讲座中提到课堂应该是幸福的，快乐的，充满挑战的，而我在听课的过程中就切身感受到了这些，不论是英语课堂还是其它课堂教师们都能让学生问题敞开，充分发挥学生的主观能动性，同时教师还善于挑起矛盾，在矛盾中让学生学会解决问题，那种大胆放手教学的模式让我记忆犹新。与自己的教学形式相比我就是牵着学生的手，我走到哪里学生跟到哪里，学生失去了主动权，我想如果试着放开学生的手那将会是另一番景象。更让我难忘的是听林丽教师的英语课，她的每一节课都那么精彩而朴实，看似平静的教学设计，但在课堂中却能激起学生的千层浪，她善于运用情境、画面，善于运用故事记忆，把学生的思维一次次推向高潮。</w:t>
      </w:r>
      <w:r>
        <w:rPr>
          <w:lang w:eastAsia="zh-CN"/>
        </w:rPr>
        <w:t xml:space="preserve"> </w:t>
      </w:r>
      <w:r>
        <w:rPr>
          <w:lang w:eastAsia="zh-CN"/>
        </w:rPr>
        <w:br/>
      </w:r>
      <w:r>
        <w:rPr>
          <w:lang w:eastAsia="zh-CN"/>
        </w:rPr>
        <w:t xml:space="preserve">    她的每节课都采用不同的模式，每次教学的创新都让我深感震撼，我想这就是北京东路小学所提倡的情智课堂。 </w:t>
      </w:r>
      <w:r>
        <w:rPr>
          <w:lang w:eastAsia="zh-CN"/>
        </w:rPr>
        <w:br/>
      </w:r>
      <w:r>
        <w:rPr>
          <w:lang w:eastAsia="zh-CN"/>
        </w:rPr>
        <w:t xml:space="preserve">    最后，北京东路小学的学生们是快乐的 </w:t>
      </w:r>
      <w:r>
        <w:rPr>
          <w:lang w:eastAsia="zh-CN"/>
        </w:rPr>
        <w:br/>
      </w:r>
      <w:r>
        <w:rPr>
          <w:lang w:eastAsia="zh-CN"/>
        </w:rPr>
        <w:t xml:space="preserve">    从北小孩子们那一张张充满欢笑的脸上能感受到他们的阳光与快乐。课下自由自在的玩耍，课中通红的小脸，高举的小手无不显现他们的快乐，融入这样的校园，我被这种快乐深深地感染。在校园里经常听到同学们礼貌的问候“老师好”，时不时还有学生与我们亲切的攀谈，从他们的脸上看不到陌生，更多的是热情，可以感受到孩子们在这样的校园学习、生活是多么的轻松和快乐。 </w:t>
      </w:r>
      <w:r>
        <w:rPr>
          <w:lang w:eastAsia="zh-CN"/>
        </w:rPr>
        <w:br/>
      </w:r>
      <w:r>
        <w:rPr>
          <w:lang w:eastAsia="zh-CN"/>
        </w:rPr>
        <w:t xml:space="preserve">    三、反思总结阶段 </w:t>
      </w:r>
      <w:r>
        <w:rPr>
          <w:lang w:eastAsia="zh-CN"/>
        </w:rPr>
        <w:br/>
      </w:r>
      <w:r>
        <w:rPr>
          <w:lang w:eastAsia="zh-CN"/>
        </w:rPr>
        <w:t xml:space="preserve">    当第三阶段再次聆听专家讲座时，我不再是盲目的听，结合实践和本地英语教学现状有了自己的几点思考：首先，地州之间的英语教材不统一，不能进行大型的英语教研研讨活动。其次，我发现了一些原有教学中的误区： </w:t>
      </w:r>
      <w:r>
        <w:rPr>
          <w:lang w:eastAsia="zh-CN"/>
        </w:rPr>
        <w:br/>
      </w:r>
      <w:r>
        <w:rPr>
          <w:lang w:eastAsia="zh-CN"/>
        </w:rPr>
        <w:t xml:space="preserve">    1、游戏在教学中起着举足轻重的作用，没有游戏整个教学过程就显得空洞、乏味，我们注重表演形式，轻实际效果，看似热闹有趣的游戏，实则又能为课堂增添多少实效性呢?游戏应定位准确、参与面广、形式简单，以提高学生的语言水平而设计。 </w:t>
      </w:r>
      <w:r>
        <w:rPr>
          <w:lang w:eastAsia="zh-CN"/>
        </w:rPr>
        <w:br/>
      </w:r>
      <w:r>
        <w:rPr>
          <w:lang w:eastAsia="zh-CN"/>
        </w:rPr>
        <w:t xml:space="preserve">    2、忽略学生对语音的模仿。 </w:t>
      </w:r>
      <w:r>
        <w:rPr>
          <w:lang w:eastAsia="zh-CN"/>
        </w:rPr>
        <w:br/>
      </w:r>
      <w:r>
        <w:rPr>
          <w:lang w:eastAsia="zh-CN"/>
        </w:rPr>
        <w:t xml:space="preserve">  </w:t>
      </w:r>
      <w:r>
        <w:rPr>
          <w:lang w:eastAsia="zh-CN"/>
        </w:rPr>
        <w:t xml:space="preserve"> </w:t>
      </w:r>
    </w:p>
    <w:p w:rsidR="001B1F19" w14:textId="27C3F48A">
      <w:pPr>
        <w:rPr>
          <w:lang w:eastAsia="zh-CN"/>
        </w:rPr>
        <w:sectPr>
          <w:type w:val="nextPage"/>
          <w:pgSz w:w="11906" w:h="16838"/>
          <w:pgMar w:top="1440" w:right="1800" w:bottom="1440" w:left="1800" w:header="851" w:footer="992" w:gutter="0"/>
          <w:pgNumType w:start="8"/>
          <w:cols w:space="425"/>
          <w:titlePg w:val="0"/>
          <w:docGrid w:type="lines" w:linePitch="312"/>
        </w:sectPr>
      </w:pPr>
      <w:r>
        <w:rPr>
          <w:lang w:eastAsia="zh-CN"/>
        </w:rPr>
        <w:t xml:space="preserve"> 3、在语篇教学中，重词句操练、轻语篇教学，总是把情境堆砌在一起，忽略整体情境的呈现。</w:t>
      </w:r>
      <w:r>
        <w:rPr>
          <w:lang w:eastAsia="zh-CN"/>
        </w:rPr>
        <w:t xml:space="preserve"> </w:t>
      </w:r>
      <w:r>
        <w:rPr>
          <w:lang w:eastAsia="zh-CN"/>
        </w:rPr>
        <w:br/>
      </w:r>
      <w:r>
        <w:rPr>
          <w:lang w:eastAsia="zh-CN"/>
        </w:rPr>
        <w:t xml:space="preserve">    经过三个月短暂的学习，我深刻地感受到需要学习和有待提高的方面很多：更新自身的专业理论知识、不断提高口语和听力水平是基础；学以致用，认真总结自己教学方面存在的不足，以及如何改进、提高自身的教学方法是反思；结合本校学生的实际情况，努力探索出一套更适合本校学生的教学模式是方向。在今后的教学中，我将做到耐心、细致，努力成为小学英语的教学骨干，为英语教学做更多的贡献！ </w:t>
      </w:r>
      <w:r>
        <w:rPr>
          <w:lang w:eastAsia="zh-CN"/>
        </w:rPr>
        <w:br/>
      </w:r>
      <w:r>
        <w:rPr>
          <w:lang w:eastAsia="zh-CN"/>
        </w:rPr>
        <w:t xml:space="preserve">    国培学习计划 篇3 </w:t>
      </w:r>
      <w:r>
        <w:rPr>
          <w:lang w:eastAsia="zh-CN"/>
        </w:rPr>
        <w:br/>
      </w:r>
      <w:r>
        <w:rPr>
          <w:lang w:eastAsia="zh-CN"/>
        </w:rPr>
        <w:t xml:space="preserve">  </w:t>
      </w:r>
      <w:r>
        <w:rPr>
          <w:lang w:eastAsia="zh-CN"/>
        </w:rPr>
        <w:t xml:space="preserve"> </w:t>
      </w:r>
    </w:p>
    <w:p w:rsidR="001B1F19" w14:textId="27C3F48A">
      <w:pPr>
        <w:rPr>
          <w:lang w:eastAsia="zh-CN"/>
        </w:rPr>
        <w:sectPr>
          <w:type w:val="nextPage"/>
          <w:pgSz w:w="11906" w:h="16838"/>
          <w:pgMar w:top="1440" w:right="1800" w:bottom="1440" w:left="1800" w:header="851" w:footer="992" w:gutter="0"/>
          <w:pgNumType w:start="9"/>
          <w:cols w:space="425"/>
          <w:titlePg w:val="0"/>
          <w:docGrid w:type="lines" w:linePitch="312"/>
        </w:sectPr>
      </w:pPr>
      <w:r>
        <w:rPr>
          <w:lang w:eastAsia="zh-CN"/>
        </w:rPr>
        <w:t xml:space="preserve"> 你会寻找幸福吗？怎么才能幸福起来呢？肖川教授说过：“人生幸福离不开自己的职业，人际关系和健康的身体。”我们首先要弄清楚，幸福要靠谁来给，是别人，还是自己。外在条件对幸福是否重要呢？回答是肯定的，当然重要，每个教师都希望自己得到别人的认可，都希望自己的辛苦努力能够得到高回报，都希望自己的境遇非常好，所以我们都在努力的改变着我们的生活条件、工作条件、人际关系，但这些外在的条件往往改变起来很不容易，所以面对短时间内我们无法改变的外界条件，我们应该采取的态度是，现实的从自己能够影响的活动中创造幸福、体验幸福、享受幸福。“每天锻炼1小时，健康工作50年，幸福生活一辈子。”这三句话是肖教授送给我们教师的忠告，确实是这样，如果我们没有健康的体魄又如何谈教书育人呢？身体才是革命的本钱，希望大家能教好书的同时照顾好自己，能好好理解肖教授的良苦用心。只要教师是一个幸福并快乐着的人，才会让学生感受到幸福并快乐，我们的社会需要的也是培养出更多的幸福并快乐的人。</w:t>
      </w:r>
      <w:r>
        <w:rPr>
          <w:lang w:eastAsia="zh-CN"/>
        </w:rPr>
        <w:t xml:space="preserve"> </w:t>
      </w:r>
      <w:r>
        <w:rPr>
          <w:lang w:eastAsia="zh-CN"/>
        </w:rPr>
        <w:br/>
      </w:r>
      <w:r>
        <w:rPr>
          <w:lang w:eastAsia="zh-CN"/>
        </w:rPr>
        <w:t xml:space="preserve">    我认为做教师是幸福的，在我们的物质待遇不断提高的同时，精神世界更丰富。从事教师职业，与人打交道、与人沟通，经常感受人的智慧、情感，在这个过程中，不断丰富自己的精神世界，可以提升自己的人生品位。所以，教师应当以开阔的心境、愉快的心情看待自己的职业。从对工作目标的不断追求中培养自己的职业情感。而每一次的成功，都会带给你快乐、喜悦和成就感。教师正是在一次次成功的愉悦中，不断培养和加深对职业的情感。在工作中保持信心，端正态度，这样就能化沮丧、挫败为乐观、自信与成功，有效地克服倦怠心理。 </w:t>
      </w:r>
      <w:r>
        <w:rPr>
          <w:lang w:eastAsia="zh-CN"/>
        </w:rPr>
        <w:br/>
      </w:r>
      <w:r>
        <w:rPr>
          <w:lang w:eastAsia="zh-CN"/>
        </w:rPr>
        <w:t xml:space="preserve">    参加教师培训机会是难得的，我觉得自己身上的压力更大了，但我一定要把压力变成动力，在今后教育教学改革中，我要更加努力学习各种教育科学理论和业务知识，与全体教师共同致力于新课改的研究和探索中，共同寻找适应现代教学改革的新路子，切实以新观念、新思路、新方法投入教学，为新时代培养更多富有创新意识、创新精神和创新能力的合格人才作出贡献！ </w:t>
      </w:r>
      <w:r>
        <w:rPr>
          <w:lang w:eastAsia="zh-CN"/>
        </w:rPr>
        <w:br/>
      </w:r>
      <w:r>
        <w:rPr>
          <w:lang w:eastAsia="zh-CN"/>
        </w:rPr>
        <w:t xml:space="preserve">    国培学习计划 篇4 </w:t>
      </w:r>
      <w:r>
        <w:rPr>
          <w:lang w:eastAsia="zh-CN"/>
        </w:rPr>
        <w:br/>
      </w:r>
      <w:r>
        <w:rPr>
          <w:lang w:eastAsia="zh-CN"/>
        </w:rPr>
        <w:t xml:space="preserve">    一、培训目标： </w:t>
      </w:r>
      <w:r>
        <w:rPr>
          <w:lang w:eastAsia="zh-CN"/>
        </w:rPr>
        <w:br/>
      </w:r>
      <w:r>
        <w:rPr>
          <w:lang w:eastAsia="zh-CN"/>
        </w:rPr>
        <w:t xml:space="preserve">  </w:t>
      </w:r>
      <w:r>
        <w:rPr>
          <w:lang w:eastAsia="zh-CN"/>
        </w:rPr>
        <w:t xml:space="preserve"> </w:t>
      </w:r>
    </w:p>
    <w:p w:rsidR="001B1F19" w14:textId="27C3F48A">
      <w:pPr>
        <w:rPr>
          <w:lang w:eastAsia="zh-CN"/>
        </w:rPr>
        <w:sectPr>
          <w:type w:val="nextPage"/>
          <w:pgSz w:w="11906" w:h="16838"/>
          <w:pgMar w:top="1440" w:right="1800" w:bottom="1440" w:left="1800" w:header="851" w:footer="992" w:gutter="0"/>
          <w:pgNumType w:start="10"/>
          <w:cols w:space="425"/>
          <w:titlePg w:val="0"/>
          <w:docGrid w:type="lines" w:linePitch="312"/>
        </w:sectPr>
      </w:pPr>
      <w:r>
        <w:rPr>
          <w:lang w:eastAsia="zh-CN"/>
        </w:rPr>
        <w:t xml:space="preserve"> (一)培训总目标：为弘扬公司“团结协作”的精神，促进员工对公司的熟悉、对业务的了解，公司特推出“以老带新”的“学长”制度，使新来的同事对公司有一个清楚的认识，增加新员工对公司企业文化的认同，同进也加强了新老员工的关系进一步发展，培养新员工的业务能力，让其具备独立的开展工作所需的能力:</w:t>
      </w:r>
      <w:r>
        <w:rPr>
          <w:lang w:eastAsia="zh-CN"/>
        </w:rPr>
        <w:t xml:space="preserve"> </w:t>
      </w:r>
      <w:r>
        <w:rPr>
          <w:lang w:eastAsia="zh-CN"/>
        </w:rPr>
        <w:br/>
      </w:r>
      <w:r>
        <w:rPr>
          <w:lang w:eastAsia="zh-CN"/>
        </w:rPr>
        <w:t xml:space="preserve">    (二)目标分解： </w:t>
      </w:r>
      <w:r>
        <w:rPr>
          <w:lang w:eastAsia="zh-CN"/>
        </w:rPr>
        <w:br/>
      </w:r>
      <w:r>
        <w:rPr>
          <w:lang w:eastAsia="zh-CN"/>
        </w:rPr>
        <w:t xml:space="preserve">    1、达成对公司文化、价值观、发展战略的了解和认同。 </w:t>
      </w:r>
      <w:r>
        <w:rPr>
          <w:lang w:eastAsia="zh-CN"/>
        </w:rPr>
        <w:br/>
      </w:r>
      <w:r>
        <w:rPr>
          <w:lang w:eastAsia="zh-CN"/>
        </w:rPr>
        <w:t xml:space="preserve">    2、掌握公司规章制度、岗位职责、工作要领。 </w:t>
      </w:r>
      <w:r>
        <w:rPr>
          <w:lang w:eastAsia="zh-CN"/>
        </w:rPr>
        <w:br/>
      </w:r>
      <w:r>
        <w:rPr>
          <w:lang w:eastAsia="zh-CN"/>
        </w:rPr>
        <w:t xml:space="preserve">    3、提高员工的知识水平，关心员工职业生涯发展。 </w:t>
      </w:r>
      <w:r>
        <w:rPr>
          <w:lang w:eastAsia="zh-CN"/>
        </w:rPr>
        <w:br/>
      </w:r>
      <w:r>
        <w:rPr>
          <w:lang w:eastAsia="zh-CN"/>
        </w:rPr>
        <w:t xml:space="preserve">    4、提升员工履行职责的能力，改善工作绩效 </w:t>
      </w:r>
      <w:r>
        <w:rPr>
          <w:lang w:eastAsia="zh-CN"/>
        </w:rPr>
        <w:br/>
      </w:r>
      <w:r>
        <w:rPr>
          <w:lang w:eastAsia="zh-CN"/>
        </w:rPr>
        <w:t xml:space="preserve">    5、改善工作态度，提高员工的工作热情，培养团队精神 </w:t>
      </w:r>
      <w:r>
        <w:rPr>
          <w:lang w:eastAsia="zh-CN"/>
        </w:rPr>
        <w:br/>
      </w:r>
      <w:r>
        <w:rPr>
          <w:lang w:eastAsia="zh-CN"/>
        </w:rPr>
        <w:t xml:space="preserve">    二、学长需指导的内容 </w:t>
      </w:r>
      <w:r>
        <w:rPr>
          <w:lang w:eastAsia="zh-CN"/>
        </w:rPr>
        <w:br/>
      </w:r>
      <w:r>
        <w:rPr>
          <w:lang w:eastAsia="zh-CN"/>
        </w:rPr>
        <w:t xml:space="preserve">    (一)介绍同事及环境 </w:t>
      </w:r>
      <w:r>
        <w:rPr>
          <w:lang w:eastAsia="zh-CN"/>
        </w:rPr>
        <w:br/>
      </w:r>
      <w:r>
        <w:rPr>
          <w:lang w:eastAsia="zh-CN"/>
        </w:rPr>
        <w:t xml:space="preserve">    新进人员对环境感到陌生，把新员事介绍与同事们认识时，友善地将公司环境介绍给新同事，使他消除对环境的陌生感，可协助其更快地进入状态。 </w:t>
      </w:r>
      <w:r>
        <w:rPr>
          <w:lang w:eastAsia="zh-CN"/>
        </w:rPr>
        <w:br/>
      </w:r>
      <w:r>
        <w:rPr>
          <w:lang w:eastAsia="zh-CN"/>
        </w:rPr>
        <w:t xml:space="preserve">    (二)详细说明公司政策和法规 </w:t>
      </w:r>
      <w:r>
        <w:rPr>
          <w:lang w:eastAsia="zh-CN"/>
        </w:rPr>
        <w:br/>
      </w:r>
      <w:r>
        <w:rPr>
          <w:lang w:eastAsia="zh-CN"/>
        </w:rPr>
        <w:t xml:space="preserve">    新进人员常常因对公司的政策与法规不明了，而造成一些不必要的烦恼及错误，所以新进人员报到之初，为使他感到愉快使其有宾至如归的感觉，第一件必须做的事，就是让他明白与他有关的公司各种政策及规章，然后，他将知道公司对他的期望是什么，以及他可以对公司贡献些什么。 以下政策需仔细说明： </w:t>
      </w:r>
      <w:r>
        <w:rPr>
          <w:lang w:eastAsia="zh-CN"/>
        </w:rPr>
        <w:br/>
      </w:r>
      <w:r>
        <w:rPr>
          <w:lang w:eastAsia="zh-CN"/>
        </w:rPr>
        <w:t xml:space="preserve">    1、发薪方式及时间; 2、升迁政策; 3、奖惩制度; 4、休假规章; 5、员工福利措施; 6、工作时间; 7、旷工处分制度; 8、冤屈申诉的程序; 9、解雇的规定; </w:t>
      </w:r>
      <w:r>
        <w:rPr>
          <w:lang w:eastAsia="zh-CN"/>
        </w:rPr>
        <w:br/>
      </w:r>
    </w:p>
    <w:p w:rsidR="001B1F19" w14:textId="27C3F48A">
      <w:pPr>
        <w:rPr>
          <w:lang w:eastAsia="zh-CN"/>
        </w:rPr>
        <w:sectPr>
          <w:type w:val="nextPage"/>
          <w:pgSz w:w="11906" w:h="16838"/>
          <w:pgMar w:top="1440" w:right="1800" w:bottom="1440" w:left="1800" w:header="851" w:footer="992" w:gutter="0"/>
          <w:pgNumType w:start="11"/>
          <w:cols w:space="425"/>
          <w:titlePg w:val="0"/>
          <w:docGrid w:type="lines" w:linePitch="312"/>
        </w:sectPr>
      </w:pPr>
      <w:r>
        <w:rPr>
          <w:lang w:eastAsia="zh-CN"/>
        </w:rPr>
        <w:t xml:space="preserve">    10、在职员工的行为准则。 </w:t>
      </w:r>
      <w:r>
        <w:rPr>
          <w:lang w:eastAsia="zh-CN"/>
        </w:rPr>
        <w:br/>
      </w:r>
      <w:r>
        <w:rPr>
          <w:lang w:eastAsia="zh-CN"/>
        </w:rPr>
        <w:t xml:space="preserve">    新进人员有权利知道公司的每一项政策及规章制定的理由，因为当一个新进人员在参加一项新工作时，他是着手与公司建立合作的关系，因此愈是明白那些理由，则彼此间的合作是愈密切。 </w:t>
      </w:r>
      <w:r>
        <w:rPr>
          <w:lang w:eastAsia="zh-CN"/>
        </w:rPr>
        <w:br/>
      </w:r>
      <w:r>
        <w:rPr>
          <w:lang w:eastAsia="zh-CN"/>
        </w:rPr>
        <w:t xml:space="preserve">    向新进人员坦诚及周到地说明公司政策及其制订的理由，是“学长”的责任。 </w:t>
      </w:r>
      <w:r>
        <w:rPr>
          <w:lang w:eastAsia="zh-CN"/>
        </w:rPr>
        <w:br/>
      </w:r>
      <w:r>
        <w:rPr>
          <w:lang w:eastAsia="zh-CN"/>
        </w:rPr>
        <w:t xml:space="preserve">    (三)本职工作培训 </w:t>
      </w:r>
      <w:r>
        <w:rPr>
          <w:lang w:eastAsia="zh-CN"/>
        </w:rPr>
        <w:br/>
      </w:r>
      <w:r>
        <w:rPr>
          <w:lang w:eastAsia="zh-CN"/>
        </w:rPr>
        <w:t xml:space="preserve">    1、公司的企业文化、企业理念、发展历程、企业精神、经营范围、未来宏图等; </w:t>
      </w:r>
      <w:r>
        <w:rPr>
          <w:lang w:eastAsia="zh-CN"/>
        </w:rPr>
        <w:br/>
      </w:r>
      <w:r>
        <w:rPr>
          <w:lang w:eastAsia="zh-CN"/>
        </w:rPr>
        <w:t xml:space="preserve">    2、公司各类SOP手册的说明书与分布学习，具体包括《操盘手册》、《业务手册》、《案场管理手册》等; </w:t>
      </w:r>
      <w:r>
        <w:rPr>
          <w:lang w:eastAsia="zh-CN"/>
        </w:rPr>
        <w:br/>
      </w:r>
      <w:r>
        <w:rPr>
          <w:lang w:eastAsia="zh-CN"/>
        </w:rPr>
        <w:t xml:space="preserve">    3、制度培训：公司行政管理制度、道德行为规范、员工规章制度、岗位职责、业务工作制度等; 3、各种事务的处理原则与步骤; </w:t>
      </w:r>
      <w:r>
        <w:rPr>
          <w:lang w:eastAsia="zh-CN"/>
        </w:rPr>
        <w:br/>
      </w:r>
      <w:r>
        <w:rPr>
          <w:lang w:eastAsia="zh-CN"/>
        </w:rPr>
        <w:t xml:space="preserve">    4、工作中可能发生的意外事件及处理方法; </w:t>
      </w:r>
      <w:r>
        <w:rPr>
          <w:lang w:eastAsia="zh-CN"/>
        </w:rPr>
        <w:br/>
      </w:r>
      <w:r>
        <w:rPr>
          <w:lang w:eastAsia="zh-CN"/>
        </w:rPr>
        <w:t xml:space="preserve">    三、培训方式方法步骤： </w:t>
      </w:r>
      <w:r>
        <w:rPr>
          <w:lang w:eastAsia="zh-CN"/>
        </w:rPr>
        <w:br/>
      </w:r>
      <w:r>
        <w:rPr>
          <w:lang w:eastAsia="zh-CN"/>
        </w:rPr>
        <w:t xml:space="preserve">    所有新进员工均由公司人事部安排到各大案场直接报到，再由案场主管安排一名“学长”带领进行学习。 培训方法:1、集体培训; </w:t>
      </w:r>
      <w:r>
        <w:rPr>
          <w:lang w:eastAsia="zh-CN"/>
        </w:rPr>
        <w:br/>
      </w:r>
      <w:r>
        <w:rPr>
          <w:lang w:eastAsia="zh-CN"/>
        </w:rPr>
        <w:t xml:space="preserve">    2、“一对一”带领制学习; </w:t>
      </w:r>
      <w:r>
        <w:rPr>
          <w:lang w:eastAsia="zh-CN"/>
        </w:rPr>
        <w:br/>
      </w:r>
      <w:r>
        <w:rPr>
          <w:lang w:eastAsia="zh-CN"/>
        </w:rPr>
        <w:t xml:space="preserve">    3、自主学习与实践相结合; </w:t>
      </w:r>
      <w:r>
        <w:rPr>
          <w:lang w:eastAsia="zh-CN"/>
        </w:rPr>
        <w:br/>
      </w:r>
      <w:r>
        <w:rPr>
          <w:lang w:eastAsia="zh-CN"/>
        </w:rPr>
        <w:t xml:space="preserve">    以专用教材(需要整理)讲解并实践,来提升信息检索工作能力. </w:t>
      </w:r>
      <w:r>
        <w:rPr>
          <w:lang w:eastAsia="zh-CN"/>
        </w:rPr>
        <w:br/>
      </w:r>
      <w:r>
        <w:rPr>
          <w:lang w:eastAsia="zh-CN"/>
        </w:rPr>
        <w:t xml:space="preserve">    四、培训资料 (一)《员工手册》 (二)《人力资源手册》 (三)《行政管理手册》 </w:t>
      </w:r>
      <w:r>
        <w:rPr>
          <w:lang w:eastAsia="zh-CN"/>
        </w:rPr>
        <w:br/>
      </w:r>
    </w:p>
    <w:p w:rsidR="001B1F19" w14:textId="27C3F48A">
      <w:pPr>
        <w:rPr>
          <w:lang w:eastAsia="zh-CN"/>
        </w:rPr>
        <w:sectPr>
          <w:type w:val="nextPage"/>
          <w:pgSz w:w="11906" w:h="16838"/>
          <w:pgMar w:top="1440" w:right="1800" w:bottom="1440" w:left="1800" w:header="851" w:footer="992" w:gutter="0"/>
          <w:pgNumType w:start="12"/>
          <w:cols w:space="425"/>
          <w:titlePg w:val="0"/>
          <w:docGrid w:type="lines" w:linePitch="312"/>
        </w:sectPr>
      </w:pPr>
      <w:r>
        <w:rPr>
          <w:lang w:eastAsia="zh-CN"/>
        </w:rPr>
        <w:t xml:space="preserve">    (三)《售楼人员培训完全手册》 (四)《操盘手册》 </w:t>
      </w:r>
      <w:r>
        <w:rPr>
          <w:lang w:eastAsia="zh-CN"/>
        </w:rPr>
        <w:br/>
      </w:r>
      <w:r>
        <w:rPr>
          <w:lang w:eastAsia="zh-CN"/>
        </w:rPr>
        <w:t xml:space="preserve">    五、培训周期： </w:t>
      </w:r>
      <w:r>
        <w:rPr>
          <w:lang w:eastAsia="zh-CN"/>
        </w:rPr>
        <w:br/>
      </w:r>
      <w:r>
        <w:rPr>
          <w:lang w:eastAsia="zh-CN"/>
        </w:rPr>
        <w:t xml:space="preserve">    培训分为两个阶段进行.共7天,每天分为“经济两小时”的方式进行学习。 </w:t>
      </w:r>
      <w:r>
        <w:rPr>
          <w:lang w:eastAsia="zh-CN"/>
        </w:rPr>
        <w:br/>
      </w:r>
      <w:r>
        <w:rPr>
          <w:lang w:eastAsia="zh-CN"/>
        </w:rPr>
        <w:t xml:space="preserve">    第一阶段 培训2天,学习公司内部的相关手册; </w:t>
      </w:r>
      <w:r>
        <w:rPr>
          <w:lang w:eastAsia="zh-CN"/>
        </w:rPr>
        <w:br/>
      </w:r>
      <w:r>
        <w:rPr>
          <w:lang w:eastAsia="zh-CN"/>
        </w:rPr>
        <w:t xml:space="preserve">    第二阶段 培训5天，学习公司内部整理的业务手册和各案场相关资 </w:t>
      </w:r>
      <w:r>
        <w:rPr>
          <w:lang w:eastAsia="zh-CN"/>
        </w:rPr>
        <w:br/>
      </w:r>
      <w:r>
        <w:rPr>
          <w:lang w:eastAsia="zh-CN"/>
        </w:rPr>
        <w:t xml:space="preserve">    料及规章制度; 六、培训配合： </w:t>
      </w:r>
      <w:r>
        <w:rPr>
          <w:lang w:eastAsia="zh-CN"/>
        </w:rPr>
        <w:br/>
      </w:r>
      <w:r>
        <w:rPr>
          <w:lang w:eastAsia="zh-CN"/>
        </w:rPr>
        <w:t xml:space="preserve">    1、新员工有义务以积极的态度配合。 </w:t>
      </w:r>
      <w:r>
        <w:rPr>
          <w:lang w:eastAsia="zh-CN"/>
        </w:rPr>
        <w:br/>
      </w:r>
      <w:r>
        <w:rPr>
          <w:lang w:eastAsia="zh-CN"/>
        </w:rPr>
        <w:t xml:space="preserve">    2、各案场工作的每一位同事(学长)有义务指导新员工在工作中遇见的所有问题， </w:t>
      </w:r>
      <w:r>
        <w:rPr>
          <w:lang w:eastAsia="zh-CN"/>
        </w:rPr>
        <w:br/>
      </w:r>
      <w:r>
        <w:rPr>
          <w:lang w:eastAsia="zh-CN"/>
        </w:rPr>
        <w:t xml:space="preserve">    七、培训推进表 </w:t>
      </w:r>
      <w:r>
        <w:rPr>
          <w:lang w:eastAsia="zh-CN"/>
        </w:rPr>
        <w:br/>
      </w:r>
      <w:r>
        <w:rPr>
          <w:lang w:eastAsia="zh-CN"/>
        </w:rPr>
        <w:t xml:space="preserve">    培训结果检测 </w:t>
      </w:r>
      <w:r>
        <w:rPr>
          <w:lang w:eastAsia="zh-CN"/>
        </w:rPr>
        <w:br/>
      </w:r>
      <w:r>
        <w:rPr>
          <w:lang w:eastAsia="zh-CN"/>
        </w:rPr>
        <w:t xml:space="preserve">    受训者：每日学习笔记，归纳本日的学习心得，确定工作方法。 对所培训知识了解掌握情况。 培训者：工作任务检验，并记录。 </w:t>
      </w:r>
      <w:r>
        <w:rPr>
          <w:lang w:eastAsia="zh-CN"/>
        </w:rPr>
        <w:br/>
      </w:r>
      <w:r>
        <w:rPr>
          <w:lang w:eastAsia="zh-CN"/>
        </w:rPr>
        <w:t xml:space="preserve">    八、奖惩规定 </w:t>
      </w:r>
      <w:r>
        <w:rPr>
          <w:lang w:eastAsia="zh-CN"/>
        </w:rPr>
        <w:br/>
      </w:r>
      <w:r>
        <w:rPr>
          <w:lang w:eastAsia="zh-CN"/>
        </w:rPr>
        <w:t xml:space="preserve">    (一)学长制度以三个月为期。在这三个月期间如有人员流失的情况，学长需承担相应责任，除扣除当月工资的10%以外，还将直接影响年终考评分数，扣除年终考评分5分。 </w:t>
      </w:r>
      <w:r>
        <w:rPr>
          <w:lang w:eastAsia="zh-CN"/>
        </w:rPr>
        <w:br/>
      </w:r>
      <w:r>
        <w:rPr>
          <w:lang w:eastAsia="zh-CN"/>
        </w:rPr>
        <w:t xml:space="preserve">    (二)每周期结束后，总经办会按照第二节中的培训内容出相关试题，由新进员工答题，60分为及格，80分为良好，90分以上为(含90分)为优秀。 </w:t>
      </w:r>
      <w:r>
        <w:rPr>
          <w:lang w:eastAsia="zh-CN"/>
        </w:rPr>
        <w:br/>
      </w:r>
    </w:p>
    <w:p w:rsidR="001B1F19" w14:textId="27C3F48A">
      <w:pPr>
        <w:rPr>
          <w:lang w:eastAsia="zh-CN"/>
        </w:rPr>
        <w:sectPr>
          <w:type w:val="nextPage"/>
          <w:pgSz w:w="11906" w:h="16838"/>
          <w:pgMar w:top="1440" w:right="1800" w:bottom="1440" w:left="1800" w:header="851" w:footer="992" w:gutter="0"/>
          <w:pgNumType w:start="13"/>
          <w:cols w:space="425"/>
          <w:titlePg w:val="0"/>
          <w:docGrid w:type="lines" w:linePitch="312"/>
        </w:sectPr>
      </w:pPr>
      <w:r>
        <w:rPr>
          <w:lang w:eastAsia="zh-CN"/>
        </w:rPr>
        <w:t xml:space="preserve">    国培学习计划 篇5 </w:t>
      </w:r>
      <w:r>
        <w:rPr>
          <w:lang w:eastAsia="zh-CN"/>
        </w:rPr>
        <w:br/>
      </w:r>
      <w:r>
        <w:rPr>
          <w:lang w:eastAsia="zh-CN"/>
        </w:rPr>
        <w:t xml:space="preserve">    我们教师需要的不仅仅是书本上的专业知识、更需要的是渊博的知识、教育的智慧，我们要改变的是过去的老师的形象，我们要做一个有智慧、有爱心、让自己快乐也要让学生快乐得人，要想让自己的课讲的更好，更加的吸引学生，就必须提高自己的个人素质。“什么是教育？教育首先就是爱。爱他的学生，没有爱的教育不是真正的教育，培养对学生的爱就是要帮助学生克服成长的障碍。名师的一个个独特的观点真的是引起了我深深的思考，我们在面对学生的时候过多关注的是学生的成绩，学生在繁重的学业负担下似乎也变得麻木，没有动力，如果我们能让学生感受到他今天的努力就是明天获得美好生活的能力，拥有幸福的能力，那学生就会更多的发挥他们自动自觉的一面；“一个素质好的老师，讲课再差也差不到哪去。一个素质差的老师，讲课再好也好不到哪去”我对这句话是非常赞同的。只有课堂上的生动语言和有深度的提问才能吸引学生，激发学生的学习兴趣。只有提高了自己的修养，才能讲出生动的一课。因此我们必须多读书，读好书，努力让自己成为一名优秀的教师。 </w:t>
      </w:r>
      <w:r>
        <w:rPr>
          <w:lang w:eastAsia="zh-CN"/>
        </w:rPr>
        <w:br/>
      </w:r>
      <w:r>
        <w:rPr>
          <w:lang w:eastAsia="zh-CN"/>
        </w:rPr>
        <w:t xml:space="preserve">    国培学习计划 篇6 </w:t>
      </w:r>
      <w:r>
        <w:rPr>
          <w:lang w:eastAsia="zh-CN"/>
        </w:rPr>
        <w:br/>
      </w:r>
      <w:r>
        <w:rPr>
          <w:lang w:eastAsia="zh-CN"/>
        </w:rPr>
        <w:t xml:space="preserve">  </w:t>
      </w:r>
      <w:r>
        <w:rPr>
          <w:lang w:eastAsia="zh-CN"/>
        </w:rPr>
        <w:t xml:space="preserve"> </w:t>
      </w:r>
    </w:p>
    <w:p w:rsidR="001B1F19" w14:textId="27C3F48A">
      <w:pPr>
        <w:rPr>
          <w:lang w:eastAsia="zh-CN"/>
        </w:rPr>
        <w:sectPr>
          <w:type w:val="nextPage"/>
          <w:pgSz w:w="11906" w:h="16838"/>
          <w:pgMar w:top="1440" w:right="1800" w:bottom="1440" w:left="1800" w:header="851" w:footer="992" w:gutter="0"/>
          <w:pgNumType w:start="14"/>
          <w:cols w:space="425"/>
          <w:titlePg w:val="0"/>
          <w:docGrid w:type="lines" w:linePitch="312"/>
        </w:sectPr>
      </w:pPr>
      <w:r>
        <w:rPr>
          <w:lang w:eastAsia="zh-CN"/>
        </w:rPr>
        <w:t xml:space="preserve"> 通过这次“国培计划”远程培训项目我们认识了新课程实施中历史课程的一些全新理念，了解了义务教育历史课程改革的方向，知道了课程理念落实在课堂教学中的基本原则与策略。目前全方位的新课程改革很多时候让我们无所适从，我们很多时候感到茫然，感到束手无策，而这次培训学习犹如为我们打开了一扇窗，拨云见日，使我在一次次的感悟中豁然开朗。</w:t>
      </w:r>
      <w:r>
        <w:rPr>
          <w:lang w:eastAsia="zh-CN"/>
        </w:rPr>
        <w:t xml:space="preserve"> </w:t>
      </w:r>
      <w:r>
        <w:rPr>
          <w:lang w:eastAsia="zh-CN"/>
        </w:rPr>
        <w:br/>
      </w:r>
      <w:r>
        <w:rPr>
          <w:lang w:eastAsia="zh-CN"/>
        </w:rPr>
        <w:t xml:space="preserve">    在学习中，我们的老师表现积极，学习踊跃，认真完成作业、积极参与相关话题的讨论。整个学习过程中，大家能够自觉的参加网络学习，自觉参加评论，自觉上交作业，让我们看到了学员对知识的渴望，通过学习，明确了课改对于教师提出了什么样的素质要求，深刻认识到作为一名教师必须不断提高自己，充实自己，具有丰富的知识含量，否则就要被时代淘汰。树立以学生发展为本的教育思想，不断进行教学观念的更新。通过这次网络培训学习，我们教师的教学行为和学生的学习方式都有了根本性改变。都能把这次“国培”中学到的新知识应用到实际教学中来，真正做到了学以致用。 </w:t>
      </w:r>
      <w:r>
        <w:rPr>
          <w:lang w:eastAsia="zh-CN"/>
        </w:rPr>
        <w:br/>
      </w:r>
      <w:r>
        <w:rPr>
          <w:lang w:eastAsia="zh-CN"/>
        </w:rPr>
        <w:t xml:space="preserve">    教师深刻的认识到努力学习是当代教师成长和发展的必经之路，认识到教师要勇于探索创新，让教师职业生命充满活力，让我们深刻认识到教师要学会学习，学会利用时间，安排时间，也就是学会“四个不停”不停的实践，不停的阅读，不停的思考，不停的创新，多视角的引领，全时空自主，多行套的互动，学与思，做与学，做与写，做与研的结合，动态角落与静态思考相结合的网络教研活动的方式。 </w:t>
      </w:r>
      <w:r>
        <w:rPr>
          <w:lang w:eastAsia="zh-CN"/>
        </w:rPr>
        <w:br/>
      </w:r>
      <w:r>
        <w:rPr>
          <w:lang w:eastAsia="zh-CN"/>
        </w:rPr>
        <w:t xml:space="preserve">    通过培训，教育教学水平有很大提高，使我体会深刻。 </w:t>
      </w:r>
      <w:r>
        <w:rPr>
          <w:lang w:eastAsia="zh-CN"/>
        </w:rPr>
        <w:br/>
      </w:r>
      <w:r>
        <w:rPr>
          <w:lang w:eastAsia="zh-CN"/>
        </w:rPr>
        <w:t xml:space="preserve">    1、提高教育思想，开阔改革视野。 </w:t>
      </w:r>
      <w:r>
        <w:rPr>
          <w:lang w:eastAsia="zh-CN"/>
        </w:rPr>
        <w:br/>
      </w:r>
      <w:r>
        <w:rPr>
          <w:lang w:eastAsia="zh-CN"/>
        </w:rPr>
        <w:t xml:space="preserve">  </w:t>
      </w:r>
      <w:r>
        <w:rPr>
          <w:lang w:eastAsia="zh-CN"/>
        </w:rPr>
        <w:t xml:space="preserve"> </w:t>
      </w:r>
    </w:p>
    <w:p w:rsidR="001B1F19" w14:textId="27C3F48A">
      <w:pPr>
        <w:rPr>
          <w:lang w:eastAsia="zh-CN"/>
        </w:rPr>
        <w:sectPr>
          <w:type w:val="nextPage"/>
          <w:pgSz w:w="11906" w:h="16838"/>
          <w:pgMar w:top="1440" w:right="1800" w:bottom="1440" w:left="1800" w:header="851" w:footer="992" w:gutter="0"/>
          <w:pgNumType w:start="15"/>
          <w:cols w:space="425"/>
          <w:titlePg w:val="0"/>
          <w:docGrid w:type="lines" w:linePitch="312"/>
        </w:sectPr>
      </w:pPr>
      <w:r>
        <w:rPr>
          <w:lang w:eastAsia="zh-CN"/>
        </w:rPr>
        <w:t xml:space="preserve"> 通过这次培训学习，让我把埋头苦干的头抬了起来，发现教育需要远见卓识。每位专家精彩的视频讲座，让我对新课程有了更高的'认识。</w:t>
      </w:r>
      <w:r>
        <w:rPr>
          <w:lang w:eastAsia="zh-CN"/>
        </w:rPr>
        <w:t xml:space="preserve"> </w:t>
      </w:r>
      <w:r>
        <w:rPr>
          <w:lang w:eastAsia="zh-CN"/>
        </w:rPr>
        <w:br/>
      </w:r>
      <w:r>
        <w:rPr>
          <w:lang w:eastAsia="zh-CN"/>
        </w:rPr>
        <w:t xml:space="preserve">    2、通过学习理论，不断应用实践。 </w:t>
      </w:r>
      <w:r>
        <w:rPr>
          <w:lang w:eastAsia="zh-CN"/>
        </w:rPr>
        <w:br/>
      </w:r>
      <w:r>
        <w:rPr>
          <w:lang w:eastAsia="zh-CN"/>
        </w:rPr>
        <w:t xml:space="preserve">    通过这次培训学习，我学会了变换角度审视自己的教育教学工作，在新理论的引领下，不断反思，调整我的教育观。正是这种换位思考，让我学会了信任学生，并不断地感受到信任带来的惊喜和力量。今后我要努力把学习的理论知识转化为实践动能，使之有效地指导平时的历史教学工作。 </w:t>
      </w:r>
      <w:r>
        <w:rPr>
          <w:lang w:eastAsia="zh-CN"/>
        </w:rPr>
        <w:br/>
      </w:r>
      <w:r>
        <w:rPr>
          <w:lang w:eastAsia="zh-CN"/>
        </w:rPr>
        <w:t xml:space="preserve">    3、加强专业知识学习，做专业型教师。 </w:t>
      </w:r>
      <w:r>
        <w:rPr>
          <w:lang w:eastAsia="zh-CN"/>
        </w:rPr>
        <w:br/>
      </w:r>
      <w:r>
        <w:rPr>
          <w:lang w:eastAsia="zh-CN"/>
        </w:rPr>
        <w:t xml:space="preserve">    在培训中，我感受到了一种孜孜以求、学无止境的氛围。在实践过程中敢于迎接挑战，便也敢于创新。可以说，是培训激励了我的意志，启发了我的心智，让我更加执着的扑在初中历史教育教学上。 </w:t>
      </w:r>
      <w:r>
        <w:rPr>
          <w:lang w:eastAsia="zh-CN"/>
        </w:rPr>
        <w:br/>
      </w:r>
      <w:r>
        <w:rPr>
          <w:lang w:eastAsia="zh-CN"/>
        </w:rPr>
        <w:t xml:space="preserve">    4、以课例研究为载体，促进教师专业化成长。 </w:t>
      </w:r>
      <w:r>
        <w:rPr>
          <w:lang w:eastAsia="zh-CN"/>
        </w:rPr>
        <w:br/>
      </w:r>
      <w:r>
        <w:rPr>
          <w:lang w:eastAsia="zh-CN"/>
        </w:rPr>
        <w:t xml:space="preserve">    培训过程中每一位专家都付出了艰辛个努力，一次次的课例视频讲座，我们都有极大的收获。一次次的课后交流，我们的思想碰撞出火花，凝结成智慧的结晶。短短两个月的学习时间，大家共同的心声却产生了共鸣：收获多多，感悟多多，每一天都与精彩相伴，每一刻都与精彩相约，每一秒都与精彩共舞！一路走来我们看到了学员们在繁忙的工作后依然勤勉踏实，满腔热情的在这个平台上播撒智慧。通过这次“国培”远程学习，使我走上了初中历史教改路上的又一个起点，我将迎着教改的春风奔向教改的阳光大道。 </w:t>
      </w:r>
      <w:r>
        <w:rPr>
          <w:lang w:eastAsia="zh-CN"/>
        </w:rPr>
        <w:br/>
      </w:r>
    </w:p>
    <w:p w:rsidR="001B1F19" w14:textId="27C3F48A">
      <w:pPr>
        <w:rPr>
          <w:lang w:eastAsia="zh-CN"/>
        </w:rPr>
        <w:sectPr>
          <w:type w:val="nextPage"/>
          <w:pgSz w:w="11906" w:h="16838"/>
          <w:pgMar w:top="1440" w:right="1800" w:bottom="1440" w:left="1800" w:header="851" w:footer="992" w:gutter="0"/>
          <w:pgNumType w:start="16"/>
          <w:cols w:space="425"/>
          <w:titlePg w:val="0"/>
          <w:docGrid w:type="lines" w:linePitch="312"/>
        </w:sectPr>
      </w:pPr>
      <w:r>
        <w:rPr>
          <w:lang w:eastAsia="zh-CN"/>
        </w:rPr>
        <w:t xml:space="preserve">    国培学习计划 篇7 </w:t>
      </w:r>
      <w:r>
        <w:rPr>
          <w:lang w:eastAsia="zh-CN"/>
        </w:rPr>
        <w:br/>
      </w:r>
      <w:r>
        <w:rPr>
          <w:lang w:eastAsia="zh-CN"/>
        </w:rPr>
        <w:t xml:space="preserve">    “好雨知时节，当春乃发生。随风潜入夜，润物细无声。野径云俱黑，江船火独明。晚看红湿处，花重锦官城。”。在假期参加国培，这正好给不大喜欢热闹的我一个借口“我们当老师忙，要在网上参加国培，你们玩去吧。”一举两得何为不心里甜滋滋的。悠闲自在的在电脑旁听陈传荣老师讲：“统计与概率的教育价值为：有助于培养学生以随机的观点来理解世界，形成正确的世界观和方法论；有助于发展学生解决问题的能力；有助于培养学生对数学的积极情感体验。”好不惬意。悠闲自在的在电脑旁观看李国良老师讲的：整体，明确目标，提升“数与代数”教学的有效性专题。好不惬意。悠闲自在的电脑旁欣赏：陈凤云、贾艳、邓权三位老师对话：小学数学“空间与图形”的教学分析与案例评析。陈凤云老师说：空间与图形是小学数学四个知识板块中的第二个版块，主要涉及现实生活中的物体、几何体和平面图形的 形状、大小、位置关系及其变换。贾艳老师说：小学阶段学习“空间与图形”有着非常重要的`意义。邓权老师说：的确，学习“空间与图形”意义确实很重大，它不仅可以帮助学生获得必需的知识和技能, 更重要的是：还可以发展学生的空间观念，培养他们的创新精神和实践能力。心里甜滋滋的。 </w:t>
      </w:r>
      <w:r>
        <w:rPr>
          <w:lang w:eastAsia="zh-CN"/>
        </w:rPr>
        <w:br/>
      </w:r>
      <w:r>
        <w:rPr>
          <w:lang w:eastAsia="zh-CN"/>
        </w:rPr>
        <w:t xml:space="preserve">  </w:t>
      </w:r>
      <w:r>
        <w:rPr>
          <w:lang w:eastAsia="zh-CN"/>
        </w:rPr>
        <w:t xml:space="preserve"> </w:t>
      </w:r>
    </w:p>
    <w:p w:rsidR="001B1F19" w14:textId="27C3F48A">
      <w:pPr>
        <w:rPr>
          <w:lang w:eastAsia="zh-CN"/>
        </w:rPr>
        <w:sectPr>
          <w:type w:val="nextPage"/>
          <w:pgSz w:w="11906" w:h="16838"/>
          <w:pgMar w:top="1440" w:right="1800" w:bottom="1440" w:left="1800" w:header="851" w:footer="992" w:gutter="0"/>
          <w:pgNumType w:start="17"/>
          <w:cols w:space="425"/>
          <w:titlePg w:val="0"/>
          <w:docGrid w:type="lines" w:linePitch="312"/>
        </w:sectPr>
      </w:pPr>
      <w:r>
        <w:rPr>
          <w:lang w:eastAsia="zh-CN"/>
        </w:rPr>
        <w:t xml:space="preserve"> 看着班级论坛里老师们的一问一答心里甜滋滋的。吴祥运说：如何让学生喜欢学数学？当老师最累的我认为不是备课改作业辅导，而是你讲他不听，你布置作业他不做，把考试当无所谓。一句话他不喜欢学是最累心的事。符运军回帖说：1、先让学生喜欢你这个老师。2、用心去做，学生会明白的。3、用一颗真心对待学生。4、多与学生沟通。黄经惠回帖说：1、先让学生喜欢你！2、生动、责任感、讲精</w:t>
      </w:r>
      <w:r>
        <w:rPr>
          <w:lang w:eastAsia="zh-CN"/>
        </w:rPr>
        <w:t xml:space="preserve"> 。谭贵玉回帖说：一、让学生主动参与学习数学。二、培养学生获取知识的能力。三、注重学法指导，培养学习能力。四、创设民主和谐的课堂教学氛围。益明军回帖说：同意楼上的观点。让学生先喜欢你。</w:t>
      </w:r>
      <w:r>
        <w:rPr>
          <w:lang w:eastAsia="zh-CN"/>
        </w:rPr>
        <w:t xml:space="preserve"> </w:t>
      </w:r>
      <w:r>
        <w:rPr>
          <w:lang w:eastAsia="zh-CN"/>
        </w:rPr>
        <w:br/>
      </w:r>
      <w:r>
        <w:rPr>
          <w:lang w:eastAsia="zh-CN"/>
        </w:rPr>
        <w:t xml:space="preserve">  </w:t>
      </w:r>
      <w:r>
        <w:rPr>
          <w:lang w:eastAsia="zh-CN"/>
        </w:rPr>
        <w:t xml:space="preserve"> </w:t>
      </w:r>
      <w:r>
        <w:rPr>
          <w:lang w:eastAsia="zh-CN"/>
        </w:rPr>
        <w:t xml:space="preserve"> 符运军说：学生的学与老师的教？黄经惠回帖说：1.对基础知识与方法建立在理解的掌握，不能只是了解，或知道个大概</w:t>
      </w:r>
    </w:p>
    <w:p w:rsidR="001B1F19" w14:textId="27C3F48A">
      <w:pPr>
        <w:rPr>
          <w:lang w:eastAsia="zh-CN"/>
        </w:rPr>
        <w:sectPr>
          <w:type w:val="nextPage"/>
          <w:pgSz w:w="11906" w:h="16838"/>
          <w:pgMar w:top="1440" w:right="1800" w:bottom="1440" w:left="1800" w:header="851" w:footer="992" w:gutter="0"/>
          <w:pgNumType w:start="18"/>
          <w:cols w:space="425"/>
          <w:titlePg w:val="0"/>
          <w:docGrid w:type="lines" w:linePitch="312"/>
        </w:sectPr>
      </w:pPr>
      <w:r>
        <w:rPr>
          <w:lang w:eastAsia="zh-CN"/>
        </w:rPr>
        <w:t xml:space="preserve"> 。2.老师教的目的是为了学生的学习与掌握并提升学习的能力，而不是为了完成任务。3.数学课堂教学中学生的思维参与。王琼慰回帖说：1、树立人人平等的观念师生间的关系首先是人与人的关系!而这个时代的最鲜明的特点就是人人平等。俗话说爱人者人恒爱之，敬人者人恒敬之。不论何时何地，都应该尊重学生的人格和自尊。要记住我只是“术业有专攻”在我教的科目上我比学生高，我的经历多，还已经有了不错的工作，但这不应成为自高自大的资本，所谓虚怀若谷，犹如山谷一样空明，容纳山林与清泉。所以要和学生做好沟通，相互了解，才能减少不必要的误会，而且还会提高工作效率，做到行令禁止，也会使工作有成就感！2、和谐就可以了吗？和谐常被理解为没有矛盾。矛盾才是进步的阶梯，有了交流就会有矛盾，不同观点的碰撞，不同的语言或尊敬或粗鲁让你欢喜或厌恶，所有让你不爽的感觉都会像一点星火随时引爆人的忍耐极限。所以有一套自己解决矛盾，处理不良情绪的方案。吴祥运回帖说：教是为了不教；学是为了快乐成长，为了为社会增光彩。杨海莲回帖说：1、学为主，教为辅。2、学生是学习的主体，教师更多的是有针对性的指导。</w:t>
      </w:r>
      <w:r>
        <w:rPr>
          <w:lang w:eastAsia="zh-CN"/>
        </w:rPr>
        <w:t xml:space="preserve"> </w:t>
      </w:r>
      <w:r>
        <w:rPr>
          <w:lang w:eastAsia="zh-CN"/>
        </w:rPr>
        <w:br/>
      </w:r>
      <w:r>
        <w:rPr>
          <w:lang w:eastAsia="zh-CN"/>
        </w:rPr>
        <w:t xml:space="preserve">    “问君哪得清如许 ，为有源头活水来”；“ 随风潜入夜，润物细无声”。假期国培使我充实，心里甜滋滋的。 </w:t>
      </w:r>
      <w:r>
        <w:rPr>
          <w:lang w:eastAsia="zh-CN"/>
        </w:rPr>
        <w:br/>
      </w:r>
      <w:r>
        <w:rPr>
          <w:lang w:eastAsia="zh-CN"/>
        </w:rPr>
        <w:t xml:space="preserve">    国培学习计划 篇8 </w:t>
      </w:r>
      <w:r>
        <w:rPr>
          <w:lang w:eastAsia="zh-CN"/>
        </w:rPr>
        <w:br/>
      </w:r>
      <w:r>
        <w:rPr>
          <w:lang w:eastAsia="zh-CN"/>
        </w:rPr>
        <w:t xml:space="preserve">    教师职业作为一种以人育人的职业，对其劳动质量提出的要求 </w:t>
      </w:r>
      <w:r>
        <w:rPr>
          <w:lang w:eastAsia="zh-CN"/>
        </w:rPr>
        <w:br/>
      </w:r>
      <w:r>
        <w:rPr>
          <w:lang w:eastAsia="zh-CN"/>
        </w:rPr>
        <w:t xml:space="preserve">    是很高的、无止境的，所以，作为一名教师，我时刻告诫自己要追求卓越，崇尚一流，拒绝平庸，注重自身创新精神与实践能力、情感、态度与价值观的发展,使自己真正成长为不辱使命感、历史责任感的优秀教师，把自己的全部知识、才华和爱心奉献给学生、奉献给教育事业。我相信这也是每一个教师所追求的思想境界。因此必须努力学习比较系统的专业知识、教育科学知识，不断提高自己的师德修养，丰富自身的人文底蕴；积极投入教育科研，探索规律，提高自身的教育教学水平。 </w:t>
      </w:r>
      <w:r>
        <w:rPr>
          <w:lang w:eastAsia="zh-CN"/>
        </w:rPr>
        <w:br/>
      </w:r>
      <w:r>
        <w:rPr>
          <w:lang w:eastAsia="zh-CN"/>
        </w:rPr>
        <w:t xml:space="preserve">    为了能够在这次培训中有更大的收获，在教育理论、教学研究等 </w:t>
      </w:r>
      <w:r>
        <w:rPr>
          <w:lang w:eastAsia="zh-CN"/>
        </w:rPr>
        <w:br/>
      </w:r>
      <w:r>
        <w:rPr>
          <w:lang w:eastAsia="zh-CN"/>
        </w:rPr>
        <w:t xml:space="preserve">    各方面都得到提高，制定国培学习个人计划如下： </w:t>
      </w:r>
      <w:r>
        <w:rPr>
          <w:lang w:eastAsia="zh-CN"/>
        </w:rPr>
        <w:br/>
      </w:r>
      <w:r>
        <w:rPr>
          <w:lang w:eastAsia="zh-CN"/>
        </w:rPr>
        <w:t xml:space="preserve">    一、聆听积极主动的学习 </w:t>
      </w:r>
      <w:r>
        <w:rPr>
          <w:lang w:eastAsia="zh-CN"/>
        </w:rPr>
        <w:br/>
      </w:r>
      <w:r>
        <w:rPr>
          <w:lang w:eastAsia="zh-CN"/>
        </w:rPr>
        <w:t xml:space="preserve">  </w:t>
      </w:r>
      <w:r>
        <w:rPr>
          <w:lang w:eastAsia="zh-CN"/>
        </w:rPr>
        <w:t xml:space="preserve"> </w:t>
      </w:r>
    </w:p>
    <w:p w:rsidR="001B1F19" w14:textId="27C3F48A">
      <w:pPr>
        <w:rPr>
          <w:lang w:eastAsia="zh-CN"/>
        </w:rPr>
        <w:sectPr>
          <w:type w:val="nextPage"/>
          <w:pgSz w:w="11906" w:h="16838"/>
          <w:pgMar w:top="1440" w:right="1800" w:bottom="1440" w:left="1800" w:header="851" w:footer="992" w:gutter="0"/>
          <w:pgNumType w:start="19"/>
          <w:cols w:space="425"/>
          <w:titlePg w:val="0"/>
          <w:docGrid w:type="lines" w:linePitch="312"/>
        </w:sectPr>
      </w:pPr>
      <w:r>
        <w:rPr>
          <w:lang w:eastAsia="zh-CN"/>
        </w:rPr>
        <w:t xml:space="preserve"> 认真遵守培训机构的各项要求，珍惜这次培训机会，每天按时参加学习，专心听讲，认真聆听专家报告，并做好笔记。无论专家报告何种风格，都坚持在最快的是时间内调整思路，融入专家报告，解读专家思想，内化成自身的知识，弥补自己专业知识的不足。保证网上学习40课时以上，课余时间加强学习。</w:t>
      </w:r>
      <w:r>
        <w:rPr>
          <w:lang w:eastAsia="zh-CN"/>
        </w:rPr>
        <w:t xml:space="preserve"> </w:t>
      </w:r>
      <w:r>
        <w:rPr>
          <w:lang w:eastAsia="zh-CN"/>
        </w:rPr>
        <w:br/>
      </w:r>
      <w:r>
        <w:rPr>
          <w:lang w:eastAsia="zh-CN"/>
        </w:rPr>
        <w:t xml:space="preserve">    二、参与学习并积极主动评价 </w:t>
      </w:r>
      <w:r>
        <w:rPr>
          <w:lang w:eastAsia="zh-CN"/>
        </w:rPr>
        <w:br/>
      </w:r>
      <w:r>
        <w:rPr>
          <w:lang w:eastAsia="zh-CN"/>
        </w:rPr>
        <w:t xml:space="preserve">    积极参与研修的各项研讨活动，努力向各位专家教师、学员学习，各位学员都是各个地区的一线教师，他们都具有丰富的教学理论和教学经验，参与互动与各位学员共同探讨。 </w:t>
      </w:r>
      <w:r>
        <w:rPr>
          <w:lang w:eastAsia="zh-CN"/>
        </w:rPr>
        <w:br/>
      </w:r>
      <w:r>
        <w:rPr>
          <w:lang w:eastAsia="zh-CN"/>
        </w:rPr>
        <w:t xml:space="preserve">    三、反思寻找提升 </w:t>
      </w:r>
      <w:r>
        <w:rPr>
          <w:lang w:eastAsia="zh-CN"/>
        </w:rPr>
        <w:br/>
      </w:r>
      <w:r>
        <w:rPr>
          <w:lang w:eastAsia="zh-CN"/>
        </w:rPr>
        <w:t xml:space="preserve">    善于学习多加思考，结合自己在教学中的感受写出学习心得， </w:t>
      </w:r>
      <w:r>
        <w:rPr>
          <w:lang w:eastAsia="zh-CN"/>
        </w:rPr>
        <w:br/>
      </w:r>
      <w:r>
        <w:rPr>
          <w:lang w:eastAsia="zh-CN"/>
        </w:rPr>
        <w:t xml:space="preserve">    写出研修日志，对照自己以往的专业成长道路，寻找自己的课堂教学与专家所谈的课堂教学的接入点，寻找与现代教育理论接轨的方法和 </w:t>
      </w:r>
      <w:r>
        <w:rPr>
          <w:lang w:eastAsia="zh-CN"/>
        </w:rPr>
        <w:br/>
      </w:r>
      <w:r>
        <w:rPr>
          <w:lang w:eastAsia="zh-CN"/>
        </w:rPr>
        <w:t xml:space="preserve">    途径，看是否能在最短的时间内做到最大的提高，并将所思所悟及时整理，按时完成作业并上交上传。 </w:t>
      </w:r>
      <w:r>
        <w:rPr>
          <w:lang w:eastAsia="zh-CN"/>
        </w:rPr>
        <w:br/>
      </w:r>
      <w:r>
        <w:rPr>
          <w:lang w:eastAsia="zh-CN"/>
        </w:rPr>
        <w:t xml:space="preserve">    四、读书坚持自我内涵发展 </w:t>
      </w:r>
      <w:r>
        <w:rPr>
          <w:lang w:eastAsia="zh-CN"/>
        </w:rPr>
        <w:br/>
      </w:r>
      <w:r>
        <w:rPr>
          <w:lang w:eastAsia="zh-CN"/>
        </w:rPr>
        <w:t xml:space="preserve">    在课余时间，认真读书或在网上搜集各位专家推荐的学习内容精心研读。学以致用 争取通过学习，在学习化学课程标准的基本理念，掌握化学有效课堂教学方法的基础上。了解化学教师专业发展趋势，理解研究教育教学规律和研究学生的基本方法和策略，提高把握教育 </w:t>
      </w:r>
      <w:r>
        <w:rPr>
          <w:lang w:eastAsia="zh-CN"/>
        </w:rPr>
        <w:br/>
      </w:r>
      <w:r>
        <w:rPr>
          <w:lang w:eastAsia="zh-CN"/>
        </w:rPr>
        <w:t xml:space="preserve">  </w:t>
      </w:r>
      <w:r>
        <w:rPr>
          <w:lang w:eastAsia="zh-CN"/>
        </w:rPr>
        <w:t xml:space="preserve"> </w:t>
      </w:r>
    </w:p>
    <w:p w:rsidR="001B1F19" w14:textId="27C3F48A">
      <w:pPr>
        <w:rPr>
          <w:lang w:eastAsia="zh-CN"/>
        </w:rPr>
        <w:sectPr>
          <w:type w:val="nextPage"/>
          <w:pgSz w:w="11906" w:h="16838"/>
          <w:pgMar w:top="1440" w:right="1800" w:bottom="1440" w:left="1800" w:header="851" w:footer="992" w:gutter="0"/>
          <w:pgNumType w:start="20"/>
          <w:cols w:space="425"/>
          <w:titlePg w:val="0"/>
          <w:docGrid w:type="lines" w:linePitch="312"/>
        </w:sectPr>
      </w:pPr>
      <w:r>
        <w:rPr>
          <w:lang w:eastAsia="zh-CN"/>
        </w:rPr>
        <w:t xml:space="preserve"> 教学规律和学生发展规律的能力。并且在研修结束，写出学习的体会和收获，在某一个具体的方面进行深刻、细致的总结，规划出下学期教学改革设想，结合本学校实际情况。学习计划的制定，只是对短期学习的一种规划，而最关键在于落实，所以我每天一定坚持自我检查计划的落实情况，对没有落实好的内容，能够当天弥补的工作不拖到明天，努力做到日结月清，真正让这次研修成为专业成长中的一次里程碑。</w:t>
      </w:r>
      <w:r>
        <w:rPr>
          <w:lang w:eastAsia="zh-CN"/>
        </w:rPr>
        <w:t xml:space="preserve"> </w:t>
      </w:r>
      <w:r>
        <w:rPr>
          <w:lang w:eastAsia="zh-CN"/>
        </w:rPr>
        <w:br/>
      </w:r>
      <w:r>
        <w:rPr>
          <w:lang w:eastAsia="zh-CN"/>
        </w:rPr>
        <w:t xml:space="preserve">    国培学习计划 篇9 </w:t>
      </w:r>
      <w:r>
        <w:rPr>
          <w:lang w:eastAsia="zh-CN"/>
        </w:rPr>
        <w:br/>
      </w:r>
      <w:r>
        <w:rPr>
          <w:lang w:eastAsia="zh-CN"/>
        </w:rPr>
        <w:t xml:space="preserve">    自参加国培计划----__年心理健康教育专题学习以来，我做到了学有所得，学有所悟，学有所用。现将个人的学习情况总结如下： </w:t>
      </w:r>
      <w:r>
        <w:rPr>
          <w:lang w:eastAsia="zh-CN"/>
        </w:rPr>
        <w:br/>
      </w:r>
      <w:r>
        <w:rPr>
          <w:lang w:eastAsia="zh-CN"/>
        </w:rPr>
        <w:t xml:space="preserve">    一、学有所得，自我充电有恒心。 </w:t>
      </w:r>
      <w:r>
        <w:rPr>
          <w:lang w:eastAsia="zh-CN"/>
        </w:rPr>
        <w:br/>
      </w:r>
      <w:r>
        <w:rPr>
          <w:lang w:eastAsia="zh-CN"/>
        </w:rPr>
        <w:t xml:space="preserve">    我于2月27日，注册参加国培计划——心理健康教育专题学习，我听取了刘晓明教授主讲的《教师心理问题的自我调适》和《教师职业倦怠的心理调适》，越学越觉得心情开朗，越学越觉得茅塞顿开。于是，我利用空余时间自我充电。我在网上学习了13个小时；做作业3次，成绩均在标准以上；发贴76个。 </w:t>
      </w:r>
      <w:r>
        <w:rPr>
          <w:lang w:eastAsia="zh-CN"/>
        </w:rPr>
        <w:br/>
      </w:r>
      <w:r>
        <w:rPr>
          <w:lang w:eastAsia="zh-CN"/>
        </w:rPr>
        <w:t xml:space="preserve">    二、学有所悟，自我调适有信心。 </w:t>
      </w:r>
      <w:r>
        <w:rPr>
          <w:lang w:eastAsia="zh-CN"/>
        </w:rPr>
        <w:br/>
      </w:r>
      <w:r>
        <w:rPr>
          <w:lang w:eastAsia="zh-CN"/>
        </w:rPr>
        <w:t xml:space="preserve">    通过学习，我认识到了很多道理，恢复了自信。 </w:t>
      </w:r>
      <w:r>
        <w:rPr>
          <w:lang w:eastAsia="zh-CN"/>
        </w:rPr>
        <w:br/>
      </w:r>
      <w:r>
        <w:rPr>
          <w:lang w:eastAsia="zh-CN"/>
        </w:rPr>
        <w:t xml:space="preserve">    一是懂得了自卑和自负的关系。自卑和自负两者看起来是两个面，其实都是源于对自己缺乏一个客观的认知，都是内心不够自信的一种表现。自卑者，总是只看到自己的缺点，看不到自己的优点，认为自己低人一等，从而不发奋，不上进，丢失自信，一事难成；自负者，总是只看到自己的优点，看不到自己的缺点，认为自己什么都比别人强，不谦虚，不自量，自以为是，忘乎所以，难以成事。 </w:t>
      </w:r>
      <w:r>
        <w:rPr>
          <w:lang w:eastAsia="zh-CN"/>
        </w:rPr>
        <w:br/>
      </w:r>
      <w:r>
        <w:rPr>
          <w:lang w:eastAsia="zh-CN"/>
        </w:rPr>
        <w:t xml:space="preserve">  </w:t>
      </w:r>
      <w:r>
        <w:rPr>
          <w:lang w:eastAsia="zh-CN"/>
        </w:rPr>
        <w:t xml:space="preserve"> </w:t>
      </w:r>
    </w:p>
    <w:p w:rsidR="001B1F19" w14:textId="27C3F48A">
      <w:pPr>
        <w:rPr>
          <w:lang w:eastAsia="zh-CN"/>
        </w:rPr>
      </w:pPr>
      <w:r>
        <w:rPr>
          <w:lang w:eastAsia="zh-CN"/>
        </w:rPr>
        <w:t xml:space="preserve"> 因此，自卑和自负会导致同一个目标。怎样协调好这种关系呢？最重要的是客观地看待自己</w:t>
      </w:r>
      <w:r>
        <w:rPr>
          <w:lang w:eastAsia="zh-CN"/>
        </w:rPr>
        <w:t xml:space="preserve"> </w:t>
      </w:r>
      <w:r>
        <w:rPr>
          <w:lang w:eastAsia="zh-CN"/>
        </w:rPr>
        <w:br/>
      </w:r>
      <w:r>
        <w:rPr>
          <w:lang w:eastAsia="zh-CN"/>
        </w:rPr>
        <w:t xml:space="preserve">    也就是说，当你看到自己的缺点时，不要盲目自大；我们也要看到自己的优势，不要盲目自卑。因为金无足赤，人无完人，人都不是那么完美的，即便自己有不如别人的地方，但也肯定有比别人强的地方。这就需要保持一种平和的心态，平和地看待一切就行了。 </w:t>
      </w:r>
      <w:r>
        <w:rPr>
          <w:lang w:eastAsia="zh-CN"/>
        </w:rPr>
        <w:br/>
      </w:r>
      <w:r>
        <w:rPr>
          <w:lang w:eastAsia="zh-CN"/>
        </w:rPr>
        <w:t xml:space="preserve">    只有这样，我们才能低调高调。在困难时期，我们应该看到成绩，看到光明，提高我们的勇气。在成功的时候，不要自满，要谦虚谨慎，再创佳绩。 </w:t>
      </w:r>
      <w:r>
        <w:rPr>
          <w:lang w:eastAsia="zh-CN"/>
        </w:rPr>
        <w:br/>
      </w:r>
      <w:r>
        <w:rPr>
          <w:lang w:eastAsia="zh-CN"/>
        </w:rPr>
        <w:t xml:space="preserve">    二是要懂得如何更好地了解自己，接受自己。我从小就爱当教师，长大了，我真正的成为了一名教师，我才认识到：教师不仅是一个职业，而是一个需要甘于奉献的事业。 </w:t>
      </w:r>
      <w:r>
        <w:rPr>
          <w:lang w:eastAsia="zh-CN"/>
        </w:rPr>
        <w:br/>
      </w:r>
      <w:r>
        <w:rPr>
          <w:lang w:eastAsia="zh-CN"/>
        </w:rPr>
        <w:t xml:space="preserve">    对学生的真挚爱既是教师良好心理素质的体现，也是一种重要的教育力量。只有爱他们的老师，我们才能相信他们。热爱自己的教育岗位，所授学科，不断进取，不断学习先进科学，先进文化，提高自己的教育教学水平和能力，要给学生一杯水，自己要做长流水。一个能善待自己、尊重自己的老师，才能更好地理解、接受和善待学生。 </w:t>
      </w:r>
      <w:r>
        <w:rPr>
          <w:lang w:eastAsia="zh-CN"/>
        </w:rPr>
        <w:br/>
      </w:r>
      <w:r>
        <w:rPr>
          <w:lang w:eastAsia="zh-CN"/>
        </w:rPr>
        <w:t xml:space="preserve">    十多年来，我一直努力工作，不怕吃苦，不怕累。只有这样，教师的劳动特点是周期长、效果慢、极其复杂和艰巨。一个教师没有顽强的意志和良好的品格是不可能成功的。 </w:t>
      </w:r>
      <w:r>
        <w:rPr>
          <w:lang w:eastAsia="zh-CN"/>
        </w:rPr>
        <w:br/>
      </w:r>
      <w:r>
        <w:rPr>
          <w:lang w:eastAsia="zh-CN"/>
        </w:rPr>
        <w:t xml:space="preserve">  </w:t>
      </w:r>
      <w:r>
        <w:rPr>
          <w:lang w:eastAsia="zh-CN"/>
        </w:rPr>
        <w:t xml:space="preserve"> </w:t>
      </w:r>
      <w:r>
        <w:rPr>
          <w:lang w:eastAsia="zh-CN"/>
        </w:rPr>
        <w:br/>
      </w:r>
      <w:r>
        <w:rPr>
          <w:lang w:eastAsia="zh-CN"/>
        </w:rPr>
        <w:br/>
      </w:r>
    </w:p>
    <w:p>
      <w:pPr>
        <w:spacing w:after="0" w:line="240" w:lineRule="auto"/>
        <w:rPr>
          <w:rFonts w:ascii="SimSun" w:eastAsia="SimSun" w:hAnsi="SimSun" w:cs="SimSun"/>
          <w:b/>
          <w:bCs/>
          <w:color w:val="000000"/>
          <w:sz w:val="30"/>
          <w:szCs w:val="30"/>
        </w:rPr>
      </w:pPr>
      <w:r>
        <w:rPr>
          <w:rFonts w:ascii="SimSun" w:eastAsia="SimSun" w:hAnsi="SimSun" w:cs="SimSun"/>
          <w:b/>
          <w:bCs/>
          <w:color w:val="000000"/>
          <w:sz w:val="30"/>
          <w:szCs w:val="30"/>
        </w:rPr>
        <w:t>以上内容仅为本文档的试下载部分，为可阅读页数的一半内容。如要下载或阅读全文，请访问：</w:t>
      </w:r>
      <w:hyperlink r:id="rId4" w:history="1">
        <w:r>
          <w:rPr>
            <w:rFonts w:ascii="SimSun" w:eastAsia="SimSun" w:hAnsi="SimSun" w:cs="SimSun"/>
            <w:b/>
            <w:bCs/>
            <w:color w:val="0000EE"/>
            <w:sz w:val="30"/>
            <w:szCs w:val="30"/>
            <w:u w:val="single" w:color="0000EE"/>
          </w:rPr>
          <w:t>https://d.book118.com/128044025044006046</w:t>
        </w:r>
      </w:hyperlink>
    </w:p>
    <w:p w:rsidR="001B1F19">
      <w:pPr>
        <w:rPr>
          <w:lang w:eastAsia="zh-CN"/>
        </w:rPr>
      </w:pPr>
    </w:p>
    <w:sectPr>
      <w:type w:val="nextPage"/>
      <w:pgSz w:w="11906" w:h="16838"/>
      <w:pgMar w:top="1440" w:right="1800" w:bottom="1440" w:left="1800" w:header="851" w:footer="992" w:gutter="0"/>
      <w:pgNumType w:start="21"/>
      <w:cols w:space="425"/>
      <w:titlePg w:val="0"/>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仿宋">
    <w:panose1 w:val="02010609060101010101"/>
    <w:charset w:val="86"/>
    <w:family w:val="modern"/>
    <w:pitch w:val="fixed"/>
    <w:sig w:usb0="800002BF" w:usb1="38CF7CFA"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Courier">
    <w:panose1 w:val="02070409020205020404"/>
    <w:charset w:val="00"/>
    <w:family w:val="modern"/>
    <w:pitch w:val="fixed"/>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abstractNum w:abstractNumId="0">
    <w:nsid w:val="49D07D03"/>
    <w:multiLevelType w:val="multilevel"/>
    <w:tmpl w:val="3AE4B26C"/>
    <w:lvl w:ilvl="0">
      <w:start w:val="1"/>
      <w:numFmt w:val="decimal"/>
      <w:pStyle w:val="ListBullet"/>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820273113">
    <w:abstractNumId w:val="0"/>
  </w:num>
  <w:num w:numId="2" w16cid:durableId="149969114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60222273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42500097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44842747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5233488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bordersDoNotSurroundHeader/>
  <w:bordersDoNotSurroundFooter/>
  <w:defaultTabStop w:val="420"/>
  <w:characterSpacingControl w:val="doNotCompress"/>
  <w:compat>
    <w:useFELayout/>
    <w:compatSetting w:name="compatibilityMode" w:uri="http://schemas.microsoft.com/office/word" w:val="12"/>
    <w:compatSetting w:name="useWord2013TrackBottomHyphenation" w:uri="http://schemas.microsoft.com/office/word" w:val="1"/>
    <w:compatSetting w:name="overrideTableStyleFontSizeAndJustification" w:uri="http://schemas.microsoft.com/office/word" w:val="0"/>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B1F19"/>
    <w:rsid w:val="00012D24"/>
    <w:rsid w:val="000B76DB"/>
    <w:rsid w:val="001B1F19"/>
    <w:rsid w:val="002E2E1D"/>
    <w:rsid w:val="00937657"/>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14:docId w14:val="508D8A34"/>
  <w15:docId w15:val="{83B6B1C2-FF47-43CC-85A6-22B37870D6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nhideWhenUsed="1"/>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C693F"/>
    <w:rPr>
      <w:rFonts w:ascii="仿宋" w:eastAsia="仿宋" w:hAnsi="仿宋"/>
      <w:sz w:val="28"/>
    </w:rPr>
  </w:style>
  <w:style w:type="paragraph" w:styleId="Heading1">
    <w:name w:val="heading 1"/>
    <w:basedOn w:val="Normal"/>
    <w:next w:val="Normal"/>
    <w:link w:val="1"/>
    <w:uiPriority w:val="9"/>
    <w:qFormat/>
    <w:rsid w:val="00FC693F"/>
    <w:pPr>
      <w:keepNext/>
      <w:keepLines/>
      <w:spacing w:before="480" w:after="0"/>
      <w:outlineLvl w:val="0"/>
    </w:pPr>
    <w:rPr>
      <w:rFonts w:asciiTheme="majorHAnsi" w:eastAsiaTheme="majorEastAsia" w:hAnsiTheme="majorHAnsi" w:cstheme="majorBidi"/>
      <w:b/>
      <w:bCs/>
      <w:color w:val="2F5496" w:themeColor="accent1" w:themeShade="BF"/>
      <w:szCs w:val="28"/>
    </w:rPr>
  </w:style>
  <w:style w:type="paragraph" w:styleId="Heading2">
    <w:name w:val="heading 2"/>
    <w:basedOn w:val="Normal"/>
    <w:next w:val="Normal"/>
    <w:link w:val="2"/>
    <w:uiPriority w:val="9"/>
    <w:unhideWhenUsed/>
    <w:qFormat/>
    <w:rsid w:val="00FC693F"/>
    <w:pPr>
      <w:keepNext/>
      <w:keepLines/>
      <w:spacing w:before="200" w:after="0"/>
      <w:outlineLvl w:val="1"/>
    </w:pPr>
    <w:rPr>
      <w:rFonts w:asciiTheme="majorHAnsi" w:eastAsiaTheme="majorEastAsia" w:hAnsiTheme="majorHAnsi" w:cstheme="majorBidi"/>
      <w:b/>
      <w:bCs/>
      <w:color w:val="4472C4" w:themeColor="accent1"/>
      <w:sz w:val="26"/>
      <w:szCs w:val="26"/>
    </w:rPr>
  </w:style>
  <w:style w:type="paragraph" w:styleId="Heading3">
    <w:name w:val="heading 3"/>
    <w:basedOn w:val="Normal"/>
    <w:next w:val="Normal"/>
    <w:link w:val="3"/>
    <w:uiPriority w:val="9"/>
    <w:unhideWhenUsed/>
    <w:qFormat/>
    <w:rsid w:val="00FC693F"/>
    <w:pPr>
      <w:keepNext/>
      <w:keepLines/>
      <w:spacing w:before="200" w:after="0"/>
      <w:outlineLvl w:val="2"/>
    </w:pPr>
    <w:rPr>
      <w:rFonts w:asciiTheme="majorHAnsi" w:eastAsiaTheme="majorEastAsia" w:hAnsiTheme="majorHAnsi" w:cstheme="majorBidi"/>
      <w:b/>
      <w:bCs/>
      <w:color w:val="4472C4" w:themeColor="accent1"/>
    </w:rPr>
  </w:style>
  <w:style w:type="paragraph" w:styleId="Heading4">
    <w:name w:val="heading 4"/>
    <w:basedOn w:val="Normal"/>
    <w:next w:val="Normal"/>
    <w:link w:val="4"/>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472C4" w:themeColor="accent1"/>
    </w:rPr>
  </w:style>
  <w:style w:type="paragraph" w:styleId="Heading5">
    <w:name w:val="heading 5"/>
    <w:basedOn w:val="Normal"/>
    <w:next w:val="Normal"/>
    <w:link w:val="5"/>
    <w:uiPriority w:val="9"/>
    <w:semiHidden/>
    <w:unhideWhenUsed/>
    <w:qFormat/>
    <w:rsid w:val="00FC693F"/>
    <w:pPr>
      <w:keepNext/>
      <w:keepLines/>
      <w:spacing w:before="200" w:after="0"/>
      <w:outlineLvl w:val="4"/>
    </w:pPr>
    <w:rPr>
      <w:rFonts w:asciiTheme="majorHAnsi" w:eastAsiaTheme="majorEastAsia" w:hAnsiTheme="majorHAnsi" w:cstheme="majorBidi"/>
      <w:color w:val="1F3763" w:themeColor="accent1" w:themeShade="7F"/>
    </w:rPr>
  </w:style>
  <w:style w:type="paragraph" w:styleId="Heading6">
    <w:name w:val="heading 6"/>
    <w:basedOn w:val="Normal"/>
    <w:next w:val="Normal"/>
    <w:link w:val="6"/>
    <w:uiPriority w:val="9"/>
    <w:semiHidden/>
    <w:unhideWhenUsed/>
    <w:qFormat/>
    <w:rsid w:val="00FC693F"/>
    <w:pPr>
      <w:keepNext/>
      <w:keepLines/>
      <w:spacing w:before="200" w:after="0"/>
      <w:outlineLvl w:val="5"/>
    </w:pPr>
    <w:rPr>
      <w:rFonts w:asciiTheme="majorHAnsi" w:eastAsiaTheme="majorEastAsia" w:hAnsiTheme="majorHAnsi" w:cstheme="majorBidi"/>
      <w:i/>
      <w:iCs/>
      <w:color w:val="1F3763" w:themeColor="accent1" w:themeShade="7F"/>
    </w:rPr>
  </w:style>
  <w:style w:type="paragraph" w:styleId="Heading7">
    <w:name w:val="heading 7"/>
    <w:basedOn w:val="Normal"/>
    <w:next w:val="Normal"/>
    <w:link w:val="7"/>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8"/>
    <w:uiPriority w:val="9"/>
    <w:semiHidden/>
    <w:unhideWhenUsed/>
    <w:qFormat/>
    <w:rsid w:val="00FC693F"/>
    <w:pPr>
      <w:keepNext/>
      <w:keepLines/>
      <w:spacing w:before="200" w:after="0"/>
      <w:outlineLvl w:val="7"/>
    </w:pPr>
    <w:rPr>
      <w:rFonts w:asciiTheme="majorHAnsi" w:eastAsiaTheme="majorEastAsia" w:hAnsiTheme="majorHAnsi" w:cstheme="majorBidi"/>
      <w:color w:val="4472C4" w:themeColor="accent1"/>
      <w:sz w:val="20"/>
      <w:szCs w:val="20"/>
    </w:rPr>
  </w:style>
  <w:style w:type="paragraph" w:styleId="Heading9">
    <w:name w:val="heading 9"/>
    <w:basedOn w:val="Normal"/>
    <w:next w:val="Normal"/>
    <w:link w:val="9"/>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a"/>
    <w:uiPriority w:val="99"/>
    <w:unhideWhenUsed/>
    <w:rsid w:val="00E618BF"/>
    <w:pPr>
      <w:tabs>
        <w:tab w:val="center" w:pos="4680"/>
        <w:tab w:val="right" w:pos="9360"/>
      </w:tabs>
      <w:spacing w:after="0" w:line="240" w:lineRule="auto"/>
    </w:pPr>
  </w:style>
  <w:style w:type="character" w:customStyle="1" w:styleId="a">
    <w:name w:val="页眉 字符"/>
    <w:basedOn w:val="DefaultParagraphFont"/>
    <w:link w:val="Header"/>
    <w:uiPriority w:val="99"/>
    <w:rsid w:val="00E618BF"/>
  </w:style>
  <w:style w:type="paragraph" w:styleId="Footer">
    <w:name w:val="footer"/>
    <w:basedOn w:val="Normal"/>
    <w:link w:val="a0"/>
    <w:uiPriority w:val="99"/>
    <w:unhideWhenUsed/>
    <w:rsid w:val="00E618BF"/>
    <w:pPr>
      <w:tabs>
        <w:tab w:val="center" w:pos="4680"/>
        <w:tab w:val="right" w:pos="9360"/>
      </w:tabs>
      <w:spacing w:after="0" w:line="240" w:lineRule="auto"/>
    </w:pPr>
  </w:style>
  <w:style w:type="character" w:customStyle="1" w:styleId="a0">
    <w:name w:val="页脚 字符"/>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1">
    <w:name w:val="标题 1 字符"/>
    <w:basedOn w:val="DefaultParagraphFont"/>
    <w:link w:val="Heading1"/>
    <w:uiPriority w:val="9"/>
    <w:rsid w:val="00FC693F"/>
    <w:rPr>
      <w:rFonts w:asciiTheme="majorHAnsi" w:eastAsiaTheme="majorEastAsia" w:hAnsiTheme="majorHAnsi" w:cstheme="majorBidi"/>
      <w:b/>
      <w:bCs/>
      <w:color w:val="2F5496" w:themeColor="accent1" w:themeShade="BF"/>
      <w:sz w:val="28"/>
      <w:szCs w:val="28"/>
    </w:rPr>
  </w:style>
  <w:style w:type="character" w:customStyle="1" w:styleId="2">
    <w:name w:val="标题 2 字符"/>
    <w:basedOn w:val="DefaultParagraphFont"/>
    <w:link w:val="Heading2"/>
    <w:uiPriority w:val="9"/>
    <w:rsid w:val="00FC693F"/>
    <w:rPr>
      <w:rFonts w:asciiTheme="majorHAnsi" w:eastAsiaTheme="majorEastAsia" w:hAnsiTheme="majorHAnsi" w:cstheme="majorBidi"/>
      <w:b/>
      <w:bCs/>
      <w:color w:val="4472C4" w:themeColor="accent1"/>
      <w:sz w:val="26"/>
      <w:szCs w:val="26"/>
    </w:rPr>
  </w:style>
  <w:style w:type="character" w:customStyle="1" w:styleId="3">
    <w:name w:val="标题 3 字符"/>
    <w:basedOn w:val="DefaultParagraphFont"/>
    <w:link w:val="Heading3"/>
    <w:uiPriority w:val="9"/>
    <w:rsid w:val="00FC693F"/>
    <w:rPr>
      <w:rFonts w:asciiTheme="majorHAnsi" w:eastAsiaTheme="majorEastAsia" w:hAnsiTheme="majorHAnsi" w:cstheme="majorBidi"/>
      <w:b/>
      <w:bCs/>
      <w:color w:val="4472C4" w:themeColor="accent1"/>
    </w:rPr>
  </w:style>
  <w:style w:type="paragraph" w:styleId="Title">
    <w:name w:val="Title"/>
    <w:basedOn w:val="Normal"/>
    <w:next w:val="Normal"/>
    <w:link w:val="a1"/>
    <w:uiPriority w:val="10"/>
    <w:qFormat/>
    <w:rsid w:val="00FC693F"/>
    <w:pPr>
      <w:pBdr>
        <w:bottom w:val="single" w:sz="8" w:space="4" w:color="4472C4" w:themeColor="accent1"/>
      </w:pBdr>
      <w:spacing w:after="300" w:line="240" w:lineRule="auto"/>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a1">
    <w:name w:val="标题 字符"/>
    <w:basedOn w:val="DefaultParagraphFont"/>
    <w:link w:val="Title"/>
    <w:uiPriority w:val="10"/>
    <w:rsid w:val="00FC693F"/>
    <w:rPr>
      <w:rFonts w:asciiTheme="majorHAnsi" w:eastAsiaTheme="majorEastAsia" w:hAnsiTheme="majorHAnsi" w:cstheme="majorBidi"/>
      <w:color w:val="323E4F" w:themeColor="text2" w:themeShade="BF"/>
      <w:spacing w:val="5"/>
      <w:kern w:val="28"/>
      <w:sz w:val="52"/>
      <w:szCs w:val="52"/>
    </w:rPr>
  </w:style>
  <w:style w:type="paragraph" w:styleId="Subtitle">
    <w:name w:val="Subtitle"/>
    <w:basedOn w:val="Normal"/>
    <w:next w:val="Normal"/>
    <w:link w:val="a2"/>
    <w:uiPriority w:val="11"/>
    <w:qFormat/>
    <w:rsid w:val="00FC693F"/>
    <w:pPr>
      <w:numPr>
        <w:ilvl w:val="1"/>
      </w:numPr>
    </w:pPr>
    <w:rPr>
      <w:rFonts w:asciiTheme="majorHAnsi" w:eastAsiaTheme="majorEastAsia" w:hAnsiTheme="majorHAnsi" w:cstheme="majorBidi"/>
      <w:i/>
      <w:iCs/>
      <w:color w:val="4472C4" w:themeColor="accent1"/>
      <w:spacing w:val="15"/>
      <w:sz w:val="24"/>
      <w:szCs w:val="24"/>
    </w:rPr>
  </w:style>
  <w:style w:type="character" w:customStyle="1" w:styleId="a2">
    <w:name w:val="副标题 字符"/>
    <w:basedOn w:val="DefaultParagraphFont"/>
    <w:link w:val="Subtitle"/>
    <w:uiPriority w:val="11"/>
    <w:rsid w:val="00FC693F"/>
    <w:rPr>
      <w:rFonts w:asciiTheme="majorHAnsi" w:eastAsiaTheme="majorEastAsia" w:hAnsiTheme="majorHAnsi" w:cstheme="majorBidi"/>
      <w:i/>
      <w:iCs/>
      <w:color w:val="4472C4"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a3"/>
    <w:uiPriority w:val="99"/>
    <w:unhideWhenUsed/>
    <w:rsid w:val="00AA1D8D"/>
    <w:pPr>
      <w:spacing w:after="120"/>
    </w:pPr>
  </w:style>
  <w:style w:type="character" w:customStyle="1" w:styleId="a3">
    <w:name w:val="正文文本 字符"/>
    <w:basedOn w:val="DefaultParagraphFont"/>
    <w:link w:val="BodyText"/>
    <w:uiPriority w:val="99"/>
    <w:rsid w:val="00AA1D8D"/>
  </w:style>
  <w:style w:type="paragraph" w:styleId="BodyText2">
    <w:name w:val="Body Text 2"/>
    <w:basedOn w:val="Normal"/>
    <w:link w:val="20"/>
    <w:uiPriority w:val="99"/>
    <w:unhideWhenUsed/>
    <w:rsid w:val="00AA1D8D"/>
    <w:pPr>
      <w:spacing w:after="120" w:line="480" w:lineRule="auto"/>
    </w:pPr>
  </w:style>
  <w:style w:type="character" w:customStyle="1" w:styleId="20">
    <w:name w:val="正文文本 2 字符"/>
    <w:basedOn w:val="DefaultParagraphFont"/>
    <w:link w:val="BodyText2"/>
    <w:uiPriority w:val="99"/>
    <w:rsid w:val="00AA1D8D"/>
  </w:style>
  <w:style w:type="paragraph" w:styleId="BodyText3">
    <w:name w:val="Body Text 3"/>
    <w:basedOn w:val="Normal"/>
    <w:link w:val="30"/>
    <w:uiPriority w:val="99"/>
    <w:unhideWhenUsed/>
    <w:rsid w:val="00AA1D8D"/>
    <w:pPr>
      <w:spacing w:after="120"/>
    </w:pPr>
    <w:rPr>
      <w:sz w:val="16"/>
      <w:szCs w:val="16"/>
    </w:rPr>
  </w:style>
  <w:style w:type="character" w:customStyle="1" w:styleId="30">
    <w:name w:val="正文文本 3 字符"/>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tabs>
        <w:tab w:val="num" w:pos="720"/>
      </w:tabs>
      <w:ind w:left="720" w:hanging="720"/>
      <w:contextualSpacing/>
    </w:pPr>
  </w:style>
  <w:style w:type="paragraph" w:styleId="ListBullet3">
    <w:name w:val="List Bullet 3"/>
    <w:basedOn w:val="Normal"/>
    <w:uiPriority w:val="99"/>
    <w:unhideWhenUsed/>
    <w:rsid w:val="00326F90"/>
    <w:pPr>
      <w:tabs>
        <w:tab w:val="num" w:pos="720"/>
      </w:tabs>
      <w:ind w:left="720" w:hanging="720"/>
      <w:contextualSpacing/>
    </w:pPr>
  </w:style>
  <w:style w:type="paragraph" w:styleId="ListNumber">
    <w:name w:val="List Number"/>
    <w:basedOn w:val="Normal"/>
    <w:uiPriority w:val="99"/>
    <w:unhideWhenUsed/>
    <w:rsid w:val="00326F90"/>
    <w:pPr>
      <w:tabs>
        <w:tab w:val="num" w:pos="720"/>
      </w:tabs>
      <w:ind w:left="720" w:hanging="720"/>
      <w:contextualSpacing/>
    </w:pPr>
  </w:style>
  <w:style w:type="paragraph" w:styleId="ListNumber2">
    <w:name w:val="List Number 2"/>
    <w:basedOn w:val="Normal"/>
    <w:uiPriority w:val="99"/>
    <w:unhideWhenUsed/>
    <w:rsid w:val="0029639D"/>
    <w:pPr>
      <w:tabs>
        <w:tab w:val="num" w:pos="720"/>
      </w:tabs>
      <w:ind w:left="720" w:hanging="720"/>
      <w:contextualSpacing/>
    </w:pPr>
  </w:style>
  <w:style w:type="paragraph" w:styleId="ListNumber3">
    <w:name w:val="List Number 3"/>
    <w:basedOn w:val="Normal"/>
    <w:uiPriority w:val="99"/>
    <w:unhideWhenUsed/>
    <w:rsid w:val="0029639D"/>
    <w:pPr>
      <w:tabs>
        <w:tab w:val="num" w:pos="720"/>
      </w:tabs>
      <w:ind w:left="720" w:hanging="720"/>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
    <w:name w:val="macro"/>
    <w:link w:val="a4"/>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a4">
    <w:name w:val="宏文本 字符"/>
    <w:basedOn w:val="DefaultParagraphFont"/>
    <w:link w:val="Macro"/>
    <w:uiPriority w:val="99"/>
    <w:rsid w:val="0029639D"/>
    <w:rPr>
      <w:rFonts w:ascii="Courier" w:hAnsi="Courier"/>
      <w:sz w:val="20"/>
      <w:szCs w:val="20"/>
    </w:rPr>
  </w:style>
  <w:style w:type="paragraph" w:styleId="Quote">
    <w:name w:val="Quote"/>
    <w:basedOn w:val="Normal"/>
    <w:next w:val="Normal"/>
    <w:link w:val="a5"/>
    <w:uiPriority w:val="29"/>
    <w:qFormat/>
    <w:rsid w:val="00FC693F"/>
    <w:rPr>
      <w:i/>
      <w:iCs/>
      <w:color w:val="000000" w:themeColor="text1"/>
    </w:rPr>
  </w:style>
  <w:style w:type="character" w:customStyle="1" w:styleId="a5">
    <w:name w:val="引用 字符"/>
    <w:basedOn w:val="DefaultParagraphFont"/>
    <w:link w:val="Quote"/>
    <w:uiPriority w:val="29"/>
    <w:rsid w:val="00FC693F"/>
    <w:rPr>
      <w:i/>
      <w:iCs/>
      <w:color w:val="000000" w:themeColor="text1"/>
    </w:rPr>
  </w:style>
  <w:style w:type="character" w:customStyle="1" w:styleId="4">
    <w:name w:val="标题 4 字符"/>
    <w:basedOn w:val="DefaultParagraphFont"/>
    <w:link w:val="Heading4"/>
    <w:uiPriority w:val="9"/>
    <w:semiHidden/>
    <w:rsid w:val="00FC693F"/>
    <w:rPr>
      <w:rFonts w:asciiTheme="majorHAnsi" w:eastAsiaTheme="majorEastAsia" w:hAnsiTheme="majorHAnsi" w:cstheme="majorBidi"/>
      <w:b/>
      <w:bCs/>
      <w:i/>
      <w:iCs/>
      <w:color w:val="4472C4" w:themeColor="accent1"/>
    </w:rPr>
  </w:style>
  <w:style w:type="character" w:customStyle="1" w:styleId="5">
    <w:name w:val="标题 5 字符"/>
    <w:basedOn w:val="DefaultParagraphFont"/>
    <w:link w:val="Heading5"/>
    <w:uiPriority w:val="9"/>
    <w:semiHidden/>
    <w:rsid w:val="00FC693F"/>
    <w:rPr>
      <w:rFonts w:asciiTheme="majorHAnsi" w:eastAsiaTheme="majorEastAsia" w:hAnsiTheme="majorHAnsi" w:cstheme="majorBidi"/>
      <w:color w:val="1F3763" w:themeColor="accent1" w:themeShade="7F"/>
    </w:rPr>
  </w:style>
  <w:style w:type="character" w:customStyle="1" w:styleId="6">
    <w:name w:val="标题 6 字符"/>
    <w:basedOn w:val="DefaultParagraphFont"/>
    <w:link w:val="Heading6"/>
    <w:uiPriority w:val="9"/>
    <w:semiHidden/>
    <w:rsid w:val="00FC693F"/>
    <w:rPr>
      <w:rFonts w:asciiTheme="majorHAnsi" w:eastAsiaTheme="majorEastAsia" w:hAnsiTheme="majorHAnsi" w:cstheme="majorBidi"/>
      <w:i/>
      <w:iCs/>
      <w:color w:val="1F3763" w:themeColor="accent1" w:themeShade="7F"/>
    </w:rPr>
  </w:style>
  <w:style w:type="character" w:customStyle="1" w:styleId="7">
    <w:name w:val="标题 7 字符"/>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8">
    <w:name w:val="标题 8 字符"/>
    <w:basedOn w:val="DefaultParagraphFont"/>
    <w:link w:val="Heading8"/>
    <w:uiPriority w:val="9"/>
    <w:semiHidden/>
    <w:rsid w:val="00FC693F"/>
    <w:rPr>
      <w:rFonts w:asciiTheme="majorHAnsi" w:eastAsiaTheme="majorEastAsia" w:hAnsiTheme="majorHAnsi" w:cstheme="majorBidi"/>
      <w:color w:val="4472C4" w:themeColor="accent1"/>
      <w:sz w:val="20"/>
      <w:szCs w:val="20"/>
    </w:rPr>
  </w:style>
  <w:style w:type="character" w:customStyle="1" w:styleId="9">
    <w:name w:val="标题 9 字符"/>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472C4"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a6"/>
    <w:uiPriority w:val="30"/>
    <w:qFormat/>
    <w:rsid w:val="00FC693F"/>
    <w:pPr>
      <w:pBdr>
        <w:bottom w:val="single" w:sz="4" w:space="4" w:color="4472C4" w:themeColor="accent1"/>
      </w:pBdr>
      <w:spacing w:before="200" w:after="280"/>
      <w:ind w:left="936" w:right="936"/>
    </w:pPr>
    <w:rPr>
      <w:b/>
      <w:bCs/>
      <w:i/>
      <w:iCs/>
      <w:color w:val="4472C4" w:themeColor="accent1"/>
    </w:rPr>
  </w:style>
  <w:style w:type="character" w:customStyle="1" w:styleId="a6">
    <w:name w:val="明显引用 字符"/>
    <w:basedOn w:val="DefaultParagraphFont"/>
    <w:link w:val="IntenseQuote"/>
    <w:uiPriority w:val="30"/>
    <w:rsid w:val="00FC693F"/>
    <w:rPr>
      <w:b/>
      <w:bCs/>
      <w:i/>
      <w:iCs/>
      <w:color w:val="4472C4"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472C4" w:themeColor="accent1"/>
    </w:rPr>
  </w:style>
  <w:style w:type="character" w:styleId="SubtleReference">
    <w:name w:val="Subtle Reference"/>
    <w:basedOn w:val="DefaultParagraphFont"/>
    <w:uiPriority w:val="31"/>
    <w:qFormat/>
    <w:rsid w:val="00FC693F"/>
    <w:rPr>
      <w:smallCaps/>
      <w:color w:val="ED7D31" w:themeColor="accent2"/>
      <w:u w:val="single"/>
    </w:rPr>
  </w:style>
  <w:style w:type="character" w:styleId="IntenseReference">
    <w:name w:val="Intense Reference"/>
    <w:basedOn w:val="DefaultParagraphFont"/>
    <w:uiPriority w:val="32"/>
    <w:qFormat/>
    <w:rsid w:val="00FC693F"/>
    <w:rPr>
      <w:b/>
      <w:bCs/>
      <w:smallCaps/>
      <w:color w:val="ED7D31"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2F5496" w:themeColor="accent1" w:themeShade="BF"/>
    </w:rPr>
    <w:tblPr>
      <w:tblStyleRowBandSize w:val="1"/>
      <w:tblStyleColBandSize w:val="1"/>
      <w:tblBorders>
        <w:top w:val="single" w:sz="8" w:space="0" w:color="4472C4" w:themeColor="accent1"/>
        <w:bottom w:val="single" w:sz="8" w:space="0" w:color="4472C4" w:themeColor="accent1"/>
      </w:tblBorders>
    </w:tblPr>
    <w:tblStylePr w:type="firstRow">
      <w:pPr>
        <w:spacing w:before="0" w:after="0" w:line="240" w:lineRule="auto"/>
      </w:pPr>
      <w:rPr>
        <w:b/>
        <w:bCs/>
      </w:rPr>
      <w:tblPr/>
      <w:tcPr>
        <w:tcBorders>
          <w:top w:val="single" w:sz="8" w:space="0" w:color="4472C4" w:themeColor="accent1"/>
          <w:left w:val="nil"/>
          <w:bottom w:val="single" w:sz="8" w:space="0" w:color="4472C4" w:themeColor="accent1"/>
          <w:right w:val="nil"/>
          <w:insideH w:val="nil"/>
          <w:insideV w:val="nil"/>
        </w:tcBorders>
      </w:tcPr>
    </w:tblStylePr>
    <w:tblStylePr w:type="lastRow">
      <w:pPr>
        <w:spacing w:before="0" w:after="0" w:line="240" w:lineRule="auto"/>
      </w:pPr>
      <w:rPr>
        <w:b/>
        <w:bCs/>
      </w:rPr>
      <w:tblPr/>
      <w:tcPr>
        <w:tcBorders>
          <w:top w:val="single" w:sz="8" w:space="0" w:color="4472C4" w:themeColor="accent1"/>
          <w:left w:val="nil"/>
          <w:bottom w:val="single" w:sz="8" w:space="0" w:color="4472C4"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DBF0" w:themeFill="accent1" w:themeFillTint="3F"/>
      </w:tcPr>
    </w:tblStylePr>
    <w:tblStylePr w:type="band1Horz">
      <w:tblPr/>
      <w:tcPr>
        <w:tcBorders>
          <w:left w:val="nil"/>
          <w:right w:val="nil"/>
          <w:insideH w:val="nil"/>
          <w:insideV w:val="nil"/>
        </w:tcBorders>
        <w:shd w:val="clear" w:color="auto" w:fill="D0DBF0" w:themeFill="accent1" w:themeFillTint="3F"/>
      </w:tcPr>
    </w:tblStylePr>
  </w:style>
  <w:style w:type="table" w:styleId="LightShadingAccent2">
    <w:name w:val="Light Shading Accent 2"/>
    <w:basedOn w:val="TableNormal"/>
    <w:uiPriority w:val="60"/>
    <w:rsid w:val="00FC693F"/>
    <w:pPr>
      <w:spacing w:after="0" w:line="240" w:lineRule="auto"/>
    </w:pPr>
    <w:rPr>
      <w:color w:val="C45911" w:themeColor="accent2" w:themeShade="BF"/>
    </w:rPr>
    <w:tblPr>
      <w:tblStyleRowBandSize w:val="1"/>
      <w:tblStyleColBandSize w:val="1"/>
      <w:tblBorders>
        <w:top w:val="single" w:sz="8" w:space="0" w:color="ED7D31" w:themeColor="accent2"/>
        <w:bottom w:val="single" w:sz="8" w:space="0" w:color="ED7D31" w:themeColor="accent2"/>
      </w:tblBorders>
    </w:tblPr>
    <w:tblStylePr w:type="firstRow">
      <w:pPr>
        <w:spacing w:before="0" w:after="0" w:line="240" w:lineRule="auto"/>
      </w:pPr>
      <w:rPr>
        <w:b/>
        <w:bCs/>
      </w:rPr>
      <w:tblPr/>
      <w:tcPr>
        <w:tcBorders>
          <w:top w:val="single" w:sz="8" w:space="0" w:color="ED7D31" w:themeColor="accent2"/>
          <w:left w:val="nil"/>
          <w:bottom w:val="single" w:sz="8" w:space="0" w:color="ED7D31" w:themeColor="accent2"/>
          <w:right w:val="nil"/>
          <w:insideH w:val="nil"/>
          <w:insideV w:val="nil"/>
        </w:tcBorders>
      </w:tcPr>
    </w:tblStylePr>
    <w:tblStylePr w:type="lastRow">
      <w:pPr>
        <w:spacing w:before="0" w:after="0" w:line="240" w:lineRule="auto"/>
      </w:pPr>
      <w:rPr>
        <w:b/>
        <w:bCs/>
      </w:rPr>
      <w:tblPr/>
      <w:tcPr>
        <w:tcBorders>
          <w:top w:val="single" w:sz="8" w:space="0" w:color="ED7D31" w:themeColor="accent2"/>
          <w:left w:val="nil"/>
          <w:bottom w:val="single" w:sz="8" w:space="0" w:color="ED7D31"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ADECB" w:themeFill="accent2" w:themeFillTint="3F"/>
      </w:tcPr>
    </w:tblStylePr>
    <w:tblStylePr w:type="band1Horz">
      <w:tblPr/>
      <w:tcPr>
        <w:tcBorders>
          <w:left w:val="nil"/>
          <w:right w:val="nil"/>
          <w:insideH w:val="nil"/>
          <w:insideV w:val="nil"/>
        </w:tcBorders>
        <w:shd w:val="clear" w:color="auto" w:fill="FADECB" w:themeFill="accent2" w:themeFillTint="3F"/>
      </w:tcPr>
    </w:tblStylePr>
  </w:style>
  <w:style w:type="table" w:styleId="LightShadingAccent3">
    <w:name w:val="Light Shading Accent 3"/>
    <w:basedOn w:val="TableNormal"/>
    <w:uiPriority w:val="60"/>
    <w:rsid w:val="00FC693F"/>
    <w:pPr>
      <w:spacing w:after="0" w:line="240" w:lineRule="auto"/>
    </w:pPr>
    <w:rPr>
      <w:color w:val="7B7B7B" w:themeColor="accent3" w:themeShade="BF"/>
    </w:rPr>
    <w:tblPr>
      <w:tblStyleRowBandSize w:val="1"/>
      <w:tblStyleColBandSize w:val="1"/>
      <w:tblBorders>
        <w:top w:val="single" w:sz="8" w:space="0" w:color="A5A5A5" w:themeColor="accent3"/>
        <w:bottom w:val="single" w:sz="8" w:space="0" w:color="A5A5A5" w:themeColor="accent3"/>
      </w:tblBorders>
    </w:tblPr>
    <w:tblStylePr w:type="firstRow">
      <w:pPr>
        <w:spacing w:before="0" w:after="0"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lastRow">
      <w:pPr>
        <w:spacing w:before="0" w:after="0"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8E8E8" w:themeFill="accent3" w:themeFillTint="3F"/>
      </w:tcPr>
    </w:tblStylePr>
    <w:tblStylePr w:type="band1Horz">
      <w:tblPr/>
      <w:tcPr>
        <w:tcBorders>
          <w:left w:val="nil"/>
          <w:right w:val="nil"/>
          <w:insideH w:val="nil"/>
          <w:insideV w:val="nil"/>
        </w:tcBorders>
        <w:shd w:val="clear" w:color="auto" w:fill="E8E8E8" w:themeFill="accent3" w:themeFillTint="3F"/>
      </w:tcPr>
    </w:tblStylePr>
  </w:style>
  <w:style w:type="table" w:styleId="LightShadingAccent4">
    <w:name w:val="Light Shading Accent 4"/>
    <w:basedOn w:val="TableNormal"/>
    <w:uiPriority w:val="60"/>
    <w:rsid w:val="00FC693F"/>
    <w:pPr>
      <w:spacing w:after="0" w:line="240" w:lineRule="auto"/>
    </w:pPr>
    <w:rPr>
      <w:color w:val="BF8F00" w:themeColor="accent4" w:themeShade="BF"/>
    </w:rPr>
    <w:tblPr>
      <w:tblStyleRowBandSize w:val="1"/>
      <w:tblStyleColBandSize w:val="1"/>
      <w:tblBorders>
        <w:top w:val="single" w:sz="8" w:space="0" w:color="FFC000" w:themeColor="accent4"/>
        <w:bottom w:val="single" w:sz="8" w:space="0" w:color="FFC000" w:themeColor="accent4"/>
      </w:tblBorders>
    </w:tblPr>
    <w:tblStylePr w:type="firstRow">
      <w:pPr>
        <w:spacing w:before="0" w:after="0" w:line="240" w:lineRule="auto"/>
      </w:pPr>
      <w:rPr>
        <w:b/>
        <w:bCs/>
      </w:rPr>
      <w:tblPr/>
      <w:tcPr>
        <w:tcBorders>
          <w:top w:val="single" w:sz="8" w:space="0" w:color="FFC000" w:themeColor="accent4"/>
          <w:left w:val="nil"/>
          <w:bottom w:val="single" w:sz="8" w:space="0" w:color="FFC000" w:themeColor="accent4"/>
          <w:right w:val="nil"/>
          <w:insideH w:val="nil"/>
          <w:insideV w:val="nil"/>
        </w:tcBorders>
      </w:tcPr>
    </w:tblStylePr>
    <w:tblStylePr w:type="lastRow">
      <w:pPr>
        <w:spacing w:before="0" w:after="0" w:line="240" w:lineRule="auto"/>
      </w:pPr>
      <w:rPr>
        <w:b/>
        <w:bCs/>
      </w:rPr>
      <w:tblPr/>
      <w:tcPr>
        <w:tcBorders>
          <w:top w:val="single" w:sz="8" w:space="0" w:color="FFC000" w:themeColor="accent4"/>
          <w:left w:val="nil"/>
          <w:bottom w:val="single" w:sz="8" w:space="0" w:color="FFC000"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EFC0" w:themeFill="accent4" w:themeFillTint="3F"/>
      </w:tcPr>
    </w:tblStylePr>
    <w:tblStylePr w:type="band1Horz">
      <w:tblPr/>
      <w:tcPr>
        <w:tcBorders>
          <w:left w:val="nil"/>
          <w:right w:val="nil"/>
          <w:insideH w:val="nil"/>
          <w:insideV w:val="nil"/>
        </w:tcBorders>
        <w:shd w:val="clear" w:color="auto" w:fill="FFEFC0" w:themeFill="accent4" w:themeFillTint="3F"/>
      </w:tcPr>
    </w:tblStylePr>
  </w:style>
  <w:style w:type="table" w:styleId="LightShadingAccent5">
    <w:name w:val="Light Shading Accent 5"/>
    <w:basedOn w:val="TableNormal"/>
    <w:uiPriority w:val="60"/>
    <w:rsid w:val="00FC693F"/>
    <w:pPr>
      <w:spacing w:after="0" w:line="240" w:lineRule="auto"/>
    </w:pPr>
    <w:rPr>
      <w:color w:val="2E74B5" w:themeColor="accent5" w:themeShade="BF"/>
    </w:rPr>
    <w:tblPr>
      <w:tblStyleRowBandSize w:val="1"/>
      <w:tblStyleColBandSize w:val="1"/>
      <w:tblBorders>
        <w:top w:val="single" w:sz="8" w:space="0" w:color="5B9BD5" w:themeColor="accent5"/>
        <w:bottom w:val="single" w:sz="8" w:space="0" w:color="5B9BD5" w:themeColor="accent5"/>
      </w:tblBorders>
    </w:tblPr>
    <w:tblStylePr w:type="firstRow">
      <w:pPr>
        <w:spacing w:before="0" w:after="0" w:line="240" w:lineRule="auto"/>
      </w:pPr>
      <w:rPr>
        <w:b/>
        <w:bCs/>
      </w:rPr>
      <w:tblPr/>
      <w:tcPr>
        <w:tcBorders>
          <w:top w:val="single" w:sz="8" w:space="0" w:color="5B9BD5" w:themeColor="accent5"/>
          <w:left w:val="nil"/>
          <w:bottom w:val="single" w:sz="8" w:space="0" w:color="5B9BD5" w:themeColor="accent5"/>
          <w:right w:val="nil"/>
          <w:insideH w:val="nil"/>
          <w:insideV w:val="nil"/>
        </w:tcBorders>
      </w:tcPr>
    </w:tblStylePr>
    <w:tblStylePr w:type="lastRow">
      <w:pPr>
        <w:spacing w:before="0" w:after="0" w:line="240" w:lineRule="auto"/>
      </w:pPr>
      <w:rPr>
        <w:b/>
        <w:bCs/>
      </w:rPr>
      <w:tblPr/>
      <w:tcPr>
        <w:tcBorders>
          <w:top w:val="single" w:sz="8" w:space="0" w:color="5B9BD5" w:themeColor="accent5"/>
          <w:left w:val="nil"/>
          <w:bottom w:val="single" w:sz="8" w:space="0" w:color="5B9BD5"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6E6F4" w:themeFill="accent5" w:themeFillTint="3F"/>
      </w:tcPr>
    </w:tblStylePr>
    <w:tblStylePr w:type="band1Horz">
      <w:tblPr/>
      <w:tcPr>
        <w:tcBorders>
          <w:left w:val="nil"/>
          <w:right w:val="nil"/>
          <w:insideH w:val="nil"/>
          <w:insideV w:val="nil"/>
        </w:tcBorders>
        <w:shd w:val="clear" w:color="auto" w:fill="D6E6F4" w:themeFill="accent5" w:themeFillTint="3F"/>
      </w:tcPr>
    </w:tblStylePr>
  </w:style>
  <w:style w:type="table" w:styleId="LightShadingAccent6">
    <w:name w:val="Light Shading Accent 6"/>
    <w:basedOn w:val="TableNormal"/>
    <w:uiPriority w:val="60"/>
    <w:rsid w:val="00FC693F"/>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tblBorders>
    </w:tblPr>
    <w:tblStylePr w:type="firstRow">
      <w:pPr>
        <w:spacing w:before="0" w:after="0" w:line="240" w:lineRule="auto"/>
      </w:pPr>
      <w:rPr>
        <w:b/>
        <w:bCs/>
        <w:color w:val="FFFFFF" w:themeColor="background1"/>
      </w:rPr>
      <w:tblPr/>
      <w:tcPr>
        <w:shd w:val="clear" w:color="auto" w:fill="4472C4" w:themeFill="accent1"/>
      </w:tcPr>
    </w:tblStylePr>
    <w:tblStylePr w:type="lastRow">
      <w:pPr>
        <w:spacing w:before="0" w:after="0" w:line="240" w:lineRule="auto"/>
      </w:pPr>
      <w:rPr>
        <w:b/>
        <w:bCs/>
      </w:rPr>
      <w:tblPr/>
      <w:tcPr>
        <w:tcBorders>
          <w:top w:val="double" w:sz="6" w:space="0" w:color="4472C4" w:themeColor="accent1"/>
          <w:left w:val="single" w:sz="8" w:space="0" w:color="4472C4" w:themeColor="accent1"/>
          <w:bottom w:val="single" w:sz="8" w:space="0" w:color="4472C4" w:themeColor="accent1"/>
          <w:right w:val="single" w:sz="8" w:space="0" w:color="4472C4" w:themeColor="accent1"/>
        </w:tcBorders>
      </w:tcPr>
    </w:tblStylePr>
    <w:tblStylePr w:type="firstCol">
      <w:rPr>
        <w:b/>
        <w:bCs/>
      </w:rPr>
    </w:tblStylePr>
    <w:tblStylePr w:type="lastCol">
      <w:rPr>
        <w:b/>
        <w:bCs/>
      </w:rPr>
    </w:tblStylePr>
    <w:tblStylePr w:type="band1Vert">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tblStylePr w:type="band1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tblBorders>
    </w:tblPr>
    <w:tblStylePr w:type="firstRow">
      <w:pPr>
        <w:spacing w:before="0" w:after="0" w:line="240" w:lineRule="auto"/>
      </w:pPr>
      <w:rPr>
        <w:b/>
        <w:bCs/>
        <w:color w:val="FFFFFF" w:themeColor="background1"/>
      </w:rPr>
      <w:tblPr/>
      <w:tcPr>
        <w:shd w:val="clear" w:color="auto" w:fill="ED7D31" w:themeFill="accent2"/>
      </w:tcPr>
    </w:tblStylePr>
    <w:tblStylePr w:type="lastRow">
      <w:pPr>
        <w:spacing w:before="0" w:after="0" w:line="240" w:lineRule="auto"/>
      </w:pPr>
      <w:rPr>
        <w:b/>
        <w:bCs/>
      </w:rPr>
      <w:tblPr/>
      <w:tcPr>
        <w:tcBorders>
          <w:top w:val="double" w:sz="6" w:space="0" w:color="ED7D31" w:themeColor="accent2"/>
          <w:left w:val="single" w:sz="8" w:space="0" w:color="ED7D31" w:themeColor="accent2"/>
          <w:bottom w:val="single" w:sz="8" w:space="0" w:color="ED7D31" w:themeColor="accent2"/>
          <w:right w:val="single" w:sz="8" w:space="0" w:color="ED7D31" w:themeColor="accent2"/>
        </w:tcBorders>
      </w:tcPr>
    </w:tblStylePr>
    <w:tblStylePr w:type="firstCol">
      <w:rPr>
        <w:b/>
        <w:bCs/>
      </w:rPr>
    </w:tblStylePr>
    <w:tblStylePr w:type="lastCol">
      <w:rPr>
        <w:b/>
        <w:bCs/>
      </w:rPr>
    </w:tblStylePr>
    <w:tblStylePr w:type="band1Vert">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tblStylePr w:type="band1Horz">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tblBorders>
    </w:tblPr>
    <w:tblStylePr w:type="firstRow">
      <w:pPr>
        <w:spacing w:before="0" w:after="0" w:line="240" w:lineRule="auto"/>
      </w:pPr>
      <w:rPr>
        <w:b/>
        <w:bCs/>
        <w:color w:val="FFFFFF" w:themeColor="background1"/>
      </w:rPr>
      <w:tblPr/>
      <w:tcPr>
        <w:shd w:val="clear" w:color="auto" w:fill="A5A5A5" w:themeFill="accent3"/>
      </w:tcPr>
    </w:tblStylePr>
    <w:tblStylePr w:type="lastRow">
      <w:pPr>
        <w:spacing w:before="0" w:after="0" w:line="240" w:lineRule="auto"/>
      </w:pPr>
      <w:rPr>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tcBorders>
      </w:tcPr>
    </w:tblStylePr>
    <w:tblStylePr w:type="firstCol">
      <w:rPr>
        <w:b/>
        <w:bCs/>
      </w:rPr>
    </w:tblStylePr>
    <w:tblStylePr w:type="lastCol">
      <w:rPr>
        <w:b/>
        <w:bCs/>
      </w:r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tblBorders>
    </w:tblPr>
    <w:tblStylePr w:type="firstRow">
      <w:pPr>
        <w:spacing w:before="0" w:after="0" w:line="240" w:lineRule="auto"/>
      </w:pPr>
      <w:rPr>
        <w:b/>
        <w:bCs/>
        <w:color w:val="FFFFFF" w:themeColor="background1"/>
      </w:rPr>
      <w:tblPr/>
      <w:tcPr>
        <w:shd w:val="clear" w:color="auto" w:fill="FFC000" w:themeFill="accent4"/>
      </w:tcPr>
    </w:tblStylePr>
    <w:tblStylePr w:type="lastRow">
      <w:pPr>
        <w:spacing w:before="0" w:after="0" w:line="240" w:lineRule="auto"/>
      </w:pPr>
      <w:rPr>
        <w:b/>
        <w:bCs/>
      </w:rPr>
      <w:tblPr/>
      <w:tcPr>
        <w:tcBorders>
          <w:top w:val="double" w:sz="6" w:space="0" w:color="FFC000" w:themeColor="accent4"/>
          <w:left w:val="single" w:sz="8" w:space="0" w:color="FFC000" w:themeColor="accent4"/>
          <w:bottom w:val="single" w:sz="8" w:space="0" w:color="FFC000" w:themeColor="accent4"/>
          <w:right w:val="single" w:sz="8" w:space="0" w:color="FFC000" w:themeColor="accent4"/>
        </w:tcBorders>
      </w:tcPr>
    </w:tblStylePr>
    <w:tblStylePr w:type="firstCol">
      <w:rPr>
        <w:b/>
        <w:bCs/>
      </w:rPr>
    </w:tblStylePr>
    <w:tblStylePr w:type="lastCol">
      <w:rPr>
        <w:b/>
        <w:bCs/>
      </w:rPr>
    </w:tblStylePr>
    <w:tblStylePr w:type="band1Vert">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tcPr>
    </w:tblStylePr>
    <w:tblStylePr w:type="band1Horz">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5B9BD5" w:themeColor="accent5"/>
        <w:left w:val="single" w:sz="8" w:space="0" w:color="5B9BD5" w:themeColor="accent5"/>
        <w:bottom w:val="single" w:sz="8" w:space="0" w:color="5B9BD5" w:themeColor="accent5"/>
        <w:right w:val="single" w:sz="8" w:space="0" w:color="5B9BD5" w:themeColor="accent5"/>
      </w:tblBorders>
    </w:tblPr>
    <w:tblStylePr w:type="firstRow">
      <w:pPr>
        <w:spacing w:before="0" w:after="0" w:line="240" w:lineRule="auto"/>
      </w:pPr>
      <w:rPr>
        <w:b/>
        <w:bCs/>
        <w:color w:val="FFFFFF" w:themeColor="background1"/>
      </w:rPr>
      <w:tblPr/>
      <w:tcPr>
        <w:shd w:val="clear" w:color="auto" w:fill="5B9BD5" w:themeFill="accent5"/>
      </w:tcPr>
    </w:tblStylePr>
    <w:tblStylePr w:type="lastRow">
      <w:pPr>
        <w:spacing w:before="0" w:after="0" w:line="240" w:lineRule="auto"/>
      </w:pPr>
      <w:rPr>
        <w:b/>
        <w:bCs/>
      </w:rPr>
      <w:tblPr/>
      <w:tcPr>
        <w:tcBorders>
          <w:top w:val="double" w:sz="6" w:space="0" w:color="5B9BD5" w:themeColor="accent5"/>
          <w:left w:val="single" w:sz="8" w:space="0" w:color="5B9BD5" w:themeColor="accent5"/>
          <w:bottom w:val="single" w:sz="8" w:space="0" w:color="5B9BD5" w:themeColor="accent5"/>
          <w:right w:val="single" w:sz="8" w:space="0" w:color="5B9BD5" w:themeColor="accent5"/>
        </w:tcBorders>
      </w:tcPr>
    </w:tblStylePr>
    <w:tblStylePr w:type="firstCol">
      <w:rPr>
        <w:b/>
        <w:bCs/>
      </w:rPr>
    </w:tblStylePr>
    <w:tblStylePr w:type="lastCol">
      <w:rPr>
        <w:b/>
        <w:bCs/>
      </w:rPr>
    </w:tblStylePr>
    <w:tblStylePr w:type="band1Vert">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tcPr>
    </w:tblStylePr>
    <w:tblStylePr w:type="band1Horz">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tblBorders>
    </w:tblPr>
    <w:tblStylePr w:type="firstRow">
      <w:pPr>
        <w:spacing w:before="0" w:after="0" w:line="240" w:lineRule="auto"/>
      </w:pPr>
      <w:rPr>
        <w:b/>
        <w:bCs/>
        <w:color w:val="FFFFFF" w:themeColor="background1"/>
      </w:rPr>
      <w:tblPr/>
      <w:tcPr>
        <w:shd w:val="clear" w:color="auto" w:fill="70AD47" w:themeFill="accent6"/>
      </w:tcPr>
    </w:tblStylePr>
    <w:tblStylePr w:type="lastRow">
      <w:pPr>
        <w:spacing w:before="0" w:after="0" w:line="240" w:lineRule="auto"/>
      </w:pPr>
      <w:rPr>
        <w:b/>
        <w:bCs/>
      </w:rPr>
      <w:tblPr/>
      <w:tcPr>
        <w:tcBorders>
          <w:top w:val="double" w:sz="6" w:space="0" w:color="70AD47" w:themeColor="accent6"/>
          <w:left w:val="single" w:sz="8" w:space="0" w:color="70AD47" w:themeColor="accent6"/>
          <w:bottom w:val="single" w:sz="8" w:space="0" w:color="70AD47" w:themeColor="accent6"/>
          <w:right w:val="single" w:sz="8" w:space="0" w:color="70AD47" w:themeColor="accent6"/>
        </w:tcBorders>
      </w:tcPr>
    </w:tblStylePr>
    <w:tblStylePr w:type="firstCol">
      <w:rPr>
        <w:b/>
        <w:bCs/>
      </w:rPr>
    </w:tblStylePr>
    <w:tblStylePr w:type="lastCol">
      <w:rPr>
        <w:b/>
        <w:bCs/>
      </w:rPr>
    </w:tblStylePr>
    <w:tblStylePr w:type="band1Vert">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tblStylePr w:type="band1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insideH w:val="single" w:sz="8" w:space="0" w:color="4472C4" w:themeColor="accent1"/>
        <w:insideV w:val="single" w:sz="8" w:space="0" w:color="4472C4"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472C4" w:themeColor="accent1"/>
          <w:left w:val="single" w:sz="8" w:space="0" w:color="4472C4" w:themeColor="accent1"/>
          <w:bottom w:val="single" w:sz="18" w:space="0" w:color="4472C4" w:themeColor="accent1"/>
          <w:right w:val="single" w:sz="8" w:space="0" w:color="4472C4" w:themeColor="accent1"/>
          <w:insideH w:val="nil"/>
          <w:insideV w:val="single" w:sz="8" w:space="0" w:color="4472C4"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472C4" w:themeColor="accent1"/>
          <w:left w:val="single" w:sz="8" w:space="0" w:color="4472C4" w:themeColor="accent1"/>
          <w:bottom w:val="single" w:sz="8" w:space="0" w:color="4472C4" w:themeColor="accent1"/>
          <w:right w:val="single" w:sz="8" w:space="0" w:color="4472C4" w:themeColor="accent1"/>
          <w:insideH w:val="nil"/>
          <w:insideV w:val="single" w:sz="8" w:space="0" w:color="4472C4"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tblStylePr w:type="band1Vert">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shd w:val="clear" w:color="auto" w:fill="D0DBF0" w:themeFill="accent1" w:themeFillTint="3F"/>
      </w:tcPr>
    </w:tblStylePr>
    <w:tblStylePr w:type="band1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insideV w:val="single" w:sz="8" w:space="0" w:color="4472C4" w:themeColor="accent1"/>
        </w:tcBorders>
        <w:shd w:val="clear" w:color="auto" w:fill="D0DBF0" w:themeFill="accent1" w:themeFillTint="3F"/>
      </w:tcPr>
    </w:tblStylePr>
    <w:tblStylePr w:type="band2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insideV w:val="single" w:sz="8" w:space="0" w:color="4472C4"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insideH w:val="single" w:sz="8" w:space="0" w:color="ED7D31" w:themeColor="accent2"/>
        <w:insideV w:val="single" w:sz="8" w:space="0" w:color="ED7D31"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D7D31" w:themeColor="accent2"/>
          <w:left w:val="single" w:sz="8" w:space="0" w:color="ED7D31" w:themeColor="accent2"/>
          <w:bottom w:val="single" w:sz="18" w:space="0" w:color="ED7D31" w:themeColor="accent2"/>
          <w:right w:val="single" w:sz="8" w:space="0" w:color="ED7D31" w:themeColor="accent2"/>
          <w:insideH w:val="nil"/>
          <w:insideV w:val="single" w:sz="8" w:space="0" w:color="ED7D31"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D7D31" w:themeColor="accent2"/>
          <w:left w:val="single" w:sz="8" w:space="0" w:color="ED7D31" w:themeColor="accent2"/>
          <w:bottom w:val="single" w:sz="8" w:space="0" w:color="ED7D31" w:themeColor="accent2"/>
          <w:right w:val="single" w:sz="8" w:space="0" w:color="ED7D31" w:themeColor="accent2"/>
          <w:insideH w:val="nil"/>
          <w:insideV w:val="single" w:sz="8" w:space="0" w:color="ED7D31"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tblStylePr w:type="band1Vert">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shd w:val="clear" w:color="auto" w:fill="FADECB" w:themeFill="accent2" w:themeFillTint="3F"/>
      </w:tcPr>
    </w:tblStylePr>
    <w:tblStylePr w:type="band1Horz">
      <w:tblPr/>
      <w:tcPr>
        <w:tcBorders>
          <w:top w:val="single" w:sz="8" w:space="0" w:color="ED7D31" w:themeColor="accent2"/>
          <w:left w:val="single" w:sz="8" w:space="0" w:color="ED7D31" w:themeColor="accent2"/>
          <w:bottom w:val="single" w:sz="8" w:space="0" w:color="ED7D31" w:themeColor="accent2"/>
          <w:right w:val="single" w:sz="8" w:space="0" w:color="ED7D31" w:themeColor="accent2"/>
          <w:insideV w:val="single" w:sz="8" w:space="0" w:color="ED7D31" w:themeColor="accent2"/>
        </w:tcBorders>
        <w:shd w:val="clear" w:color="auto" w:fill="FADECB" w:themeFill="accent2" w:themeFillTint="3F"/>
      </w:tcPr>
    </w:tblStylePr>
    <w:tblStylePr w:type="band2Horz">
      <w:tblPr/>
      <w:tcPr>
        <w:tcBorders>
          <w:top w:val="single" w:sz="8" w:space="0" w:color="ED7D31" w:themeColor="accent2"/>
          <w:left w:val="single" w:sz="8" w:space="0" w:color="ED7D31" w:themeColor="accent2"/>
          <w:bottom w:val="single" w:sz="8" w:space="0" w:color="ED7D31" w:themeColor="accent2"/>
          <w:right w:val="single" w:sz="8" w:space="0" w:color="ED7D31" w:themeColor="accent2"/>
          <w:insideV w:val="single" w:sz="8" w:space="0" w:color="ED7D31"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insideH w:val="single" w:sz="8" w:space="0" w:color="A5A5A5" w:themeColor="accent3"/>
        <w:insideV w:val="single" w:sz="8" w:space="0" w:color="A5A5A5"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5A5A5" w:themeColor="accent3"/>
          <w:left w:val="single" w:sz="8" w:space="0" w:color="A5A5A5" w:themeColor="accent3"/>
          <w:bottom w:val="single" w:sz="18" w:space="0" w:color="A5A5A5" w:themeColor="accent3"/>
          <w:right w:val="single" w:sz="8" w:space="0" w:color="A5A5A5" w:themeColor="accent3"/>
          <w:insideH w:val="nil"/>
          <w:insideV w:val="single" w:sz="8" w:space="0" w:color="A5A5A5"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insideH w:val="nil"/>
          <w:insideV w:val="single" w:sz="8" w:space="0" w:color="A5A5A5"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shd w:val="clear" w:color="auto" w:fill="E8E8E8" w:themeFill="accent3" w:themeFillTint="3F"/>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insideV w:val="single" w:sz="8" w:space="0" w:color="A5A5A5" w:themeColor="accent3"/>
        </w:tcBorders>
        <w:shd w:val="clear" w:color="auto" w:fill="E8E8E8" w:themeFill="accent3" w:themeFillTint="3F"/>
      </w:tcPr>
    </w:tblStylePr>
    <w:tblStylePr w:type="band2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insideV w:val="single" w:sz="8" w:space="0" w:color="A5A5A5"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insideH w:val="single" w:sz="8" w:space="0" w:color="FFC000" w:themeColor="accent4"/>
        <w:insideV w:val="single" w:sz="8" w:space="0" w:color="FFC000"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FC000" w:themeColor="accent4"/>
          <w:left w:val="single" w:sz="8" w:space="0" w:color="FFC000" w:themeColor="accent4"/>
          <w:bottom w:val="single" w:sz="18" w:space="0" w:color="FFC000" w:themeColor="accent4"/>
          <w:right w:val="single" w:sz="8" w:space="0" w:color="FFC000" w:themeColor="accent4"/>
          <w:insideH w:val="nil"/>
          <w:insideV w:val="single" w:sz="8" w:space="0" w:color="FFC000"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FC000" w:themeColor="accent4"/>
          <w:left w:val="single" w:sz="8" w:space="0" w:color="FFC000" w:themeColor="accent4"/>
          <w:bottom w:val="single" w:sz="8" w:space="0" w:color="FFC000" w:themeColor="accent4"/>
          <w:right w:val="single" w:sz="8" w:space="0" w:color="FFC000" w:themeColor="accent4"/>
          <w:insideH w:val="nil"/>
          <w:insideV w:val="single" w:sz="8" w:space="0" w:color="FFC000"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tcPr>
    </w:tblStylePr>
    <w:tblStylePr w:type="band1Vert">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shd w:val="clear" w:color="auto" w:fill="FFEFC0" w:themeFill="accent4" w:themeFillTint="3F"/>
      </w:tcPr>
    </w:tblStylePr>
    <w:tblStylePr w:type="band1Horz">
      <w:tblPr/>
      <w:tcPr>
        <w:tcBorders>
          <w:top w:val="single" w:sz="8" w:space="0" w:color="FFC000" w:themeColor="accent4"/>
          <w:left w:val="single" w:sz="8" w:space="0" w:color="FFC000" w:themeColor="accent4"/>
          <w:bottom w:val="single" w:sz="8" w:space="0" w:color="FFC000" w:themeColor="accent4"/>
          <w:right w:val="single" w:sz="8" w:space="0" w:color="FFC000" w:themeColor="accent4"/>
          <w:insideV w:val="single" w:sz="8" w:space="0" w:color="FFC000" w:themeColor="accent4"/>
        </w:tcBorders>
        <w:shd w:val="clear" w:color="auto" w:fill="FFEFC0" w:themeFill="accent4" w:themeFillTint="3F"/>
      </w:tcPr>
    </w:tblStylePr>
    <w:tblStylePr w:type="band2Horz">
      <w:tblPr/>
      <w:tcPr>
        <w:tcBorders>
          <w:top w:val="single" w:sz="8" w:space="0" w:color="FFC000" w:themeColor="accent4"/>
          <w:left w:val="single" w:sz="8" w:space="0" w:color="FFC000" w:themeColor="accent4"/>
          <w:bottom w:val="single" w:sz="8" w:space="0" w:color="FFC000" w:themeColor="accent4"/>
          <w:right w:val="single" w:sz="8" w:space="0" w:color="FFC000" w:themeColor="accent4"/>
          <w:insideV w:val="single" w:sz="8" w:space="0" w:color="FFC000"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5B9BD5" w:themeColor="accent5"/>
        <w:left w:val="single" w:sz="8" w:space="0" w:color="5B9BD5" w:themeColor="accent5"/>
        <w:bottom w:val="single" w:sz="8" w:space="0" w:color="5B9BD5" w:themeColor="accent5"/>
        <w:right w:val="single" w:sz="8" w:space="0" w:color="5B9BD5" w:themeColor="accent5"/>
        <w:insideH w:val="single" w:sz="8" w:space="0" w:color="5B9BD5" w:themeColor="accent5"/>
        <w:insideV w:val="single" w:sz="8" w:space="0" w:color="5B9BD5"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B9BD5" w:themeColor="accent5"/>
          <w:left w:val="single" w:sz="8" w:space="0" w:color="5B9BD5" w:themeColor="accent5"/>
          <w:bottom w:val="single" w:sz="18" w:space="0" w:color="5B9BD5" w:themeColor="accent5"/>
          <w:right w:val="single" w:sz="8" w:space="0" w:color="5B9BD5" w:themeColor="accent5"/>
          <w:insideH w:val="nil"/>
          <w:insideV w:val="single" w:sz="8" w:space="0" w:color="5B9BD5"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B9BD5" w:themeColor="accent5"/>
          <w:left w:val="single" w:sz="8" w:space="0" w:color="5B9BD5" w:themeColor="accent5"/>
          <w:bottom w:val="single" w:sz="8" w:space="0" w:color="5B9BD5" w:themeColor="accent5"/>
          <w:right w:val="single" w:sz="8" w:space="0" w:color="5B9BD5" w:themeColor="accent5"/>
          <w:insideH w:val="nil"/>
          <w:insideV w:val="single" w:sz="8" w:space="0" w:color="5B9BD5"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tcPr>
    </w:tblStylePr>
    <w:tblStylePr w:type="band1Vert">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shd w:val="clear" w:color="auto" w:fill="D6E6F4" w:themeFill="accent5" w:themeFillTint="3F"/>
      </w:tcPr>
    </w:tblStylePr>
    <w:tblStylePr w:type="band1Horz">
      <w:tblPr/>
      <w:tcPr>
        <w:tcBorders>
          <w:top w:val="single" w:sz="8" w:space="0" w:color="5B9BD5" w:themeColor="accent5"/>
          <w:left w:val="single" w:sz="8" w:space="0" w:color="5B9BD5" w:themeColor="accent5"/>
          <w:bottom w:val="single" w:sz="8" w:space="0" w:color="5B9BD5" w:themeColor="accent5"/>
          <w:right w:val="single" w:sz="8" w:space="0" w:color="5B9BD5" w:themeColor="accent5"/>
          <w:insideV w:val="single" w:sz="8" w:space="0" w:color="5B9BD5" w:themeColor="accent5"/>
        </w:tcBorders>
        <w:shd w:val="clear" w:color="auto" w:fill="D6E6F4" w:themeFill="accent5" w:themeFillTint="3F"/>
      </w:tcPr>
    </w:tblStylePr>
    <w:tblStylePr w:type="band2Horz">
      <w:tblPr/>
      <w:tcPr>
        <w:tcBorders>
          <w:top w:val="single" w:sz="8" w:space="0" w:color="5B9BD5" w:themeColor="accent5"/>
          <w:left w:val="single" w:sz="8" w:space="0" w:color="5B9BD5" w:themeColor="accent5"/>
          <w:bottom w:val="single" w:sz="8" w:space="0" w:color="5B9BD5" w:themeColor="accent5"/>
          <w:right w:val="single" w:sz="8" w:space="0" w:color="5B9BD5" w:themeColor="accent5"/>
          <w:insideV w:val="single" w:sz="8" w:space="0" w:color="5B9BD5"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insideH w:val="single" w:sz="8" w:space="0" w:color="70AD47" w:themeColor="accent6"/>
        <w:insideV w:val="single" w:sz="8" w:space="0" w:color="70AD47"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70AD47" w:themeColor="accent6"/>
          <w:left w:val="single" w:sz="8" w:space="0" w:color="70AD47" w:themeColor="accent6"/>
          <w:bottom w:val="single" w:sz="18" w:space="0" w:color="70AD47" w:themeColor="accent6"/>
          <w:right w:val="single" w:sz="8" w:space="0" w:color="70AD47" w:themeColor="accent6"/>
          <w:insideH w:val="nil"/>
          <w:insideV w:val="single" w:sz="8" w:space="0" w:color="70AD47"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70AD47" w:themeColor="accent6"/>
          <w:left w:val="single" w:sz="8" w:space="0" w:color="70AD47" w:themeColor="accent6"/>
          <w:bottom w:val="single" w:sz="8" w:space="0" w:color="70AD47" w:themeColor="accent6"/>
          <w:right w:val="single" w:sz="8" w:space="0" w:color="70AD47" w:themeColor="accent6"/>
          <w:insideH w:val="nil"/>
          <w:insideV w:val="single" w:sz="8" w:space="0" w:color="70AD47"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tblStylePr w:type="band1Vert">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shd w:val="clear" w:color="auto" w:fill="DBEBD0" w:themeFill="accent6" w:themeFillTint="3F"/>
      </w:tcPr>
    </w:tblStylePr>
    <w:tblStylePr w:type="band1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insideV w:val="single" w:sz="8" w:space="0" w:color="70AD47" w:themeColor="accent6"/>
        </w:tcBorders>
        <w:shd w:val="clear" w:color="auto" w:fill="DBEBD0" w:themeFill="accent6" w:themeFillTint="3F"/>
      </w:tcPr>
    </w:tblStylePr>
    <w:tblStylePr w:type="band2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insideV w:val="single" w:sz="8" w:space="0" w:color="70AD47"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single" w:sz="8" w:space="0" w:color="F19D64" w:themeColor="accent2" w:themeTint="BF"/>
      </w:tblBorders>
    </w:tblPr>
    <w:tblStylePr w:type="firstRow">
      <w:pPr>
        <w:spacing w:before="0" w:after="0" w:line="240" w:lineRule="auto"/>
      </w:pPr>
      <w:rPr>
        <w:b/>
        <w:bCs/>
        <w:color w:val="FFFFFF" w:themeColor="background1"/>
      </w:rPr>
      <w:tblPr/>
      <w:tcPr>
        <w:tcBorders>
          <w:top w:val="single" w:sz="8"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nil"/>
          <w:insideV w:val="nil"/>
        </w:tcBorders>
        <w:shd w:val="clear" w:color="auto" w:fill="ED7D31" w:themeFill="accent2"/>
      </w:tcPr>
    </w:tblStylePr>
    <w:tblStylePr w:type="lastRow">
      <w:pPr>
        <w:spacing w:before="0" w:after="0" w:line="240" w:lineRule="auto"/>
      </w:pPr>
      <w:rPr>
        <w:b/>
        <w:bCs/>
      </w:rPr>
      <w:tblPr/>
      <w:tcPr>
        <w:tcBorders>
          <w:top w:val="double" w:sz="6"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nil"/>
          <w:insideV w:val="nil"/>
        </w:tcBorders>
      </w:tcPr>
    </w:tblStylePr>
    <w:tblStylePr w:type="firstCol">
      <w:rPr>
        <w:b/>
        <w:bCs/>
      </w:rPr>
    </w:tblStylePr>
    <w:tblStylePr w:type="lastCol">
      <w:rPr>
        <w:b/>
        <w:bCs/>
      </w:rPr>
    </w:tblStylePr>
    <w:tblStylePr w:type="band1Vert">
      <w:tblPr/>
      <w:tcPr>
        <w:shd w:val="clear" w:color="auto" w:fill="FADECB" w:themeFill="accent2" w:themeFillTint="3F"/>
      </w:tcPr>
    </w:tblStylePr>
    <w:tblStylePr w:type="band1Horz">
      <w:tblPr/>
      <w:tcPr>
        <w:tcBorders>
          <w:insideH w:val="nil"/>
          <w:insideV w:val="nil"/>
        </w:tcBorders>
        <w:shd w:val="clear" w:color="auto" w:fill="FADECB"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single" w:sz="8" w:space="0" w:color="BBBBBB" w:themeColor="accent3" w:themeTint="BF"/>
      </w:tblBorders>
    </w:tblPr>
    <w:tblStylePr w:type="firstRow">
      <w:pPr>
        <w:spacing w:before="0" w:after="0" w:line="240" w:lineRule="auto"/>
      </w:pPr>
      <w:rPr>
        <w:b/>
        <w:bCs/>
        <w:color w:val="FFFFFF" w:themeColor="background1"/>
      </w:rPr>
      <w:tblPr/>
      <w:tcPr>
        <w:tc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nil"/>
          <w:insideV w:val="nil"/>
        </w:tcBorders>
        <w:shd w:val="clear" w:color="auto" w:fill="A5A5A5" w:themeFill="accent3"/>
      </w:tcPr>
    </w:tblStylePr>
    <w:tblStylePr w:type="lastRow">
      <w:pPr>
        <w:spacing w:before="0" w:after="0" w:line="240" w:lineRule="auto"/>
      </w:pPr>
      <w:rPr>
        <w:b/>
        <w:bCs/>
      </w:rPr>
      <w:tblPr/>
      <w:tcPr>
        <w:tcBorders>
          <w:top w:val="double" w:sz="6"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nil"/>
          <w:insideV w:val="nil"/>
        </w:tcBorders>
      </w:tcPr>
    </w:tblStylePr>
    <w:tblStylePr w:type="firstCol">
      <w:rPr>
        <w:b/>
        <w:bCs/>
      </w:rPr>
    </w:tblStylePr>
    <w:tblStylePr w:type="lastCol">
      <w:rPr>
        <w:b/>
        <w:bCs/>
      </w:rPr>
    </w:tblStylePr>
    <w:tblStylePr w:type="band1Vert">
      <w:tblPr/>
      <w:tcPr>
        <w:shd w:val="clear" w:color="auto" w:fill="E8E8E8" w:themeFill="accent3" w:themeFillTint="3F"/>
      </w:tcPr>
    </w:tblStylePr>
    <w:tblStylePr w:type="band1Horz">
      <w:tblPr/>
      <w:tcPr>
        <w:tcBorders>
          <w:insideH w:val="nil"/>
          <w:insideV w:val="nil"/>
        </w:tcBorders>
        <w:shd w:val="clear" w:color="auto" w:fill="E8E8E8"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single" w:sz="8" w:space="0" w:color="FFCF40" w:themeColor="accent4" w:themeTint="BF"/>
      </w:tblBorders>
    </w:tblPr>
    <w:tblStylePr w:type="firstRow">
      <w:pPr>
        <w:spacing w:before="0" w:after="0" w:line="240" w:lineRule="auto"/>
      </w:pPr>
      <w:rPr>
        <w:b/>
        <w:bCs/>
        <w:color w:val="FFFFFF" w:themeColor="background1"/>
      </w:rPr>
      <w:tblPr/>
      <w:tcPr>
        <w:tcBorders>
          <w:top w:val="single" w:sz="8"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nil"/>
          <w:insideV w:val="nil"/>
        </w:tcBorders>
        <w:shd w:val="clear" w:color="auto" w:fill="FFC000" w:themeFill="accent4"/>
      </w:tcPr>
    </w:tblStylePr>
    <w:tblStylePr w:type="lastRow">
      <w:pPr>
        <w:spacing w:before="0" w:after="0" w:line="240" w:lineRule="auto"/>
      </w:pPr>
      <w:rPr>
        <w:b/>
        <w:bCs/>
      </w:rPr>
      <w:tblPr/>
      <w:tcPr>
        <w:tcBorders>
          <w:top w:val="double" w:sz="6"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nil"/>
          <w:insideV w:val="nil"/>
        </w:tcBorders>
      </w:tcPr>
    </w:tblStylePr>
    <w:tblStylePr w:type="firstCol">
      <w:rPr>
        <w:b/>
        <w:bCs/>
      </w:rPr>
    </w:tblStylePr>
    <w:tblStylePr w:type="lastCol">
      <w:rPr>
        <w:b/>
        <w:bCs/>
      </w:rPr>
    </w:tblStylePr>
    <w:tblStylePr w:type="band1Vert">
      <w:tblPr/>
      <w:tcPr>
        <w:shd w:val="clear" w:color="auto" w:fill="FFEFC0" w:themeFill="accent4" w:themeFillTint="3F"/>
      </w:tcPr>
    </w:tblStylePr>
    <w:tblStylePr w:type="band1Horz">
      <w:tblPr/>
      <w:tcPr>
        <w:tcBorders>
          <w:insideH w:val="nil"/>
          <w:insideV w:val="nil"/>
        </w:tcBorders>
        <w:shd w:val="clear" w:color="auto" w:fill="FFEFC0"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84B3DF" w:themeColor="accent5" w:themeTint="BF"/>
        <w:left w:val="single" w:sz="8" w:space="0" w:color="84B3DF" w:themeColor="accent5" w:themeTint="BF"/>
        <w:bottom w:val="single" w:sz="8" w:space="0" w:color="84B3DF" w:themeColor="accent5" w:themeTint="BF"/>
        <w:right w:val="single" w:sz="8" w:space="0" w:color="84B3DF" w:themeColor="accent5" w:themeTint="BF"/>
        <w:insideH w:val="single" w:sz="8" w:space="0" w:color="84B3DF" w:themeColor="accent5" w:themeTint="BF"/>
      </w:tblBorders>
    </w:tblPr>
    <w:tblStylePr w:type="firstRow">
      <w:pPr>
        <w:spacing w:before="0" w:after="0" w:line="240" w:lineRule="auto"/>
      </w:pPr>
      <w:rPr>
        <w:b/>
        <w:bCs/>
        <w:color w:val="FFFFFF" w:themeColor="background1"/>
      </w:rPr>
      <w:tblPr/>
      <w:tcPr>
        <w:tcBorders>
          <w:top w:val="single" w:sz="8" w:space="0" w:color="84B3DF" w:themeColor="accent5" w:themeTint="BF"/>
          <w:left w:val="single" w:sz="8" w:space="0" w:color="84B3DF" w:themeColor="accent5" w:themeTint="BF"/>
          <w:bottom w:val="single" w:sz="8" w:space="0" w:color="84B3DF" w:themeColor="accent5" w:themeTint="BF"/>
          <w:right w:val="single" w:sz="8" w:space="0" w:color="84B3DF" w:themeColor="accent5" w:themeTint="BF"/>
          <w:insideH w:val="nil"/>
          <w:insideV w:val="nil"/>
        </w:tcBorders>
        <w:shd w:val="clear" w:color="auto" w:fill="5B9BD5" w:themeFill="accent5"/>
      </w:tcPr>
    </w:tblStylePr>
    <w:tblStylePr w:type="lastRow">
      <w:pPr>
        <w:spacing w:before="0" w:after="0" w:line="240" w:lineRule="auto"/>
      </w:pPr>
      <w:rPr>
        <w:b/>
        <w:bCs/>
      </w:rPr>
      <w:tblPr/>
      <w:tcPr>
        <w:tcBorders>
          <w:top w:val="double" w:sz="6" w:space="0" w:color="84B3DF" w:themeColor="accent5" w:themeTint="BF"/>
          <w:left w:val="single" w:sz="8" w:space="0" w:color="84B3DF" w:themeColor="accent5" w:themeTint="BF"/>
          <w:bottom w:val="single" w:sz="8" w:space="0" w:color="84B3DF" w:themeColor="accent5" w:themeTint="BF"/>
          <w:right w:val="single" w:sz="8" w:space="0" w:color="84B3DF" w:themeColor="accent5" w:themeTint="BF"/>
          <w:insideH w:val="nil"/>
          <w:insideV w:val="nil"/>
        </w:tcBorders>
      </w:tcPr>
    </w:tblStylePr>
    <w:tblStylePr w:type="firstCol">
      <w:rPr>
        <w:b/>
        <w:bCs/>
      </w:rPr>
    </w:tblStylePr>
    <w:tblStylePr w:type="lastCol">
      <w:rPr>
        <w:b/>
        <w:bCs/>
      </w:rPr>
    </w:tblStylePr>
    <w:tblStylePr w:type="band1Vert">
      <w:tblPr/>
      <w:tcPr>
        <w:shd w:val="clear" w:color="auto" w:fill="D6E6F4" w:themeFill="accent5" w:themeFillTint="3F"/>
      </w:tcPr>
    </w:tblStylePr>
    <w:tblStylePr w:type="band1Horz">
      <w:tblPr/>
      <w:tcPr>
        <w:tcBorders>
          <w:insideH w:val="nil"/>
          <w:insideV w:val="nil"/>
        </w:tcBorders>
        <w:shd w:val="clear" w:color="auto" w:fill="D6E6F4"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472C4"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472C4" w:themeFill="accent1"/>
      </w:tcPr>
    </w:tblStylePr>
    <w:tblStylePr w:type="lastCol">
      <w:rPr>
        <w:b/>
        <w:bCs/>
        <w:color w:val="FFFFFF" w:themeColor="background1"/>
      </w:rPr>
      <w:tblPr/>
      <w:tcPr>
        <w:tcBorders>
          <w:left w:val="nil"/>
          <w:right w:val="nil"/>
          <w:insideH w:val="nil"/>
          <w:insideV w:val="nil"/>
        </w:tcBorders>
        <w:shd w:val="clear" w:color="auto" w:fill="4472C4"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D7D31"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D7D31" w:themeFill="accent2"/>
      </w:tcPr>
    </w:tblStylePr>
    <w:tblStylePr w:type="lastCol">
      <w:rPr>
        <w:b/>
        <w:bCs/>
        <w:color w:val="FFFFFF" w:themeColor="background1"/>
      </w:rPr>
      <w:tblPr/>
      <w:tcPr>
        <w:tcBorders>
          <w:left w:val="nil"/>
          <w:right w:val="nil"/>
          <w:insideH w:val="nil"/>
          <w:insideV w:val="nil"/>
        </w:tcBorders>
        <w:shd w:val="clear" w:color="auto" w:fill="ED7D31"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5A5A5"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5A5A5" w:themeFill="accent3"/>
      </w:tcPr>
    </w:tblStylePr>
    <w:tblStylePr w:type="lastCol">
      <w:rPr>
        <w:b/>
        <w:bCs/>
        <w:color w:val="FFFFFF" w:themeColor="background1"/>
      </w:rPr>
      <w:tblPr/>
      <w:tcPr>
        <w:tcBorders>
          <w:left w:val="nil"/>
          <w:right w:val="nil"/>
          <w:insideH w:val="nil"/>
          <w:insideV w:val="nil"/>
        </w:tcBorders>
        <w:shd w:val="clear" w:color="auto" w:fill="A5A5A5"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FC000"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FC000" w:themeFill="accent4"/>
      </w:tcPr>
    </w:tblStylePr>
    <w:tblStylePr w:type="lastCol">
      <w:rPr>
        <w:b/>
        <w:bCs/>
        <w:color w:val="FFFFFF" w:themeColor="background1"/>
      </w:rPr>
      <w:tblPr/>
      <w:tcPr>
        <w:tcBorders>
          <w:left w:val="nil"/>
          <w:right w:val="nil"/>
          <w:insideH w:val="nil"/>
          <w:insideV w:val="nil"/>
        </w:tcBorders>
        <w:shd w:val="clear" w:color="auto" w:fill="FFC000"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5B9BD5"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5B9BD5" w:themeFill="accent5"/>
      </w:tcPr>
    </w:tblStylePr>
    <w:tblStylePr w:type="lastCol">
      <w:rPr>
        <w:b/>
        <w:bCs/>
        <w:color w:val="FFFFFF" w:themeColor="background1"/>
      </w:rPr>
      <w:tblPr/>
      <w:tcPr>
        <w:tcBorders>
          <w:left w:val="nil"/>
          <w:right w:val="nil"/>
          <w:insideH w:val="nil"/>
          <w:insideV w:val="nil"/>
        </w:tcBorders>
        <w:shd w:val="clear" w:color="auto" w:fill="5B9BD5"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70AD47"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70AD47" w:themeFill="accent6"/>
      </w:tcPr>
    </w:tblStylePr>
    <w:tblStylePr w:type="lastCol">
      <w:rPr>
        <w:b/>
        <w:bCs/>
        <w:color w:val="FFFFFF" w:themeColor="background1"/>
      </w:rPr>
      <w:tblPr/>
      <w:tcPr>
        <w:tcBorders>
          <w:left w:val="nil"/>
          <w:right w:val="nil"/>
          <w:insideH w:val="nil"/>
          <w:insideV w:val="nil"/>
        </w:tcBorders>
        <w:shd w:val="clear" w:color="auto" w:fill="70AD47"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44546A"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472C4" w:themeColor="accent1"/>
        <w:bottom w:val="single" w:sz="8" w:space="0" w:color="4472C4" w:themeColor="accent1"/>
      </w:tblBorders>
    </w:tblPr>
    <w:tblStylePr w:type="firstRow">
      <w:rPr>
        <w:rFonts w:asciiTheme="majorHAnsi" w:eastAsiaTheme="majorEastAsia" w:hAnsiTheme="majorHAnsi" w:cstheme="majorBidi"/>
      </w:rPr>
      <w:tblPr/>
      <w:tcPr>
        <w:tcBorders>
          <w:top w:val="nil"/>
          <w:bottom w:val="single" w:sz="8" w:space="0" w:color="4472C4" w:themeColor="accent1"/>
        </w:tcBorders>
      </w:tcPr>
    </w:tblStylePr>
    <w:tblStylePr w:type="lastRow">
      <w:rPr>
        <w:b/>
        <w:bCs/>
        <w:color w:val="44546A" w:themeColor="text2"/>
      </w:rPr>
      <w:tblPr/>
      <w:tcPr>
        <w:tcBorders>
          <w:top w:val="single" w:sz="8" w:space="0" w:color="4472C4" w:themeColor="accent1"/>
          <w:bottom w:val="single" w:sz="8" w:space="0" w:color="4472C4" w:themeColor="accent1"/>
        </w:tcBorders>
      </w:tcPr>
    </w:tblStylePr>
    <w:tblStylePr w:type="firstCol">
      <w:rPr>
        <w:b/>
        <w:bCs/>
      </w:rPr>
    </w:tblStylePr>
    <w:tblStylePr w:type="lastCol">
      <w:rPr>
        <w:b/>
        <w:bCs/>
      </w:rPr>
      <w:tblPr/>
      <w:tcPr>
        <w:tcBorders>
          <w:top w:val="single" w:sz="8" w:space="0" w:color="4472C4" w:themeColor="accent1"/>
          <w:bottom w:val="single" w:sz="8" w:space="0" w:color="4472C4" w:themeColor="accent1"/>
        </w:tcBorders>
      </w:tcPr>
    </w:tblStylePr>
    <w:tblStylePr w:type="band1Vert">
      <w:tblPr/>
      <w:tcPr>
        <w:shd w:val="clear" w:color="auto" w:fill="D0DBF0" w:themeFill="accent1" w:themeFillTint="3F"/>
      </w:tcPr>
    </w:tblStylePr>
    <w:tblStylePr w:type="band1Horz">
      <w:tblPr/>
      <w:tcPr>
        <w:shd w:val="clear" w:color="auto" w:fill="D0DBF0"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D7D31" w:themeColor="accent2"/>
        <w:bottom w:val="single" w:sz="8" w:space="0" w:color="ED7D31" w:themeColor="accent2"/>
      </w:tblBorders>
    </w:tblPr>
    <w:tblStylePr w:type="firstRow">
      <w:rPr>
        <w:rFonts w:asciiTheme="majorHAnsi" w:eastAsiaTheme="majorEastAsia" w:hAnsiTheme="majorHAnsi" w:cstheme="majorBidi"/>
      </w:rPr>
      <w:tblPr/>
      <w:tcPr>
        <w:tcBorders>
          <w:top w:val="nil"/>
          <w:bottom w:val="single" w:sz="8" w:space="0" w:color="ED7D31" w:themeColor="accent2"/>
        </w:tcBorders>
      </w:tcPr>
    </w:tblStylePr>
    <w:tblStylePr w:type="lastRow">
      <w:rPr>
        <w:b/>
        <w:bCs/>
        <w:color w:val="44546A" w:themeColor="text2"/>
      </w:rPr>
      <w:tblPr/>
      <w:tcPr>
        <w:tcBorders>
          <w:top w:val="single" w:sz="8" w:space="0" w:color="ED7D31" w:themeColor="accent2"/>
          <w:bottom w:val="single" w:sz="8" w:space="0" w:color="ED7D31" w:themeColor="accent2"/>
        </w:tcBorders>
      </w:tcPr>
    </w:tblStylePr>
    <w:tblStylePr w:type="firstCol">
      <w:rPr>
        <w:b/>
        <w:bCs/>
      </w:rPr>
    </w:tblStylePr>
    <w:tblStylePr w:type="lastCol">
      <w:rPr>
        <w:b/>
        <w:bCs/>
      </w:rPr>
      <w:tblPr/>
      <w:tcPr>
        <w:tcBorders>
          <w:top w:val="single" w:sz="8" w:space="0" w:color="ED7D31" w:themeColor="accent2"/>
          <w:bottom w:val="single" w:sz="8" w:space="0" w:color="ED7D31" w:themeColor="accent2"/>
        </w:tcBorders>
      </w:tcPr>
    </w:tblStylePr>
    <w:tblStylePr w:type="band1Vert">
      <w:tblPr/>
      <w:tcPr>
        <w:shd w:val="clear" w:color="auto" w:fill="FADECB" w:themeFill="accent2" w:themeFillTint="3F"/>
      </w:tcPr>
    </w:tblStylePr>
    <w:tblStylePr w:type="band1Horz">
      <w:tblPr/>
      <w:tcPr>
        <w:shd w:val="clear" w:color="auto" w:fill="FADECB"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A5A5A5" w:themeColor="accent3"/>
        <w:bottom w:val="single" w:sz="8" w:space="0" w:color="A5A5A5" w:themeColor="accent3"/>
      </w:tblBorders>
    </w:tblPr>
    <w:tblStylePr w:type="firstRow">
      <w:rPr>
        <w:rFonts w:asciiTheme="majorHAnsi" w:eastAsiaTheme="majorEastAsia" w:hAnsiTheme="majorHAnsi" w:cstheme="majorBidi"/>
      </w:rPr>
      <w:tblPr/>
      <w:tcPr>
        <w:tcBorders>
          <w:top w:val="nil"/>
          <w:bottom w:val="single" w:sz="8" w:space="0" w:color="A5A5A5" w:themeColor="accent3"/>
        </w:tcBorders>
      </w:tcPr>
    </w:tblStylePr>
    <w:tblStylePr w:type="lastRow">
      <w:rPr>
        <w:b/>
        <w:bCs/>
        <w:color w:val="44546A" w:themeColor="text2"/>
      </w:rPr>
      <w:tblPr/>
      <w:tcPr>
        <w:tcBorders>
          <w:top w:val="single" w:sz="8" w:space="0" w:color="A5A5A5" w:themeColor="accent3"/>
          <w:bottom w:val="single" w:sz="8" w:space="0" w:color="A5A5A5" w:themeColor="accent3"/>
        </w:tcBorders>
      </w:tcPr>
    </w:tblStylePr>
    <w:tblStylePr w:type="firstCol">
      <w:rPr>
        <w:b/>
        <w:bCs/>
      </w:rPr>
    </w:tblStylePr>
    <w:tblStylePr w:type="lastCol">
      <w:rPr>
        <w:b/>
        <w:bCs/>
      </w:rPr>
      <w:tblPr/>
      <w:tcPr>
        <w:tcBorders>
          <w:top w:val="single" w:sz="8" w:space="0" w:color="A5A5A5" w:themeColor="accent3"/>
          <w:bottom w:val="single" w:sz="8" w:space="0" w:color="A5A5A5" w:themeColor="accent3"/>
        </w:tcBorders>
      </w:tcPr>
    </w:tblStylePr>
    <w:tblStylePr w:type="band1Vert">
      <w:tblPr/>
      <w:tcPr>
        <w:shd w:val="clear" w:color="auto" w:fill="E8E8E8" w:themeFill="accent3" w:themeFillTint="3F"/>
      </w:tcPr>
    </w:tblStylePr>
    <w:tblStylePr w:type="band1Horz">
      <w:tblPr/>
      <w:tcPr>
        <w:shd w:val="clear" w:color="auto" w:fill="E8E8E8"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FFC000" w:themeColor="accent4"/>
        <w:bottom w:val="single" w:sz="8" w:space="0" w:color="FFC000" w:themeColor="accent4"/>
      </w:tblBorders>
    </w:tblPr>
    <w:tblStylePr w:type="firstRow">
      <w:rPr>
        <w:rFonts w:asciiTheme="majorHAnsi" w:eastAsiaTheme="majorEastAsia" w:hAnsiTheme="majorHAnsi" w:cstheme="majorBidi"/>
      </w:rPr>
      <w:tblPr/>
      <w:tcPr>
        <w:tcBorders>
          <w:top w:val="nil"/>
          <w:bottom w:val="single" w:sz="8" w:space="0" w:color="FFC000" w:themeColor="accent4"/>
        </w:tcBorders>
      </w:tcPr>
    </w:tblStylePr>
    <w:tblStylePr w:type="lastRow">
      <w:rPr>
        <w:b/>
        <w:bCs/>
        <w:color w:val="44546A" w:themeColor="text2"/>
      </w:rPr>
      <w:tblPr/>
      <w:tcPr>
        <w:tcBorders>
          <w:top w:val="single" w:sz="8" w:space="0" w:color="FFC000" w:themeColor="accent4"/>
          <w:bottom w:val="single" w:sz="8" w:space="0" w:color="FFC000" w:themeColor="accent4"/>
        </w:tcBorders>
      </w:tcPr>
    </w:tblStylePr>
    <w:tblStylePr w:type="firstCol">
      <w:rPr>
        <w:b/>
        <w:bCs/>
      </w:rPr>
    </w:tblStylePr>
    <w:tblStylePr w:type="lastCol">
      <w:rPr>
        <w:b/>
        <w:bCs/>
      </w:rPr>
      <w:tblPr/>
      <w:tcPr>
        <w:tcBorders>
          <w:top w:val="single" w:sz="8" w:space="0" w:color="FFC000" w:themeColor="accent4"/>
          <w:bottom w:val="single" w:sz="8" w:space="0" w:color="FFC000" w:themeColor="accent4"/>
        </w:tcBorders>
      </w:tcPr>
    </w:tblStylePr>
    <w:tblStylePr w:type="band1Vert">
      <w:tblPr/>
      <w:tcPr>
        <w:shd w:val="clear" w:color="auto" w:fill="FFEFC0" w:themeFill="accent4" w:themeFillTint="3F"/>
      </w:tcPr>
    </w:tblStylePr>
    <w:tblStylePr w:type="band1Horz">
      <w:tblPr/>
      <w:tcPr>
        <w:shd w:val="clear" w:color="auto" w:fill="FFEFC0"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5B9BD5" w:themeColor="accent5"/>
        <w:bottom w:val="single" w:sz="8" w:space="0" w:color="5B9BD5" w:themeColor="accent5"/>
      </w:tblBorders>
    </w:tblPr>
    <w:tblStylePr w:type="firstRow">
      <w:rPr>
        <w:rFonts w:asciiTheme="majorHAnsi" w:eastAsiaTheme="majorEastAsia" w:hAnsiTheme="majorHAnsi" w:cstheme="majorBidi"/>
      </w:rPr>
      <w:tblPr/>
      <w:tcPr>
        <w:tcBorders>
          <w:top w:val="nil"/>
          <w:bottom w:val="single" w:sz="8" w:space="0" w:color="5B9BD5" w:themeColor="accent5"/>
        </w:tcBorders>
      </w:tcPr>
    </w:tblStylePr>
    <w:tblStylePr w:type="lastRow">
      <w:rPr>
        <w:b/>
        <w:bCs/>
        <w:color w:val="44546A" w:themeColor="text2"/>
      </w:rPr>
      <w:tblPr/>
      <w:tcPr>
        <w:tcBorders>
          <w:top w:val="single" w:sz="8" w:space="0" w:color="5B9BD5" w:themeColor="accent5"/>
          <w:bottom w:val="single" w:sz="8" w:space="0" w:color="5B9BD5" w:themeColor="accent5"/>
        </w:tcBorders>
      </w:tcPr>
    </w:tblStylePr>
    <w:tblStylePr w:type="firstCol">
      <w:rPr>
        <w:b/>
        <w:bCs/>
      </w:rPr>
    </w:tblStylePr>
    <w:tblStylePr w:type="lastCol">
      <w:rPr>
        <w:b/>
        <w:bCs/>
      </w:rPr>
      <w:tblPr/>
      <w:tcPr>
        <w:tcBorders>
          <w:top w:val="single" w:sz="8" w:space="0" w:color="5B9BD5" w:themeColor="accent5"/>
          <w:bottom w:val="single" w:sz="8" w:space="0" w:color="5B9BD5" w:themeColor="accent5"/>
        </w:tcBorders>
      </w:tcPr>
    </w:tblStylePr>
    <w:tblStylePr w:type="band1Vert">
      <w:tblPr/>
      <w:tcPr>
        <w:shd w:val="clear" w:color="auto" w:fill="D6E6F4" w:themeFill="accent5" w:themeFillTint="3F"/>
      </w:tcPr>
    </w:tblStylePr>
    <w:tblStylePr w:type="band1Horz">
      <w:tblPr/>
      <w:tcPr>
        <w:shd w:val="clear" w:color="auto" w:fill="D6E6F4"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70AD47" w:themeColor="accent6"/>
        <w:bottom w:val="single" w:sz="8" w:space="0" w:color="70AD47" w:themeColor="accent6"/>
      </w:tblBorders>
    </w:tblPr>
    <w:tblStylePr w:type="firstRow">
      <w:rPr>
        <w:rFonts w:asciiTheme="majorHAnsi" w:eastAsiaTheme="majorEastAsia" w:hAnsiTheme="majorHAnsi" w:cstheme="majorBidi"/>
      </w:rPr>
      <w:tblPr/>
      <w:tcPr>
        <w:tcBorders>
          <w:top w:val="nil"/>
          <w:bottom w:val="single" w:sz="8" w:space="0" w:color="70AD47" w:themeColor="accent6"/>
        </w:tcBorders>
      </w:tcPr>
    </w:tblStylePr>
    <w:tblStylePr w:type="lastRow">
      <w:rPr>
        <w:b/>
        <w:bCs/>
        <w:color w:val="44546A" w:themeColor="text2"/>
      </w:rPr>
      <w:tblPr/>
      <w:tcPr>
        <w:tcBorders>
          <w:top w:val="single" w:sz="8" w:space="0" w:color="70AD47" w:themeColor="accent6"/>
          <w:bottom w:val="single" w:sz="8" w:space="0" w:color="70AD47" w:themeColor="accent6"/>
        </w:tcBorders>
      </w:tcPr>
    </w:tblStylePr>
    <w:tblStylePr w:type="firstCol">
      <w:rPr>
        <w:b/>
        <w:bCs/>
      </w:rPr>
    </w:tblStylePr>
    <w:tblStylePr w:type="lastCol">
      <w:rPr>
        <w:b/>
        <w:bCs/>
      </w:rPr>
      <w:tblPr/>
      <w:tcPr>
        <w:tcBorders>
          <w:top w:val="single" w:sz="8" w:space="0" w:color="70AD47" w:themeColor="accent6"/>
          <w:bottom w:val="single" w:sz="8" w:space="0" w:color="70AD47" w:themeColor="accent6"/>
        </w:tcBorders>
      </w:tcPr>
    </w:tblStylePr>
    <w:tblStylePr w:type="band1Vert">
      <w:tblPr/>
      <w:tcPr>
        <w:shd w:val="clear" w:color="auto" w:fill="DBEBD0" w:themeFill="accent6" w:themeFillTint="3F"/>
      </w:tcPr>
    </w:tblStylePr>
    <w:tblStylePr w:type="band1Horz">
      <w:tblPr/>
      <w:tcPr>
        <w:shd w:val="clear" w:color="auto" w:fill="DBEB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tblBorders>
    </w:tblPr>
    <w:tblStylePr w:type="firstRow">
      <w:rPr>
        <w:sz w:val="24"/>
        <w:szCs w:val="24"/>
      </w:rPr>
      <w:tblPr/>
      <w:tcPr>
        <w:tcBorders>
          <w:top w:val="nil"/>
          <w:left w:val="nil"/>
          <w:bottom w:val="single" w:sz="24" w:space="0" w:color="4472C4" w:themeColor="accent1"/>
          <w:right w:val="nil"/>
          <w:insideH w:val="nil"/>
          <w:insideV w:val="nil"/>
        </w:tcBorders>
        <w:shd w:val="clear" w:color="auto" w:fill="FFFFFF" w:themeFill="background1"/>
      </w:tcPr>
    </w:tblStylePr>
    <w:tblStylePr w:type="lastRow">
      <w:tblPr/>
      <w:tcPr>
        <w:tcBorders>
          <w:top w:val="single" w:sz="8" w:space="0" w:color="4472C4"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472C4" w:themeColor="accent1"/>
          <w:insideH w:val="nil"/>
          <w:insideV w:val="nil"/>
        </w:tcBorders>
        <w:shd w:val="clear" w:color="auto" w:fill="FFFFFF" w:themeFill="background1"/>
      </w:tcPr>
    </w:tblStylePr>
    <w:tblStylePr w:type="lastCol">
      <w:tblPr/>
      <w:tcPr>
        <w:tcBorders>
          <w:top w:val="nil"/>
          <w:left w:val="single" w:sz="8" w:space="0" w:color="4472C4"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DBF0" w:themeFill="accent1" w:themeFillTint="3F"/>
      </w:tcPr>
    </w:tblStylePr>
    <w:tblStylePr w:type="band1Horz">
      <w:tblPr/>
      <w:tcPr>
        <w:tcBorders>
          <w:top w:val="nil"/>
          <w:bottom w:val="nil"/>
          <w:insideH w:val="nil"/>
          <w:insideV w:val="nil"/>
        </w:tcBorders>
        <w:shd w:val="clear" w:color="auto" w:fill="D0DBF0"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tblBorders>
    </w:tblPr>
    <w:tblStylePr w:type="firstRow">
      <w:rPr>
        <w:sz w:val="24"/>
        <w:szCs w:val="24"/>
      </w:rPr>
      <w:tblPr/>
      <w:tcPr>
        <w:tcBorders>
          <w:top w:val="nil"/>
          <w:left w:val="nil"/>
          <w:bottom w:val="single" w:sz="24" w:space="0" w:color="ED7D31" w:themeColor="accent2"/>
          <w:right w:val="nil"/>
          <w:insideH w:val="nil"/>
          <w:insideV w:val="nil"/>
        </w:tcBorders>
        <w:shd w:val="clear" w:color="auto" w:fill="FFFFFF" w:themeFill="background1"/>
      </w:tcPr>
    </w:tblStylePr>
    <w:tblStylePr w:type="lastRow">
      <w:tblPr/>
      <w:tcPr>
        <w:tcBorders>
          <w:top w:val="single" w:sz="8" w:space="0" w:color="ED7D31"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D7D31" w:themeColor="accent2"/>
          <w:insideH w:val="nil"/>
          <w:insideV w:val="nil"/>
        </w:tcBorders>
        <w:shd w:val="clear" w:color="auto" w:fill="FFFFFF" w:themeFill="background1"/>
      </w:tcPr>
    </w:tblStylePr>
    <w:tblStylePr w:type="lastCol">
      <w:tblPr/>
      <w:tcPr>
        <w:tcBorders>
          <w:top w:val="nil"/>
          <w:left w:val="single" w:sz="8" w:space="0" w:color="ED7D31"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ADECB" w:themeFill="accent2" w:themeFillTint="3F"/>
      </w:tcPr>
    </w:tblStylePr>
    <w:tblStylePr w:type="band1Horz">
      <w:tblPr/>
      <w:tcPr>
        <w:tcBorders>
          <w:top w:val="nil"/>
          <w:bottom w:val="nil"/>
          <w:insideH w:val="nil"/>
          <w:insideV w:val="nil"/>
        </w:tcBorders>
        <w:shd w:val="clear" w:color="auto" w:fill="FADECB"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tblBorders>
    </w:tblPr>
    <w:tblStylePr w:type="firstRow">
      <w:rPr>
        <w:sz w:val="24"/>
        <w:szCs w:val="24"/>
      </w:rPr>
      <w:tblPr/>
      <w:tcPr>
        <w:tcBorders>
          <w:top w:val="nil"/>
          <w:left w:val="nil"/>
          <w:bottom w:val="single" w:sz="24" w:space="0" w:color="A5A5A5" w:themeColor="accent3"/>
          <w:right w:val="nil"/>
          <w:insideH w:val="nil"/>
          <w:insideV w:val="nil"/>
        </w:tcBorders>
        <w:shd w:val="clear" w:color="auto" w:fill="FFFFFF" w:themeFill="background1"/>
      </w:tcPr>
    </w:tblStylePr>
    <w:tblStylePr w:type="lastRow">
      <w:tblPr/>
      <w:tcPr>
        <w:tcBorders>
          <w:top w:val="single" w:sz="8" w:space="0" w:color="A5A5A5"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5A5A5" w:themeColor="accent3"/>
          <w:insideH w:val="nil"/>
          <w:insideV w:val="nil"/>
        </w:tcBorders>
        <w:shd w:val="clear" w:color="auto" w:fill="FFFFFF" w:themeFill="background1"/>
      </w:tcPr>
    </w:tblStylePr>
    <w:tblStylePr w:type="lastCol">
      <w:tblPr/>
      <w:tcPr>
        <w:tcBorders>
          <w:top w:val="nil"/>
          <w:left w:val="single" w:sz="8" w:space="0" w:color="A5A5A5"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8E8E8" w:themeFill="accent3" w:themeFillTint="3F"/>
      </w:tcPr>
    </w:tblStylePr>
    <w:tblStylePr w:type="band1Horz">
      <w:tblPr/>
      <w:tcPr>
        <w:tcBorders>
          <w:top w:val="nil"/>
          <w:bottom w:val="nil"/>
          <w:insideH w:val="nil"/>
          <w:insideV w:val="nil"/>
        </w:tcBorders>
        <w:shd w:val="clear" w:color="auto" w:fill="E8E8E8"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tblBorders>
    </w:tblPr>
    <w:tblStylePr w:type="firstRow">
      <w:rPr>
        <w:sz w:val="24"/>
        <w:szCs w:val="24"/>
      </w:rPr>
      <w:tblPr/>
      <w:tcPr>
        <w:tcBorders>
          <w:top w:val="nil"/>
          <w:left w:val="nil"/>
          <w:bottom w:val="single" w:sz="24" w:space="0" w:color="FFC000" w:themeColor="accent4"/>
          <w:right w:val="nil"/>
          <w:insideH w:val="nil"/>
          <w:insideV w:val="nil"/>
        </w:tcBorders>
        <w:shd w:val="clear" w:color="auto" w:fill="FFFFFF" w:themeFill="background1"/>
      </w:tcPr>
    </w:tblStylePr>
    <w:tblStylePr w:type="lastRow">
      <w:tblPr/>
      <w:tcPr>
        <w:tcBorders>
          <w:top w:val="single" w:sz="8" w:space="0" w:color="FFC000"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FC000" w:themeColor="accent4"/>
          <w:insideH w:val="nil"/>
          <w:insideV w:val="nil"/>
        </w:tcBorders>
        <w:shd w:val="clear" w:color="auto" w:fill="FFFFFF" w:themeFill="background1"/>
      </w:tcPr>
    </w:tblStylePr>
    <w:tblStylePr w:type="lastCol">
      <w:tblPr/>
      <w:tcPr>
        <w:tcBorders>
          <w:top w:val="nil"/>
          <w:left w:val="single" w:sz="8" w:space="0" w:color="FFC000"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FEFC0" w:themeFill="accent4" w:themeFillTint="3F"/>
      </w:tcPr>
    </w:tblStylePr>
    <w:tblStylePr w:type="band1Horz">
      <w:tblPr/>
      <w:tcPr>
        <w:tcBorders>
          <w:top w:val="nil"/>
          <w:bottom w:val="nil"/>
          <w:insideH w:val="nil"/>
          <w:insideV w:val="nil"/>
        </w:tcBorders>
        <w:shd w:val="clear" w:color="auto" w:fill="FFEFC0"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5B9BD5" w:themeColor="accent5"/>
        <w:left w:val="single" w:sz="8" w:space="0" w:color="5B9BD5" w:themeColor="accent5"/>
        <w:bottom w:val="single" w:sz="8" w:space="0" w:color="5B9BD5" w:themeColor="accent5"/>
        <w:right w:val="single" w:sz="8" w:space="0" w:color="5B9BD5" w:themeColor="accent5"/>
      </w:tblBorders>
    </w:tblPr>
    <w:tblStylePr w:type="firstRow">
      <w:rPr>
        <w:sz w:val="24"/>
        <w:szCs w:val="24"/>
      </w:rPr>
      <w:tblPr/>
      <w:tcPr>
        <w:tcBorders>
          <w:top w:val="nil"/>
          <w:left w:val="nil"/>
          <w:bottom w:val="single" w:sz="24" w:space="0" w:color="5B9BD5" w:themeColor="accent5"/>
          <w:right w:val="nil"/>
          <w:insideH w:val="nil"/>
          <w:insideV w:val="nil"/>
        </w:tcBorders>
        <w:shd w:val="clear" w:color="auto" w:fill="FFFFFF" w:themeFill="background1"/>
      </w:tcPr>
    </w:tblStylePr>
    <w:tblStylePr w:type="lastRow">
      <w:tblPr/>
      <w:tcPr>
        <w:tcBorders>
          <w:top w:val="single" w:sz="8" w:space="0" w:color="5B9BD5"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5B9BD5" w:themeColor="accent5"/>
          <w:insideH w:val="nil"/>
          <w:insideV w:val="nil"/>
        </w:tcBorders>
        <w:shd w:val="clear" w:color="auto" w:fill="FFFFFF" w:themeFill="background1"/>
      </w:tcPr>
    </w:tblStylePr>
    <w:tblStylePr w:type="lastCol">
      <w:tblPr/>
      <w:tcPr>
        <w:tcBorders>
          <w:top w:val="nil"/>
          <w:left w:val="single" w:sz="8" w:space="0" w:color="5B9BD5"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6E6F4" w:themeFill="accent5" w:themeFillTint="3F"/>
      </w:tcPr>
    </w:tblStylePr>
    <w:tblStylePr w:type="band1Horz">
      <w:tblPr/>
      <w:tcPr>
        <w:tcBorders>
          <w:top w:val="nil"/>
          <w:bottom w:val="nil"/>
          <w:insideH w:val="nil"/>
          <w:insideV w:val="nil"/>
        </w:tcBorders>
        <w:shd w:val="clear" w:color="auto" w:fill="D6E6F4"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tblBorders>
    </w:tblPr>
    <w:tblStylePr w:type="firstRow">
      <w:rPr>
        <w:sz w:val="24"/>
        <w:szCs w:val="24"/>
      </w:rPr>
      <w:tblPr/>
      <w:tcPr>
        <w:tcBorders>
          <w:top w:val="nil"/>
          <w:left w:val="nil"/>
          <w:bottom w:val="single" w:sz="24" w:space="0" w:color="70AD47" w:themeColor="accent6"/>
          <w:right w:val="nil"/>
          <w:insideH w:val="nil"/>
          <w:insideV w:val="nil"/>
        </w:tcBorders>
        <w:shd w:val="clear" w:color="auto" w:fill="FFFFFF" w:themeFill="background1"/>
      </w:tcPr>
    </w:tblStylePr>
    <w:tblStylePr w:type="lastRow">
      <w:tblPr/>
      <w:tcPr>
        <w:tcBorders>
          <w:top w:val="single" w:sz="8" w:space="0" w:color="70AD47"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70AD47" w:themeColor="accent6"/>
          <w:insideH w:val="nil"/>
          <w:insideV w:val="nil"/>
        </w:tcBorders>
        <w:shd w:val="clear" w:color="auto" w:fill="FFFFFF" w:themeFill="background1"/>
      </w:tcPr>
    </w:tblStylePr>
    <w:tblStylePr w:type="lastCol">
      <w:tblPr/>
      <w:tcPr>
        <w:tcBorders>
          <w:top w:val="nil"/>
          <w:left w:val="single" w:sz="8" w:space="0" w:color="70AD47"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top w:val="nil"/>
          <w:bottom w:val="nil"/>
          <w:insideH w:val="nil"/>
          <w:insideV w:val="nil"/>
        </w:tcBorders>
        <w:shd w:val="clear" w:color="auto" w:fill="DBEB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insideV w:val="single" w:sz="8" w:space="0" w:color="7295D2" w:themeColor="accent1" w:themeTint="BF"/>
      </w:tblBorders>
    </w:tblPr>
    <w:tcPr>
      <w:shd w:val="clear" w:color="auto" w:fill="D0DBF0" w:themeFill="accent1" w:themeFillTint="3F"/>
    </w:tcPr>
    <w:tblStylePr w:type="firstRow">
      <w:rPr>
        <w:b/>
        <w:bCs/>
      </w:rPr>
    </w:tblStylePr>
    <w:tblStylePr w:type="lastRow">
      <w:rPr>
        <w:b/>
        <w:bCs/>
      </w:rPr>
      <w:tblPr/>
      <w:tcPr>
        <w:tcBorders>
          <w:top w:val="single" w:sz="18" w:space="0" w:color="7295D2" w:themeColor="accent1" w:themeTint="BF"/>
        </w:tcBorders>
      </w:tcPr>
    </w:tblStylePr>
    <w:tblStylePr w:type="firstCol">
      <w:rPr>
        <w:b/>
        <w:bCs/>
      </w:rPr>
    </w:tblStylePr>
    <w:tblStylePr w:type="lastCol">
      <w:rPr>
        <w:b/>
        <w:bCs/>
      </w:rPr>
    </w:tblStylePr>
    <w:tblStylePr w:type="band1Vert">
      <w:tblPr/>
      <w:tcPr>
        <w:shd w:val="clear" w:color="auto" w:fill="A1B8E1" w:themeFill="accent1" w:themeFillTint="7F"/>
      </w:tcPr>
    </w:tblStylePr>
    <w:tblStylePr w:type="band1Horz">
      <w:tblPr/>
      <w:tcPr>
        <w:shd w:val="clear" w:color="auto" w:fill="A1B8E1"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single" w:sz="8" w:space="0" w:color="F19D64" w:themeColor="accent2" w:themeTint="BF"/>
        <w:insideV w:val="single" w:sz="8" w:space="0" w:color="F19D64" w:themeColor="accent2" w:themeTint="BF"/>
      </w:tblBorders>
    </w:tblPr>
    <w:tcPr>
      <w:shd w:val="clear" w:color="auto" w:fill="FADECB" w:themeFill="accent2" w:themeFillTint="3F"/>
    </w:tcPr>
    <w:tblStylePr w:type="firstRow">
      <w:rPr>
        <w:b/>
        <w:bCs/>
      </w:rPr>
    </w:tblStylePr>
    <w:tblStylePr w:type="lastRow">
      <w:rPr>
        <w:b/>
        <w:bCs/>
      </w:rPr>
      <w:tblPr/>
      <w:tcPr>
        <w:tcBorders>
          <w:top w:val="single" w:sz="18" w:space="0" w:color="F19D64" w:themeColor="accent2" w:themeTint="BF"/>
        </w:tcBorders>
      </w:tcPr>
    </w:tblStylePr>
    <w:tblStylePr w:type="firstCol">
      <w:rPr>
        <w:b/>
        <w:bCs/>
      </w:rPr>
    </w:tblStylePr>
    <w:tblStylePr w:type="lastCol">
      <w:rPr>
        <w:b/>
        <w:bCs/>
      </w:rPr>
    </w:tblStylePr>
    <w:tblStylePr w:type="band1Vert">
      <w:tblPr/>
      <w:tcPr>
        <w:shd w:val="clear" w:color="auto" w:fill="F6BE98" w:themeFill="accent2" w:themeFillTint="7F"/>
      </w:tcPr>
    </w:tblStylePr>
    <w:tblStylePr w:type="band1Horz">
      <w:tblPr/>
      <w:tcPr>
        <w:shd w:val="clear" w:color="auto" w:fill="F6BE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single" w:sz="8" w:space="0" w:color="BBBBBB" w:themeColor="accent3" w:themeTint="BF"/>
        <w:insideV w:val="single" w:sz="8" w:space="0" w:color="BBBBBB" w:themeColor="accent3" w:themeTint="BF"/>
      </w:tblBorders>
    </w:tblPr>
    <w:tcPr>
      <w:shd w:val="clear" w:color="auto" w:fill="E8E8E8" w:themeFill="accent3" w:themeFillTint="3F"/>
    </w:tcPr>
    <w:tblStylePr w:type="firstRow">
      <w:rPr>
        <w:b/>
        <w:bCs/>
      </w:rPr>
    </w:tblStylePr>
    <w:tblStylePr w:type="lastRow">
      <w:rPr>
        <w:b/>
        <w:bCs/>
      </w:rPr>
      <w:tblPr/>
      <w:tcPr>
        <w:tcBorders>
          <w:top w:val="single" w:sz="18" w:space="0" w:color="BBBBBB" w:themeColor="accent3" w:themeTint="BF"/>
        </w:tcBorders>
      </w:tcPr>
    </w:tblStylePr>
    <w:tblStylePr w:type="firstCol">
      <w:rPr>
        <w:b/>
        <w:bCs/>
      </w:rPr>
    </w:tblStylePr>
    <w:tblStylePr w:type="lastCol">
      <w:rPr>
        <w:b/>
        <w:bCs/>
      </w:rPr>
    </w:tblStylePr>
    <w:tblStylePr w:type="band1Vert">
      <w:tblPr/>
      <w:tcPr>
        <w:shd w:val="clear" w:color="auto" w:fill="D2D2D2" w:themeFill="accent3" w:themeFillTint="7F"/>
      </w:tcPr>
    </w:tblStylePr>
    <w:tblStylePr w:type="band1Horz">
      <w:tblPr/>
      <w:tcPr>
        <w:shd w:val="clear" w:color="auto" w:fill="D2D2D2"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single" w:sz="8" w:space="0" w:color="FFCF40" w:themeColor="accent4" w:themeTint="BF"/>
        <w:insideV w:val="single" w:sz="8" w:space="0" w:color="FFCF40" w:themeColor="accent4" w:themeTint="BF"/>
      </w:tblBorders>
    </w:tblPr>
    <w:tcPr>
      <w:shd w:val="clear" w:color="auto" w:fill="FFEFC0" w:themeFill="accent4" w:themeFillTint="3F"/>
    </w:tcPr>
    <w:tblStylePr w:type="firstRow">
      <w:rPr>
        <w:b/>
        <w:bCs/>
      </w:rPr>
    </w:tblStylePr>
    <w:tblStylePr w:type="lastRow">
      <w:rPr>
        <w:b/>
        <w:bCs/>
      </w:rPr>
      <w:tblPr/>
      <w:tcPr>
        <w:tcBorders>
          <w:top w:val="single" w:sz="18" w:space="0" w:color="FFCF40" w:themeColor="accent4" w:themeTint="BF"/>
        </w:tcBorders>
      </w:tcPr>
    </w:tblStylePr>
    <w:tblStylePr w:type="firstCol">
      <w:rPr>
        <w:b/>
        <w:bCs/>
      </w:rPr>
    </w:tblStylePr>
    <w:tblStylePr w:type="lastCol">
      <w:rPr>
        <w:b/>
        <w:bCs/>
      </w:rPr>
    </w:tblStylePr>
    <w:tblStylePr w:type="band1Vert">
      <w:tblPr/>
      <w:tcPr>
        <w:shd w:val="clear" w:color="auto" w:fill="FFDF80" w:themeFill="accent4" w:themeFillTint="7F"/>
      </w:tcPr>
    </w:tblStylePr>
    <w:tblStylePr w:type="band1Horz">
      <w:tblPr/>
      <w:tcPr>
        <w:shd w:val="clear" w:color="auto" w:fill="FFDF8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84B3DF" w:themeColor="accent5" w:themeTint="BF"/>
        <w:left w:val="single" w:sz="8" w:space="0" w:color="84B3DF" w:themeColor="accent5" w:themeTint="BF"/>
        <w:bottom w:val="single" w:sz="8" w:space="0" w:color="84B3DF" w:themeColor="accent5" w:themeTint="BF"/>
        <w:right w:val="single" w:sz="8" w:space="0" w:color="84B3DF" w:themeColor="accent5" w:themeTint="BF"/>
        <w:insideH w:val="single" w:sz="8" w:space="0" w:color="84B3DF" w:themeColor="accent5" w:themeTint="BF"/>
        <w:insideV w:val="single" w:sz="8" w:space="0" w:color="84B3DF" w:themeColor="accent5" w:themeTint="BF"/>
      </w:tblBorders>
    </w:tblPr>
    <w:tcPr>
      <w:shd w:val="clear" w:color="auto" w:fill="D6E6F4" w:themeFill="accent5" w:themeFillTint="3F"/>
    </w:tcPr>
    <w:tblStylePr w:type="firstRow">
      <w:rPr>
        <w:b/>
        <w:bCs/>
      </w:rPr>
    </w:tblStylePr>
    <w:tblStylePr w:type="lastRow">
      <w:rPr>
        <w:b/>
        <w:bCs/>
      </w:rPr>
      <w:tblPr/>
      <w:tcPr>
        <w:tcBorders>
          <w:top w:val="single" w:sz="18" w:space="0" w:color="84B3DF" w:themeColor="accent5" w:themeTint="BF"/>
        </w:tcBorders>
      </w:tcPr>
    </w:tblStylePr>
    <w:tblStylePr w:type="firstCol">
      <w:rPr>
        <w:b/>
        <w:bCs/>
      </w:rPr>
    </w:tblStylePr>
    <w:tblStylePr w:type="lastCol">
      <w:rPr>
        <w:b/>
        <w:bCs/>
      </w:rPr>
    </w:tblStylePr>
    <w:tblStylePr w:type="band1Vert">
      <w:tblPr/>
      <w:tcPr>
        <w:shd w:val="clear" w:color="auto" w:fill="ADCCEA" w:themeFill="accent5" w:themeFillTint="7F"/>
      </w:tcPr>
    </w:tblStylePr>
    <w:tblStylePr w:type="band1Horz">
      <w:tblPr/>
      <w:tcPr>
        <w:shd w:val="clear" w:color="auto" w:fill="ADCCEA"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insideV w:val="single" w:sz="8" w:space="0" w:color="93C571" w:themeColor="accent6" w:themeTint="BF"/>
      </w:tblBorders>
    </w:tblPr>
    <w:tcPr>
      <w:shd w:val="clear" w:color="auto" w:fill="DBEBD0" w:themeFill="accent6" w:themeFillTint="3F"/>
    </w:tcPr>
    <w:tblStylePr w:type="firstRow">
      <w:rPr>
        <w:b/>
        <w:bCs/>
      </w:rPr>
    </w:tblStylePr>
    <w:tblStylePr w:type="lastRow">
      <w:rPr>
        <w:b/>
        <w:bCs/>
      </w:rPr>
      <w:tblPr/>
      <w:tcPr>
        <w:tcBorders>
          <w:top w:val="single" w:sz="18" w:space="0" w:color="93C571" w:themeColor="accent6" w:themeTint="BF"/>
        </w:tcBorders>
      </w:tcPr>
    </w:tblStylePr>
    <w:tblStylePr w:type="firstCol">
      <w:rPr>
        <w:b/>
        <w:bCs/>
      </w:rPr>
    </w:tblStylePr>
    <w:tblStylePr w:type="lastCol">
      <w:rPr>
        <w:b/>
        <w:bCs/>
      </w:rPr>
    </w:tblStylePr>
    <w:tblStylePr w:type="band1Vert">
      <w:tblPr/>
      <w:tcPr>
        <w:shd w:val="clear" w:color="auto" w:fill="B7D8A0" w:themeFill="accent6" w:themeFillTint="7F"/>
      </w:tcPr>
    </w:tblStylePr>
    <w:tblStylePr w:type="band1Horz">
      <w:tblPr/>
      <w:tcPr>
        <w:shd w:val="clear" w:color="auto" w:fill="B7D8A0"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insideH w:val="single" w:sz="8" w:space="0" w:color="4472C4" w:themeColor="accent1"/>
        <w:insideV w:val="single" w:sz="8" w:space="0" w:color="4472C4" w:themeColor="accent1"/>
      </w:tblBorders>
    </w:tblPr>
    <w:tcPr>
      <w:shd w:val="clear" w:color="auto" w:fill="D0DBF0" w:themeFill="accent1" w:themeFillTint="3F"/>
    </w:tcPr>
    <w:tblStylePr w:type="firstRow">
      <w:rPr>
        <w:b/>
        <w:bCs/>
        <w:color w:val="000000" w:themeColor="text1"/>
      </w:rPr>
      <w:tblPr/>
      <w:tcPr>
        <w:shd w:val="clear" w:color="auto" w:fill="ECF1F9"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E2F3" w:themeFill="accent1" w:themeFillTint="33"/>
      </w:tcPr>
    </w:tblStylePr>
    <w:tblStylePr w:type="band1Vert">
      <w:tblPr/>
      <w:tcPr>
        <w:shd w:val="clear" w:color="auto" w:fill="A1B8E1" w:themeFill="accent1" w:themeFillTint="7F"/>
      </w:tcPr>
    </w:tblStylePr>
    <w:tblStylePr w:type="band1Horz">
      <w:tblPr/>
      <w:tcPr>
        <w:tcBorders>
          <w:insideH w:val="single" w:sz="6" w:space="0" w:color="4472C4" w:themeColor="accent1"/>
          <w:insideV w:val="single" w:sz="6" w:space="0" w:color="4472C4" w:themeColor="accent1"/>
        </w:tcBorders>
        <w:shd w:val="clear" w:color="auto" w:fill="A1B8E1"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insideH w:val="single" w:sz="8" w:space="0" w:color="ED7D31" w:themeColor="accent2"/>
        <w:insideV w:val="single" w:sz="8" w:space="0" w:color="ED7D31" w:themeColor="accent2"/>
      </w:tblBorders>
    </w:tblPr>
    <w:tcPr>
      <w:shd w:val="clear" w:color="auto" w:fill="FADECB" w:themeFill="accent2" w:themeFillTint="3F"/>
    </w:tcPr>
    <w:tblStylePr w:type="firstRow">
      <w:rPr>
        <w:b/>
        <w:bCs/>
        <w:color w:val="000000" w:themeColor="text1"/>
      </w:rPr>
      <w:tblPr/>
      <w:tcPr>
        <w:shd w:val="clear" w:color="auto" w:fill="FDF2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BE4D5" w:themeFill="accent2" w:themeFillTint="33"/>
      </w:tcPr>
    </w:tblStylePr>
    <w:tblStylePr w:type="band1Vert">
      <w:tblPr/>
      <w:tcPr>
        <w:shd w:val="clear" w:color="auto" w:fill="F6BE98" w:themeFill="accent2" w:themeFillTint="7F"/>
      </w:tcPr>
    </w:tblStylePr>
    <w:tblStylePr w:type="band1Horz">
      <w:tblPr/>
      <w:tcPr>
        <w:tcBorders>
          <w:insideH w:val="single" w:sz="6" w:space="0" w:color="ED7D31" w:themeColor="accent2"/>
          <w:insideV w:val="single" w:sz="6" w:space="0" w:color="ED7D31" w:themeColor="accent2"/>
        </w:tcBorders>
        <w:shd w:val="clear" w:color="auto" w:fill="F6BE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insideH w:val="single" w:sz="8" w:space="0" w:color="A5A5A5" w:themeColor="accent3"/>
        <w:insideV w:val="single" w:sz="8" w:space="0" w:color="A5A5A5" w:themeColor="accent3"/>
      </w:tblBorders>
    </w:tblPr>
    <w:tcPr>
      <w:shd w:val="clear" w:color="auto" w:fill="E8E8E8" w:themeFill="accent3" w:themeFillTint="3F"/>
    </w:tcPr>
    <w:tblStylePr w:type="firstRow">
      <w:rPr>
        <w:b/>
        <w:bCs/>
        <w:color w:val="000000" w:themeColor="text1"/>
      </w:rPr>
      <w:tblPr/>
      <w:tcPr>
        <w:shd w:val="clear" w:color="auto" w:fill="F6F6F6"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DEDED" w:themeFill="accent3" w:themeFillTint="33"/>
      </w:tcPr>
    </w:tblStylePr>
    <w:tblStylePr w:type="band1Vert">
      <w:tblPr/>
      <w:tcPr>
        <w:shd w:val="clear" w:color="auto" w:fill="D2D2D2" w:themeFill="accent3" w:themeFillTint="7F"/>
      </w:tcPr>
    </w:tblStylePr>
    <w:tblStylePr w:type="band1Horz">
      <w:tblPr/>
      <w:tcPr>
        <w:tcBorders>
          <w:insideH w:val="single" w:sz="6" w:space="0" w:color="A5A5A5" w:themeColor="accent3"/>
          <w:insideV w:val="single" w:sz="6" w:space="0" w:color="A5A5A5" w:themeColor="accent3"/>
        </w:tcBorders>
        <w:shd w:val="clear" w:color="auto" w:fill="D2D2D2"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insideH w:val="single" w:sz="8" w:space="0" w:color="FFC000" w:themeColor="accent4"/>
        <w:insideV w:val="single" w:sz="8" w:space="0" w:color="FFC000" w:themeColor="accent4"/>
      </w:tblBorders>
    </w:tblPr>
    <w:tcPr>
      <w:shd w:val="clear" w:color="auto" w:fill="FFEFC0" w:themeFill="accent4" w:themeFillTint="3F"/>
    </w:tcPr>
    <w:tblStylePr w:type="firstRow">
      <w:rPr>
        <w:b/>
        <w:bCs/>
        <w:color w:val="000000" w:themeColor="text1"/>
      </w:rPr>
      <w:tblPr/>
      <w:tcPr>
        <w:shd w:val="clear" w:color="auto" w:fill="FFF8E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F2CC" w:themeFill="accent4" w:themeFillTint="33"/>
      </w:tcPr>
    </w:tblStylePr>
    <w:tblStylePr w:type="band1Vert">
      <w:tblPr/>
      <w:tcPr>
        <w:shd w:val="clear" w:color="auto" w:fill="FFDF80" w:themeFill="accent4" w:themeFillTint="7F"/>
      </w:tcPr>
    </w:tblStylePr>
    <w:tblStylePr w:type="band1Horz">
      <w:tblPr/>
      <w:tcPr>
        <w:tcBorders>
          <w:insideH w:val="single" w:sz="6" w:space="0" w:color="FFC000" w:themeColor="accent4"/>
          <w:insideV w:val="single" w:sz="6" w:space="0" w:color="FFC000" w:themeColor="accent4"/>
        </w:tcBorders>
        <w:shd w:val="clear" w:color="auto" w:fill="FFDF8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5B9BD5" w:themeColor="accent5"/>
        <w:left w:val="single" w:sz="8" w:space="0" w:color="5B9BD5" w:themeColor="accent5"/>
        <w:bottom w:val="single" w:sz="8" w:space="0" w:color="5B9BD5" w:themeColor="accent5"/>
        <w:right w:val="single" w:sz="8" w:space="0" w:color="5B9BD5" w:themeColor="accent5"/>
        <w:insideH w:val="single" w:sz="8" w:space="0" w:color="5B9BD5" w:themeColor="accent5"/>
        <w:insideV w:val="single" w:sz="8" w:space="0" w:color="5B9BD5" w:themeColor="accent5"/>
      </w:tblBorders>
    </w:tblPr>
    <w:tcPr>
      <w:shd w:val="clear" w:color="auto" w:fill="D6E6F4" w:themeFill="accent5" w:themeFillTint="3F"/>
    </w:tcPr>
    <w:tblStylePr w:type="firstRow">
      <w:rPr>
        <w:b/>
        <w:bCs/>
        <w:color w:val="000000" w:themeColor="text1"/>
      </w:rPr>
      <w:tblPr/>
      <w:tcPr>
        <w:shd w:val="clear" w:color="auto" w:fill="EEF5FB"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EEAF6" w:themeFill="accent5" w:themeFillTint="33"/>
      </w:tcPr>
    </w:tblStylePr>
    <w:tblStylePr w:type="band1Vert">
      <w:tblPr/>
      <w:tcPr>
        <w:shd w:val="clear" w:color="auto" w:fill="ADCCEA" w:themeFill="accent5" w:themeFillTint="7F"/>
      </w:tcPr>
    </w:tblStylePr>
    <w:tblStylePr w:type="band1Horz">
      <w:tblPr/>
      <w:tcPr>
        <w:tcBorders>
          <w:insideH w:val="single" w:sz="6" w:space="0" w:color="5B9BD5" w:themeColor="accent5"/>
          <w:insideV w:val="single" w:sz="6" w:space="0" w:color="5B9BD5" w:themeColor="accent5"/>
        </w:tcBorders>
        <w:shd w:val="clear" w:color="auto" w:fill="ADCCEA"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insideH w:val="single" w:sz="8" w:space="0" w:color="70AD47" w:themeColor="accent6"/>
        <w:insideV w:val="single" w:sz="8" w:space="0" w:color="70AD47" w:themeColor="accent6"/>
      </w:tblBorders>
    </w:tblPr>
    <w:tcPr>
      <w:shd w:val="clear" w:color="auto" w:fill="DBEBD0" w:themeFill="accent6" w:themeFillTint="3F"/>
    </w:tcPr>
    <w:tblStylePr w:type="firstRow">
      <w:rPr>
        <w:b/>
        <w:bCs/>
        <w:color w:val="000000" w:themeColor="text1"/>
      </w:rPr>
      <w:tblPr/>
      <w:tcPr>
        <w:shd w:val="clear" w:color="auto" w:fill="F0F7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2EFD9" w:themeFill="accent6" w:themeFillTint="33"/>
      </w:tcPr>
    </w:tblStylePr>
    <w:tblStylePr w:type="band1Vert">
      <w:tblPr/>
      <w:tcPr>
        <w:shd w:val="clear" w:color="auto" w:fill="B7D8A0" w:themeFill="accent6" w:themeFillTint="7F"/>
      </w:tcPr>
    </w:tblStylePr>
    <w:tblStylePr w:type="band1Horz">
      <w:tblPr/>
      <w:tcPr>
        <w:tcBorders>
          <w:insideH w:val="single" w:sz="6" w:space="0" w:color="70AD47" w:themeColor="accent6"/>
          <w:insideV w:val="single" w:sz="6" w:space="0" w:color="70AD47" w:themeColor="accent6"/>
        </w:tcBorders>
        <w:shd w:val="clear" w:color="auto" w:fill="B7D8A0"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DBF0"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472C4"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472C4"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472C4"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472C4"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1B8E1"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1B8E1"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ADECB"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D7D31"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D7D31"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D7D31"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D7D31"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6BE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6BE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8E8E8"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5A5A5"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5A5A5"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5A5A5"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5A5A5"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2D2D2"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2D2D2"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FEFC0"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FC000"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FC000"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FC000"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FC000"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FDF8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FDF8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6E6F4"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5B9BD5"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5B9BD5"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5B9BD5"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5B9BD5"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DCCEA"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DCCEA"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BEB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70AD47"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70AD47"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70AD47"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70AD47"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7D8A0"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7D8A0"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472C4"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1F3763"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2F5496"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2F5496" w:themeFill="accent1" w:themeFillShade="BF"/>
      </w:tcPr>
    </w:tblStylePr>
    <w:tblStylePr w:type="band1Vert">
      <w:tblPr/>
      <w:tcPr>
        <w:tcBorders>
          <w:top w:val="nil"/>
          <w:left w:val="nil"/>
          <w:bottom w:val="nil"/>
          <w:right w:val="nil"/>
          <w:insideH w:val="nil"/>
          <w:insideV w:val="nil"/>
        </w:tcBorders>
        <w:shd w:val="clear" w:color="auto" w:fill="2F5496" w:themeFill="accent1" w:themeFillShade="BF"/>
      </w:tcPr>
    </w:tblStylePr>
    <w:tblStylePr w:type="band1Horz">
      <w:tblPr/>
      <w:tcPr>
        <w:tcBorders>
          <w:top w:val="nil"/>
          <w:left w:val="nil"/>
          <w:bottom w:val="nil"/>
          <w:right w:val="nil"/>
          <w:insideH w:val="nil"/>
          <w:insideV w:val="nil"/>
        </w:tcBorders>
        <w:shd w:val="clear" w:color="auto" w:fill="2F5496"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D7D31"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823B0B"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C45911"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C45911" w:themeFill="accent2" w:themeFillShade="BF"/>
      </w:tcPr>
    </w:tblStylePr>
    <w:tblStylePr w:type="band1Vert">
      <w:tblPr/>
      <w:tcPr>
        <w:tcBorders>
          <w:top w:val="nil"/>
          <w:left w:val="nil"/>
          <w:bottom w:val="nil"/>
          <w:right w:val="nil"/>
          <w:insideH w:val="nil"/>
          <w:insideV w:val="nil"/>
        </w:tcBorders>
        <w:shd w:val="clear" w:color="auto" w:fill="C45911" w:themeFill="accent2" w:themeFillShade="BF"/>
      </w:tcPr>
    </w:tblStylePr>
    <w:tblStylePr w:type="band1Horz">
      <w:tblPr/>
      <w:tcPr>
        <w:tcBorders>
          <w:top w:val="nil"/>
          <w:left w:val="nil"/>
          <w:bottom w:val="nil"/>
          <w:right w:val="nil"/>
          <w:insideH w:val="nil"/>
          <w:insideV w:val="nil"/>
        </w:tcBorders>
        <w:shd w:val="clear" w:color="auto" w:fill="C45911"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A5A5A5"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525252"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B7B7B"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B7B7B" w:themeFill="accent3" w:themeFillShade="BF"/>
      </w:tcPr>
    </w:tblStylePr>
    <w:tblStylePr w:type="band1Vert">
      <w:tblPr/>
      <w:tcPr>
        <w:tcBorders>
          <w:top w:val="nil"/>
          <w:left w:val="nil"/>
          <w:bottom w:val="nil"/>
          <w:right w:val="nil"/>
          <w:insideH w:val="nil"/>
          <w:insideV w:val="nil"/>
        </w:tcBorders>
        <w:shd w:val="clear" w:color="auto" w:fill="7B7B7B" w:themeFill="accent3" w:themeFillShade="BF"/>
      </w:tcPr>
    </w:tblStylePr>
    <w:tblStylePr w:type="band1Horz">
      <w:tblPr/>
      <w:tcPr>
        <w:tcBorders>
          <w:top w:val="nil"/>
          <w:left w:val="nil"/>
          <w:bottom w:val="nil"/>
          <w:right w:val="nil"/>
          <w:insideH w:val="nil"/>
          <w:insideV w:val="nil"/>
        </w:tcBorders>
        <w:shd w:val="clear" w:color="auto" w:fill="7B7B7B"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FFC000"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5F00"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BF8F00"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BF8F00" w:themeFill="accent4" w:themeFillShade="BF"/>
      </w:tcPr>
    </w:tblStylePr>
    <w:tblStylePr w:type="band1Vert">
      <w:tblPr/>
      <w:tcPr>
        <w:tcBorders>
          <w:top w:val="nil"/>
          <w:left w:val="nil"/>
          <w:bottom w:val="nil"/>
          <w:right w:val="nil"/>
          <w:insideH w:val="nil"/>
          <w:insideV w:val="nil"/>
        </w:tcBorders>
        <w:shd w:val="clear" w:color="auto" w:fill="BF8F00" w:themeFill="accent4" w:themeFillShade="BF"/>
      </w:tcPr>
    </w:tblStylePr>
    <w:tblStylePr w:type="band1Horz">
      <w:tblPr/>
      <w:tcPr>
        <w:tcBorders>
          <w:top w:val="nil"/>
          <w:left w:val="nil"/>
          <w:bottom w:val="nil"/>
          <w:right w:val="nil"/>
          <w:insideH w:val="nil"/>
          <w:insideV w:val="nil"/>
        </w:tcBorders>
        <w:shd w:val="clear" w:color="auto" w:fill="BF8F00"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5B9BD5"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1F4D7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2E74B5"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2E74B5" w:themeFill="accent5" w:themeFillShade="BF"/>
      </w:tcPr>
    </w:tblStylePr>
    <w:tblStylePr w:type="band1Vert">
      <w:tblPr/>
      <w:tcPr>
        <w:tcBorders>
          <w:top w:val="nil"/>
          <w:left w:val="nil"/>
          <w:bottom w:val="nil"/>
          <w:right w:val="nil"/>
          <w:insideH w:val="nil"/>
          <w:insideV w:val="nil"/>
        </w:tcBorders>
        <w:shd w:val="clear" w:color="auto" w:fill="2E74B5" w:themeFill="accent5" w:themeFillShade="BF"/>
      </w:tcPr>
    </w:tblStylePr>
    <w:tblStylePr w:type="band1Horz">
      <w:tblPr/>
      <w:tcPr>
        <w:tcBorders>
          <w:top w:val="nil"/>
          <w:left w:val="nil"/>
          <w:bottom w:val="nil"/>
          <w:right w:val="nil"/>
          <w:insideH w:val="nil"/>
          <w:insideV w:val="nil"/>
        </w:tcBorders>
        <w:shd w:val="clear" w:color="auto" w:fill="2E74B5"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70AD47"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75623"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538135"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538135" w:themeFill="accent6" w:themeFillShade="BF"/>
      </w:tcPr>
    </w:tblStylePr>
    <w:tblStylePr w:type="band1Vert">
      <w:tblPr/>
      <w:tcPr>
        <w:tcBorders>
          <w:top w:val="nil"/>
          <w:left w:val="nil"/>
          <w:bottom w:val="nil"/>
          <w:right w:val="nil"/>
          <w:insideH w:val="nil"/>
          <w:insideV w:val="nil"/>
        </w:tcBorders>
        <w:shd w:val="clear" w:color="auto" w:fill="538135" w:themeFill="accent6" w:themeFillShade="BF"/>
      </w:tcPr>
    </w:tblStylePr>
    <w:tblStylePr w:type="band1Horz">
      <w:tblPr/>
      <w:tcPr>
        <w:tcBorders>
          <w:top w:val="nil"/>
          <w:left w:val="nil"/>
          <w:bottom w:val="nil"/>
          <w:right w:val="nil"/>
          <w:insideH w:val="nil"/>
          <w:insideV w:val="nil"/>
        </w:tcBorders>
        <w:shd w:val="clear" w:color="auto" w:fill="538135"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D7D31"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D7D31"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D7D31" w:themeColor="accent2"/>
        <w:left w:val="single" w:sz="4" w:space="0" w:color="4472C4" w:themeColor="accent1"/>
        <w:bottom w:val="single" w:sz="4" w:space="0" w:color="4472C4" w:themeColor="accent1"/>
        <w:right w:val="single" w:sz="4" w:space="0" w:color="4472C4" w:themeColor="accent1"/>
        <w:insideH w:val="single" w:sz="4" w:space="0" w:color="FFFFFF" w:themeColor="background1"/>
        <w:insideV w:val="single" w:sz="4" w:space="0" w:color="FFFFFF" w:themeColor="background1"/>
      </w:tblBorders>
    </w:tblPr>
    <w:tcPr>
      <w:shd w:val="clear" w:color="auto" w:fill="ECF1F9" w:themeFill="accent1" w:themeFillTint="19"/>
    </w:tcPr>
    <w:tblStylePr w:type="firstRow">
      <w:rPr>
        <w:b/>
        <w:bCs/>
      </w:rPr>
      <w:tblPr/>
      <w:tcPr>
        <w:tcBorders>
          <w:top w:val="nil"/>
          <w:left w:val="nil"/>
          <w:bottom w:val="single" w:sz="24" w:space="0" w:color="ED7D31"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64378" w:themeFill="accent1" w:themeFillShade="99"/>
      </w:tcPr>
    </w:tblStylePr>
    <w:tblStylePr w:type="firstCol">
      <w:rPr>
        <w:color w:val="FFFFFF" w:themeColor="background1"/>
      </w:rPr>
      <w:tblPr/>
      <w:tcPr>
        <w:tcBorders>
          <w:top w:val="nil"/>
          <w:left w:val="nil"/>
          <w:bottom w:val="nil"/>
          <w:right w:val="nil"/>
          <w:insideH w:val="single" w:sz="4" w:space="0" w:color="264378" w:themeColor="accent1" w:themeShade="99"/>
          <w:insideV w:val="nil"/>
        </w:tcBorders>
        <w:shd w:val="clear" w:color="auto" w:fill="264378"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64378" w:themeFill="accent1" w:themeFillShade="99"/>
      </w:tcPr>
    </w:tblStylePr>
    <w:tblStylePr w:type="band1Vert">
      <w:tblPr/>
      <w:tcPr>
        <w:shd w:val="clear" w:color="auto" w:fill="B4C6E7" w:themeFill="accent1" w:themeFillTint="66"/>
      </w:tcPr>
    </w:tblStylePr>
    <w:tblStylePr w:type="band1Horz">
      <w:tblPr/>
      <w:tcPr>
        <w:shd w:val="clear" w:color="auto" w:fill="A1B8E1"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D7D31" w:themeColor="accent2"/>
        <w:left w:val="single" w:sz="4" w:space="0" w:color="ED7D31" w:themeColor="accent2"/>
        <w:bottom w:val="single" w:sz="4" w:space="0" w:color="ED7D31" w:themeColor="accent2"/>
        <w:right w:val="single" w:sz="4" w:space="0" w:color="ED7D31" w:themeColor="accent2"/>
        <w:insideH w:val="single" w:sz="4" w:space="0" w:color="FFFFFF" w:themeColor="background1"/>
        <w:insideV w:val="single" w:sz="4" w:space="0" w:color="FFFFFF" w:themeColor="background1"/>
      </w:tblBorders>
    </w:tblPr>
    <w:tcPr>
      <w:shd w:val="clear" w:color="auto" w:fill="FDF2EA" w:themeFill="accent2" w:themeFillTint="19"/>
    </w:tcPr>
    <w:tblStylePr w:type="firstRow">
      <w:rPr>
        <w:b/>
        <w:bCs/>
      </w:rPr>
      <w:tblPr/>
      <w:tcPr>
        <w:tcBorders>
          <w:top w:val="nil"/>
          <w:left w:val="nil"/>
          <w:bottom w:val="single" w:sz="24" w:space="0" w:color="ED7D31"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D470D" w:themeFill="accent2" w:themeFillShade="99"/>
      </w:tcPr>
    </w:tblStylePr>
    <w:tblStylePr w:type="firstCol">
      <w:rPr>
        <w:color w:val="FFFFFF" w:themeColor="background1"/>
      </w:rPr>
      <w:tblPr/>
      <w:tcPr>
        <w:tcBorders>
          <w:top w:val="nil"/>
          <w:left w:val="nil"/>
          <w:bottom w:val="nil"/>
          <w:right w:val="nil"/>
          <w:insideH w:val="single" w:sz="4" w:space="0" w:color="9D470D" w:themeColor="accent2" w:themeShade="99"/>
          <w:insideV w:val="nil"/>
        </w:tcBorders>
        <w:shd w:val="clear" w:color="auto" w:fill="9D470D"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D470D" w:themeFill="accent2" w:themeFillShade="99"/>
      </w:tcPr>
    </w:tblStylePr>
    <w:tblStylePr w:type="band1Vert">
      <w:tblPr/>
      <w:tcPr>
        <w:shd w:val="clear" w:color="auto" w:fill="F7CAAC" w:themeFill="accent2" w:themeFillTint="66"/>
      </w:tcPr>
    </w:tblStylePr>
    <w:tblStylePr w:type="band1Horz">
      <w:tblPr/>
      <w:tcPr>
        <w:shd w:val="clear" w:color="auto" w:fill="F6BE98"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FFC000" w:themeColor="accent4"/>
        <w:left w:val="single" w:sz="4" w:space="0" w:color="A5A5A5" w:themeColor="accent3"/>
        <w:bottom w:val="single" w:sz="4" w:space="0" w:color="A5A5A5" w:themeColor="accent3"/>
        <w:right w:val="single" w:sz="4" w:space="0" w:color="A5A5A5" w:themeColor="accent3"/>
        <w:insideH w:val="single" w:sz="4" w:space="0" w:color="FFFFFF" w:themeColor="background1"/>
        <w:insideV w:val="single" w:sz="4" w:space="0" w:color="FFFFFF" w:themeColor="background1"/>
      </w:tblBorders>
    </w:tblPr>
    <w:tcPr>
      <w:shd w:val="clear" w:color="auto" w:fill="F6F6F6" w:themeFill="accent3" w:themeFillTint="19"/>
    </w:tcPr>
    <w:tblStylePr w:type="firstRow">
      <w:rPr>
        <w:b/>
        <w:bCs/>
      </w:rPr>
      <w:tblPr/>
      <w:tcPr>
        <w:tcBorders>
          <w:top w:val="nil"/>
          <w:left w:val="nil"/>
          <w:bottom w:val="single" w:sz="24" w:space="0" w:color="FFC000"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636363" w:themeFill="accent3" w:themeFillShade="99"/>
      </w:tcPr>
    </w:tblStylePr>
    <w:tblStylePr w:type="firstCol">
      <w:rPr>
        <w:color w:val="FFFFFF" w:themeColor="background1"/>
      </w:rPr>
      <w:tblPr/>
      <w:tcPr>
        <w:tcBorders>
          <w:top w:val="nil"/>
          <w:left w:val="nil"/>
          <w:bottom w:val="nil"/>
          <w:right w:val="nil"/>
          <w:insideH w:val="single" w:sz="4" w:space="0" w:color="636363" w:themeColor="accent3" w:themeShade="99"/>
          <w:insideV w:val="nil"/>
        </w:tcBorders>
        <w:shd w:val="clear" w:color="auto" w:fill="636363"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636363" w:themeFill="accent3" w:themeFillShade="99"/>
      </w:tcPr>
    </w:tblStylePr>
    <w:tblStylePr w:type="band1Vert">
      <w:tblPr/>
      <w:tcPr>
        <w:shd w:val="clear" w:color="auto" w:fill="DBDBDB" w:themeFill="accent3" w:themeFillTint="66"/>
      </w:tcPr>
    </w:tblStylePr>
    <w:tblStylePr w:type="band1Horz">
      <w:tblPr/>
      <w:tcPr>
        <w:shd w:val="clear" w:color="auto" w:fill="D2D2D2"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A5A5A5" w:themeColor="accent3"/>
        <w:left w:val="single" w:sz="4" w:space="0" w:color="FFC000" w:themeColor="accent4"/>
        <w:bottom w:val="single" w:sz="4" w:space="0" w:color="FFC000" w:themeColor="accent4"/>
        <w:right w:val="single" w:sz="4" w:space="0" w:color="FFC000" w:themeColor="accent4"/>
        <w:insideH w:val="single" w:sz="4" w:space="0" w:color="FFFFFF" w:themeColor="background1"/>
        <w:insideV w:val="single" w:sz="4" w:space="0" w:color="FFFFFF" w:themeColor="background1"/>
      </w:tblBorders>
    </w:tblPr>
    <w:tcPr>
      <w:shd w:val="clear" w:color="auto" w:fill="FFF8E6" w:themeFill="accent4" w:themeFillTint="19"/>
    </w:tcPr>
    <w:tblStylePr w:type="firstRow">
      <w:rPr>
        <w:b/>
        <w:bCs/>
      </w:rPr>
      <w:tblPr/>
      <w:tcPr>
        <w:tcBorders>
          <w:top w:val="nil"/>
          <w:left w:val="nil"/>
          <w:bottom w:val="single" w:sz="24" w:space="0" w:color="A5A5A5"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7300" w:themeFill="accent4" w:themeFillShade="99"/>
      </w:tcPr>
    </w:tblStylePr>
    <w:tblStylePr w:type="firstCol">
      <w:rPr>
        <w:color w:val="FFFFFF" w:themeColor="background1"/>
      </w:rPr>
      <w:tblPr/>
      <w:tcPr>
        <w:tcBorders>
          <w:top w:val="nil"/>
          <w:left w:val="nil"/>
          <w:bottom w:val="nil"/>
          <w:right w:val="nil"/>
          <w:insideH w:val="single" w:sz="4" w:space="0" w:color="997300" w:themeColor="accent4" w:themeShade="99"/>
          <w:insideV w:val="nil"/>
        </w:tcBorders>
        <w:shd w:val="clear" w:color="auto" w:fill="997300"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997300" w:themeFill="accent4" w:themeFillShade="99"/>
      </w:tcPr>
    </w:tblStylePr>
    <w:tblStylePr w:type="band1Vert">
      <w:tblPr/>
      <w:tcPr>
        <w:shd w:val="clear" w:color="auto" w:fill="FFE599" w:themeFill="accent4" w:themeFillTint="66"/>
      </w:tcPr>
    </w:tblStylePr>
    <w:tblStylePr w:type="band1Horz">
      <w:tblPr/>
      <w:tcPr>
        <w:shd w:val="clear" w:color="auto" w:fill="FFDF8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70AD47" w:themeColor="accent6"/>
        <w:left w:val="single" w:sz="4" w:space="0" w:color="5B9BD5" w:themeColor="accent5"/>
        <w:bottom w:val="single" w:sz="4" w:space="0" w:color="5B9BD5" w:themeColor="accent5"/>
        <w:right w:val="single" w:sz="4" w:space="0" w:color="5B9BD5" w:themeColor="accent5"/>
        <w:insideH w:val="single" w:sz="4" w:space="0" w:color="FFFFFF" w:themeColor="background1"/>
        <w:insideV w:val="single" w:sz="4" w:space="0" w:color="FFFFFF" w:themeColor="background1"/>
      </w:tblBorders>
    </w:tblPr>
    <w:tcPr>
      <w:shd w:val="clear" w:color="auto" w:fill="EEF5FB" w:themeFill="accent5" w:themeFillTint="19"/>
    </w:tcPr>
    <w:tblStylePr w:type="firstRow">
      <w:rPr>
        <w:b/>
        <w:bCs/>
      </w:rPr>
      <w:tblPr/>
      <w:tcPr>
        <w:tcBorders>
          <w:top w:val="nil"/>
          <w:left w:val="nil"/>
          <w:bottom w:val="single" w:sz="24" w:space="0" w:color="70AD47"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55D91" w:themeFill="accent5" w:themeFillShade="99"/>
      </w:tcPr>
    </w:tblStylePr>
    <w:tblStylePr w:type="firstCol">
      <w:rPr>
        <w:color w:val="FFFFFF" w:themeColor="background1"/>
      </w:rPr>
      <w:tblPr/>
      <w:tcPr>
        <w:tcBorders>
          <w:top w:val="nil"/>
          <w:left w:val="nil"/>
          <w:bottom w:val="nil"/>
          <w:right w:val="nil"/>
          <w:insideH w:val="single" w:sz="4" w:space="0" w:color="255D91" w:themeColor="accent5" w:themeShade="99"/>
          <w:insideV w:val="nil"/>
        </w:tcBorders>
        <w:shd w:val="clear" w:color="auto" w:fill="255D91"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55D91" w:themeFill="accent5" w:themeFillShade="99"/>
      </w:tcPr>
    </w:tblStylePr>
    <w:tblStylePr w:type="band1Vert">
      <w:tblPr/>
      <w:tcPr>
        <w:shd w:val="clear" w:color="auto" w:fill="BDD6EE" w:themeFill="accent5" w:themeFillTint="66"/>
      </w:tcPr>
    </w:tblStylePr>
    <w:tblStylePr w:type="band1Horz">
      <w:tblPr/>
      <w:tcPr>
        <w:shd w:val="clear" w:color="auto" w:fill="ADCCEA"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5B9BD5" w:themeColor="accent5"/>
        <w:left w:val="single" w:sz="4" w:space="0" w:color="70AD47" w:themeColor="accent6"/>
        <w:bottom w:val="single" w:sz="4" w:space="0" w:color="70AD47" w:themeColor="accent6"/>
        <w:right w:val="single" w:sz="4" w:space="0" w:color="70AD47" w:themeColor="accent6"/>
        <w:insideH w:val="single" w:sz="4" w:space="0" w:color="FFFFFF" w:themeColor="background1"/>
        <w:insideV w:val="single" w:sz="4" w:space="0" w:color="FFFFFF" w:themeColor="background1"/>
      </w:tblBorders>
    </w:tblPr>
    <w:tcPr>
      <w:shd w:val="clear" w:color="auto" w:fill="F0F7EC" w:themeFill="accent6" w:themeFillTint="19"/>
    </w:tcPr>
    <w:tblStylePr w:type="firstRow">
      <w:rPr>
        <w:b/>
        <w:bCs/>
      </w:rPr>
      <w:tblPr/>
      <w:tcPr>
        <w:tcBorders>
          <w:top w:val="nil"/>
          <w:left w:val="nil"/>
          <w:bottom w:val="single" w:sz="24" w:space="0" w:color="5B9BD5"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3672A" w:themeFill="accent6" w:themeFillShade="99"/>
      </w:tcPr>
    </w:tblStylePr>
    <w:tblStylePr w:type="firstCol">
      <w:rPr>
        <w:color w:val="FFFFFF" w:themeColor="background1"/>
      </w:rPr>
      <w:tblPr/>
      <w:tcPr>
        <w:tcBorders>
          <w:top w:val="nil"/>
          <w:left w:val="nil"/>
          <w:bottom w:val="nil"/>
          <w:right w:val="nil"/>
          <w:insideH w:val="single" w:sz="4" w:space="0" w:color="43672A" w:themeColor="accent6" w:themeShade="99"/>
          <w:insideV w:val="nil"/>
        </w:tcBorders>
        <w:shd w:val="clear" w:color="auto" w:fill="43672A"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43672A" w:themeFill="accent6" w:themeFillShade="99"/>
      </w:tcPr>
    </w:tblStylePr>
    <w:tblStylePr w:type="band1Vert">
      <w:tblPr/>
      <w:tcPr>
        <w:shd w:val="clear" w:color="auto" w:fill="C5E0B3" w:themeFill="accent6" w:themeFillTint="66"/>
      </w:tcPr>
    </w:tblStylePr>
    <w:tblStylePr w:type="band1Horz">
      <w:tblPr/>
      <w:tcPr>
        <w:shd w:val="clear" w:color="auto" w:fill="B7D8A0"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D25F12" w:themeFill="accent2" w:themeFillShade="CC"/>
      </w:tcPr>
    </w:tblStylePr>
    <w:tblStylePr w:type="lastRow">
      <w:rPr>
        <w:b/>
        <w:bCs/>
        <w:color w:val="D25F12"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CF1F9" w:themeFill="accent1" w:themeFillTint="19"/>
    </w:tcPr>
    <w:tblStylePr w:type="firstRow">
      <w:rPr>
        <w:b/>
        <w:bCs/>
        <w:color w:val="FFFFFF" w:themeColor="background1"/>
      </w:rPr>
      <w:tblPr/>
      <w:tcPr>
        <w:tcBorders>
          <w:bottom w:val="single" w:sz="12" w:space="0" w:color="FFFFFF" w:themeColor="background1"/>
        </w:tcBorders>
        <w:shd w:val="clear" w:color="auto" w:fill="D25F12" w:themeFill="accent2" w:themeFillShade="CC"/>
      </w:tcPr>
    </w:tblStylePr>
    <w:tblStylePr w:type="lastRow">
      <w:rPr>
        <w:b/>
        <w:bCs/>
        <w:color w:val="D25F12"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DBF0" w:themeFill="accent1" w:themeFillTint="3F"/>
      </w:tcPr>
    </w:tblStylePr>
    <w:tblStylePr w:type="band1Horz">
      <w:tblPr/>
      <w:tcPr>
        <w:shd w:val="clear" w:color="auto" w:fill="D9E2F3"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DF2EA" w:themeFill="accent2" w:themeFillTint="19"/>
    </w:tcPr>
    <w:tblStylePr w:type="firstRow">
      <w:rPr>
        <w:b/>
        <w:bCs/>
        <w:color w:val="FFFFFF" w:themeColor="background1"/>
      </w:rPr>
      <w:tblPr/>
      <w:tcPr>
        <w:tcBorders>
          <w:bottom w:val="single" w:sz="12" w:space="0" w:color="FFFFFF" w:themeColor="background1"/>
        </w:tcBorders>
        <w:shd w:val="clear" w:color="auto" w:fill="D25F12" w:themeFill="accent2" w:themeFillShade="CC"/>
      </w:tcPr>
    </w:tblStylePr>
    <w:tblStylePr w:type="lastRow">
      <w:rPr>
        <w:b/>
        <w:bCs/>
        <w:color w:val="D25F12"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ADECB" w:themeFill="accent2" w:themeFillTint="3F"/>
      </w:tcPr>
    </w:tblStylePr>
    <w:tblStylePr w:type="band1Horz">
      <w:tblPr/>
      <w:tcPr>
        <w:shd w:val="clear" w:color="auto" w:fill="FBE4D5"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6F6F6" w:themeFill="accent3" w:themeFillTint="19"/>
    </w:tcPr>
    <w:tblStylePr w:type="firstRow">
      <w:rPr>
        <w:b/>
        <w:bCs/>
        <w:color w:val="FFFFFF" w:themeColor="background1"/>
      </w:rPr>
      <w:tblPr/>
      <w:tcPr>
        <w:tcBorders>
          <w:bottom w:val="single" w:sz="12" w:space="0" w:color="FFFFFF" w:themeColor="background1"/>
        </w:tcBorders>
        <w:shd w:val="clear" w:color="auto" w:fill="CC9900" w:themeFill="accent4" w:themeFillShade="CC"/>
      </w:tcPr>
    </w:tblStylePr>
    <w:tblStylePr w:type="lastRow">
      <w:rPr>
        <w:b/>
        <w:bCs/>
        <w:color w:val="CC9900"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8E8E8" w:themeFill="accent3" w:themeFillTint="3F"/>
      </w:tcPr>
    </w:tblStylePr>
    <w:tblStylePr w:type="band1Horz">
      <w:tblPr/>
      <w:tcPr>
        <w:shd w:val="clear" w:color="auto" w:fill="EDEDE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FF8E6" w:themeFill="accent4" w:themeFillTint="19"/>
    </w:tcPr>
    <w:tblStylePr w:type="firstRow">
      <w:rPr>
        <w:b/>
        <w:bCs/>
        <w:color w:val="FFFFFF" w:themeColor="background1"/>
      </w:rPr>
      <w:tblPr/>
      <w:tcPr>
        <w:tcBorders>
          <w:bottom w:val="single" w:sz="12" w:space="0" w:color="FFFFFF" w:themeColor="background1"/>
        </w:tcBorders>
        <w:shd w:val="clear" w:color="auto" w:fill="848484" w:themeFill="accent3" w:themeFillShade="CC"/>
      </w:tcPr>
    </w:tblStylePr>
    <w:tblStylePr w:type="lastRow">
      <w:rPr>
        <w:b/>
        <w:bCs/>
        <w:color w:val="848484"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EFC0" w:themeFill="accent4" w:themeFillTint="3F"/>
      </w:tcPr>
    </w:tblStylePr>
    <w:tblStylePr w:type="band1Horz">
      <w:tblPr/>
      <w:tcPr>
        <w:shd w:val="clear" w:color="auto" w:fill="FFF2C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EF5FB" w:themeFill="accent5" w:themeFillTint="19"/>
    </w:tcPr>
    <w:tblStylePr w:type="firstRow">
      <w:rPr>
        <w:b/>
        <w:bCs/>
        <w:color w:val="FFFFFF" w:themeColor="background1"/>
      </w:rPr>
      <w:tblPr/>
      <w:tcPr>
        <w:tcBorders>
          <w:bottom w:val="single" w:sz="12" w:space="0" w:color="FFFFFF" w:themeColor="background1"/>
        </w:tcBorders>
        <w:shd w:val="clear" w:color="auto" w:fill="598A38" w:themeFill="accent6" w:themeFillShade="CC"/>
      </w:tcPr>
    </w:tblStylePr>
    <w:tblStylePr w:type="lastRow">
      <w:rPr>
        <w:b/>
        <w:bCs/>
        <w:color w:val="598A38"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6E6F4" w:themeFill="accent5" w:themeFillTint="3F"/>
      </w:tcPr>
    </w:tblStylePr>
    <w:tblStylePr w:type="band1Horz">
      <w:tblPr/>
      <w:tcPr>
        <w:shd w:val="clear" w:color="auto" w:fill="DEEAF6"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0F7EC" w:themeFill="accent6" w:themeFillTint="19"/>
    </w:tcPr>
    <w:tblStylePr w:type="firstRow">
      <w:rPr>
        <w:b/>
        <w:bCs/>
        <w:color w:val="FFFFFF" w:themeColor="background1"/>
      </w:rPr>
      <w:tblPr/>
      <w:tcPr>
        <w:tcBorders>
          <w:bottom w:val="single" w:sz="12" w:space="0" w:color="FFFFFF" w:themeColor="background1"/>
        </w:tcBorders>
        <w:shd w:val="clear" w:color="auto" w:fill="317CC1" w:themeFill="accent5" w:themeFillShade="CC"/>
      </w:tcPr>
    </w:tblStylePr>
    <w:tblStylePr w:type="lastRow">
      <w:rPr>
        <w:b/>
        <w:bCs/>
        <w:color w:val="317CC1"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BEBD0" w:themeFill="accent6" w:themeFillTint="3F"/>
      </w:tcPr>
    </w:tblStylePr>
    <w:tblStylePr w:type="band1Horz">
      <w:tblPr/>
      <w:tcPr>
        <w:shd w:val="clear" w:color="auto" w:fill="E2EF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E2F3" w:themeFill="accent1" w:themeFillTint="33"/>
    </w:tcPr>
    <w:tblStylePr w:type="firstRow">
      <w:rPr>
        <w:b/>
        <w:bCs/>
      </w:rPr>
      <w:tblPr/>
      <w:tcPr>
        <w:shd w:val="clear" w:color="auto" w:fill="B4C6E7" w:themeFill="accent1" w:themeFillTint="66"/>
      </w:tcPr>
    </w:tblStylePr>
    <w:tblStylePr w:type="lastRow">
      <w:rPr>
        <w:b/>
        <w:bCs/>
        <w:color w:val="000000" w:themeColor="text1"/>
      </w:rPr>
      <w:tblPr/>
      <w:tcPr>
        <w:shd w:val="clear" w:color="auto" w:fill="B4C6E7" w:themeFill="accent1" w:themeFillTint="66"/>
      </w:tcPr>
    </w:tblStylePr>
    <w:tblStylePr w:type="firstCol">
      <w:rPr>
        <w:color w:val="FFFFFF" w:themeColor="background1"/>
      </w:rPr>
      <w:tblPr/>
      <w:tcPr>
        <w:shd w:val="clear" w:color="auto" w:fill="2F5496" w:themeFill="accent1" w:themeFillShade="BF"/>
      </w:tcPr>
    </w:tblStylePr>
    <w:tblStylePr w:type="lastCol">
      <w:rPr>
        <w:color w:val="FFFFFF" w:themeColor="background1"/>
      </w:rPr>
      <w:tblPr/>
      <w:tcPr>
        <w:shd w:val="clear" w:color="auto" w:fill="2F5496" w:themeFill="accent1" w:themeFillShade="BF"/>
      </w:tcPr>
    </w:tblStylePr>
    <w:tblStylePr w:type="band1Vert">
      <w:tblPr/>
      <w:tcPr>
        <w:shd w:val="clear" w:color="auto" w:fill="A1B8E1" w:themeFill="accent1" w:themeFillTint="7F"/>
      </w:tcPr>
    </w:tblStylePr>
    <w:tblStylePr w:type="band1Horz">
      <w:tblPr/>
      <w:tcPr>
        <w:shd w:val="clear" w:color="auto" w:fill="A1B8E1"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BE4D5" w:themeFill="accent2" w:themeFillTint="33"/>
    </w:tcPr>
    <w:tblStylePr w:type="firstRow">
      <w:rPr>
        <w:b/>
        <w:bCs/>
      </w:rPr>
      <w:tblPr/>
      <w:tcPr>
        <w:shd w:val="clear" w:color="auto" w:fill="F7CAAC" w:themeFill="accent2" w:themeFillTint="66"/>
      </w:tcPr>
    </w:tblStylePr>
    <w:tblStylePr w:type="lastRow">
      <w:rPr>
        <w:b/>
        <w:bCs/>
        <w:color w:val="000000" w:themeColor="text1"/>
      </w:rPr>
      <w:tblPr/>
      <w:tcPr>
        <w:shd w:val="clear" w:color="auto" w:fill="F7CAAC" w:themeFill="accent2" w:themeFillTint="66"/>
      </w:tcPr>
    </w:tblStylePr>
    <w:tblStylePr w:type="firstCol">
      <w:rPr>
        <w:color w:val="FFFFFF" w:themeColor="background1"/>
      </w:rPr>
      <w:tblPr/>
      <w:tcPr>
        <w:shd w:val="clear" w:color="auto" w:fill="C45911" w:themeFill="accent2" w:themeFillShade="BF"/>
      </w:tcPr>
    </w:tblStylePr>
    <w:tblStylePr w:type="lastCol">
      <w:rPr>
        <w:color w:val="FFFFFF" w:themeColor="background1"/>
      </w:rPr>
      <w:tblPr/>
      <w:tcPr>
        <w:shd w:val="clear" w:color="auto" w:fill="C45911" w:themeFill="accent2" w:themeFillShade="BF"/>
      </w:tcPr>
    </w:tblStylePr>
    <w:tblStylePr w:type="band1Vert">
      <w:tblPr/>
      <w:tcPr>
        <w:shd w:val="clear" w:color="auto" w:fill="F6BE98" w:themeFill="accent2" w:themeFillTint="7F"/>
      </w:tcPr>
    </w:tblStylePr>
    <w:tblStylePr w:type="band1Horz">
      <w:tblPr/>
      <w:tcPr>
        <w:shd w:val="clear" w:color="auto" w:fill="F6BE98"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DEDED" w:themeFill="accent3" w:themeFillTint="33"/>
    </w:tcPr>
    <w:tblStylePr w:type="firstRow">
      <w:rPr>
        <w:b/>
        <w:bCs/>
      </w:rPr>
      <w:tblPr/>
      <w:tcPr>
        <w:shd w:val="clear" w:color="auto" w:fill="DBDBDB" w:themeFill="accent3" w:themeFillTint="66"/>
      </w:tcPr>
    </w:tblStylePr>
    <w:tblStylePr w:type="lastRow">
      <w:rPr>
        <w:b/>
        <w:bCs/>
        <w:color w:val="000000" w:themeColor="text1"/>
      </w:rPr>
      <w:tblPr/>
      <w:tcPr>
        <w:shd w:val="clear" w:color="auto" w:fill="DBDBDB" w:themeFill="accent3" w:themeFillTint="66"/>
      </w:tcPr>
    </w:tblStylePr>
    <w:tblStylePr w:type="firstCol">
      <w:rPr>
        <w:color w:val="FFFFFF" w:themeColor="background1"/>
      </w:rPr>
      <w:tblPr/>
      <w:tcPr>
        <w:shd w:val="clear" w:color="auto" w:fill="7B7B7B" w:themeFill="accent3" w:themeFillShade="BF"/>
      </w:tcPr>
    </w:tblStylePr>
    <w:tblStylePr w:type="lastCol">
      <w:rPr>
        <w:color w:val="FFFFFF" w:themeColor="background1"/>
      </w:rPr>
      <w:tblPr/>
      <w:tcPr>
        <w:shd w:val="clear" w:color="auto" w:fill="7B7B7B" w:themeFill="accent3" w:themeFillShade="BF"/>
      </w:tcPr>
    </w:tblStylePr>
    <w:tblStylePr w:type="band1Vert">
      <w:tblPr/>
      <w:tcPr>
        <w:shd w:val="clear" w:color="auto" w:fill="D2D2D2" w:themeFill="accent3" w:themeFillTint="7F"/>
      </w:tcPr>
    </w:tblStylePr>
    <w:tblStylePr w:type="band1Horz">
      <w:tblPr/>
      <w:tcPr>
        <w:shd w:val="clear" w:color="auto" w:fill="D2D2D2"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FF2CC" w:themeFill="accent4" w:themeFillTint="33"/>
    </w:tcPr>
    <w:tblStylePr w:type="firstRow">
      <w:rPr>
        <w:b/>
        <w:bCs/>
      </w:rPr>
      <w:tblPr/>
      <w:tcPr>
        <w:shd w:val="clear" w:color="auto" w:fill="FFE599" w:themeFill="accent4" w:themeFillTint="66"/>
      </w:tcPr>
    </w:tblStylePr>
    <w:tblStylePr w:type="lastRow">
      <w:rPr>
        <w:b/>
        <w:bCs/>
        <w:color w:val="000000" w:themeColor="text1"/>
      </w:rPr>
      <w:tblPr/>
      <w:tcPr>
        <w:shd w:val="clear" w:color="auto" w:fill="FFE599" w:themeFill="accent4" w:themeFillTint="66"/>
      </w:tcPr>
    </w:tblStylePr>
    <w:tblStylePr w:type="firstCol">
      <w:rPr>
        <w:color w:val="FFFFFF" w:themeColor="background1"/>
      </w:rPr>
      <w:tblPr/>
      <w:tcPr>
        <w:shd w:val="clear" w:color="auto" w:fill="BF8F00" w:themeFill="accent4" w:themeFillShade="BF"/>
      </w:tcPr>
    </w:tblStylePr>
    <w:tblStylePr w:type="lastCol">
      <w:rPr>
        <w:color w:val="FFFFFF" w:themeColor="background1"/>
      </w:rPr>
      <w:tblPr/>
      <w:tcPr>
        <w:shd w:val="clear" w:color="auto" w:fill="BF8F00" w:themeFill="accent4" w:themeFillShade="BF"/>
      </w:tcPr>
    </w:tblStylePr>
    <w:tblStylePr w:type="band1Vert">
      <w:tblPr/>
      <w:tcPr>
        <w:shd w:val="clear" w:color="auto" w:fill="FFDF80" w:themeFill="accent4" w:themeFillTint="7F"/>
      </w:tcPr>
    </w:tblStylePr>
    <w:tblStylePr w:type="band1Horz">
      <w:tblPr/>
      <w:tcPr>
        <w:shd w:val="clear" w:color="auto" w:fill="FFDF8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EEAF6" w:themeFill="accent5" w:themeFillTint="33"/>
    </w:tcPr>
    <w:tblStylePr w:type="firstRow">
      <w:rPr>
        <w:b/>
        <w:bCs/>
      </w:rPr>
      <w:tblPr/>
      <w:tcPr>
        <w:shd w:val="clear" w:color="auto" w:fill="BDD6EE" w:themeFill="accent5" w:themeFillTint="66"/>
      </w:tcPr>
    </w:tblStylePr>
    <w:tblStylePr w:type="lastRow">
      <w:rPr>
        <w:b/>
        <w:bCs/>
        <w:color w:val="000000" w:themeColor="text1"/>
      </w:rPr>
      <w:tblPr/>
      <w:tcPr>
        <w:shd w:val="clear" w:color="auto" w:fill="BDD6EE" w:themeFill="accent5" w:themeFillTint="66"/>
      </w:tcPr>
    </w:tblStylePr>
    <w:tblStylePr w:type="firstCol">
      <w:rPr>
        <w:color w:val="FFFFFF" w:themeColor="background1"/>
      </w:rPr>
      <w:tblPr/>
      <w:tcPr>
        <w:shd w:val="clear" w:color="auto" w:fill="2E74B5" w:themeFill="accent5" w:themeFillShade="BF"/>
      </w:tcPr>
    </w:tblStylePr>
    <w:tblStylePr w:type="lastCol">
      <w:rPr>
        <w:color w:val="FFFFFF" w:themeColor="background1"/>
      </w:rPr>
      <w:tblPr/>
      <w:tcPr>
        <w:shd w:val="clear" w:color="auto" w:fill="2E74B5" w:themeFill="accent5" w:themeFillShade="BF"/>
      </w:tcPr>
    </w:tblStylePr>
    <w:tblStylePr w:type="band1Vert">
      <w:tblPr/>
      <w:tcPr>
        <w:shd w:val="clear" w:color="auto" w:fill="ADCCEA" w:themeFill="accent5" w:themeFillTint="7F"/>
      </w:tcPr>
    </w:tblStylePr>
    <w:tblStylePr w:type="band1Horz">
      <w:tblPr/>
      <w:tcPr>
        <w:shd w:val="clear" w:color="auto" w:fill="ADCCEA"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2EFD9" w:themeFill="accent6" w:themeFillTint="33"/>
    </w:tcPr>
    <w:tblStylePr w:type="firstRow">
      <w:rPr>
        <w:b/>
        <w:bCs/>
      </w:rPr>
      <w:tblPr/>
      <w:tcPr>
        <w:shd w:val="clear" w:color="auto" w:fill="C5E0B3" w:themeFill="accent6" w:themeFillTint="66"/>
      </w:tcPr>
    </w:tblStylePr>
    <w:tblStylePr w:type="lastRow">
      <w:rPr>
        <w:b/>
        <w:bCs/>
        <w:color w:val="000000" w:themeColor="text1"/>
      </w:rPr>
      <w:tblPr/>
      <w:tcPr>
        <w:shd w:val="clear" w:color="auto" w:fill="C5E0B3" w:themeFill="accent6" w:themeFillTint="66"/>
      </w:tcPr>
    </w:tblStylePr>
    <w:tblStylePr w:type="firstCol">
      <w:rPr>
        <w:color w:val="FFFFFF" w:themeColor="background1"/>
      </w:rPr>
      <w:tblPr/>
      <w:tcPr>
        <w:shd w:val="clear" w:color="auto" w:fill="538135" w:themeFill="accent6" w:themeFillShade="BF"/>
      </w:tcPr>
    </w:tblStylePr>
    <w:tblStylePr w:type="lastCol">
      <w:rPr>
        <w:color w:val="FFFFFF" w:themeColor="background1"/>
      </w:rPr>
      <w:tblPr/>
      <w:tcPr>
        <w:shd w:val="clear" w:color="auto" w:fill="538135" w:themeFill="accent6" w:themeFillShade="BF"/>
      </w:tcPr>
    </w:tblStylePr>
    <w:tblStylePr w:type="band1Vert">
      <w:tblPr/>
      <w:tcPr>
        <w:shd w:val="clear" w:color="auto" w:fill="B7D8A0" w:themeFill="accent6" w:themeFillTint="7F"/>
      </w:tcPr>
    </w:tblStylePr>
    <w:tblStylePr w:type="band1Horz">
      <w:tblPr/>
      <w:tcPr>
        <w:shd w:val="clear" w:color="auto" w:fill="B7D8A0"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128044025044006046" TargetMode="Externa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styles" Target="styles.xml" /></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31</Pages>
  <Words>2</Words>
  <Characters>15</Characters>
  <Application>Microsoft Office Word</Application>
  <DocSecurity>0</DocSecurity>
  <Lines>1</Lines>
  <Paragraphs>1</Paragraphs>
  <ScaleCrop>false</ScaleCrop>
  <Company/>
  <LinksUpToDate>false</LinksUpToDate>
  <CharactersWithSpaces>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Leslie Kang</cp:lastModifiedBy>
  <cp:revision>6</cp:revision>
  <dcterms:created xsi:type="dcterms:W3CDTF">2024-01-11T00:28:00Z</dcterms:created>
  <dcterms:modified xsi:type="dcterms:W3CDTF">2024-02-08T13:34:00Z</dcterms:modified>
</cp:coreProperties>
</file>