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边缘计算相关行业公司成立方案及可行性研究报告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_Toc14600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8" w:history="1">
        <w:r>
          <w:rPr>
            <w:rFonts w:ascii="仿宋" w:eastAsia="仿宋" w:hAnsi="仿宋" w:cs="仿宋" w:hint="eastAsia"/>
            <w:lang w:eastAsia="zh-CN"/>
          </w:rPr>
          <w:t>(七)、边缘计算项目建设必要性分析</w:t>
        </w:r>
        <w:r>
          <w:tab/>
        </w:r>
        <w:r>
          <w:fldChar w:fldCharType="begin"/>
        </w:r>
        <w:r>
          <w:instrText xml:space="preserve"> PAGEREF _Toc24598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2" w:history="1">
        <w:r>
          <w:rPr>
            <w:rFonts w:ascii="仿宋" w:eastAsia="仿宋" w:hAnsi="仿宋" w:cs="仿宋" w:hint="eastAsia"/>
            <w:lang w:eastAsia="zh-CN"/>
          </w:rPr>
          <w:t>三、边缘计算项目概况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(二)、边缘计算项目提出的理由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(三)、边缘计算项目选址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_Toc21226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(六)、边缘计算项目投资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(七)、边缘计算项目进度规划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(九)、边缘计算项目综合评价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四、边缘计算筹建公司基本信息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_Toc7447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_Toc18236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(一)、边缘计算项目选址原则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(五)、边缘计算项目选址综合评价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(一)、边缘计算项目背景分析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(二)、边缘计算项目建设必要性分析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_Toc28722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_Toc8184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(五)、边缘计算项目总投资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八、边缘计算项目风险分析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(一)、边缘计算项目风险分析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(二)、边缘计算项目风险对策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(一)、边缘计算项目进度安排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(二)、边缘计算项目实施保障措施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56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6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1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https://d.book118.com/128047137130006036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边缘计算相关行业公司成立方案及可行性研究报告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边缘计算相关行业公司成立方案及可行性研究报告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边缘计算相关行业公司成立方案及可行性研究报告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边缘计算相关行业公司成立方案及可行性研究报告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边缘计算相关行业公司成立方案及可行性研究报告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804713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2024-02-04T20:55:00Z</dcterms:created>
  <dcterms:modified xsi:type="dcterms:W3CDTF">2024-02-04T20:56:10Z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41285FAB90B5443BA41CABD9F84E0328_11</vt:lpwstr>
  </property>
  <property fmtid="{D5CDD505-2E9C-101B-9397-08002B2CF9AE}" pid="3" name="KSOProductBuildVer">
    <vt:lpwstr>2052-12.1.0.16250</vt:lpwstr>
  </property>
</Properties>
</file>