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2018-2023年天津渤海职业技术学院高职单招（数学／语文／英语）历年常考试题库含答案解析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先秦诸子中，善用“欲擒故纵，引君入彀”论辩手法的是（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C.老子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C.《迎春花》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朱光潜的《选择与安排》是一篇（）。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B.说明文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中国文学史上的“小李杜”是指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B.李商隐杜牧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在下列词作中富有主见的是（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A.李煜《虞美人（春花秋月何时了）》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B.柳永《八声甘州（对潇潇暮雨洒江天）》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C.苏轼《水调歌头（明月几时有）》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D.李清照《声声慢（寻寻觅觅）》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《炉中煤》中，诗人用煤的燃烧来抒写自己的无私奉献精神，这种表现手法是（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A.托物言志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C.对比反衬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D.象征暗示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下列人物属于战国四君子的是（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孟子《寡人之于国也》认为实行王道始于（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A.河内凶，则移其民于河东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B.谨庠序之教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C.养生丧死无憾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D.填然鼓之，兵刃既接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中国现代新诗发展史上有三个代表诗派，闻一多属于（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A.自由派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B.格律派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D.浪漫派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下列语句中，论述“大同世界”特点的是（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A.各亲其亲，各子其子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B.以正君臣，以笃父子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C.刑仁讲让，示民有常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D.男有分，女有归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巴金创作的最著名的长篇小说三部曲是（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D.《抗战三部曲》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王安石《答司马谏议书》所采取的主要驳论角度是（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A.驳斥论点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B.驳斥论据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C.驳斥论证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D.驳斥态度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中唐新乐府运动的倡导者是（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https://d.book118.com/128056133132006040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2805613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