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黑体" w:eastAsia="黑体" w:hAnsi="黑体" w:cs="Times New Roman"/>
          <w:b/>
          <w:bCs/>
          <w:color w:val="auto"/>
          <w:sz w:val="52"/>
          <w:szCs w:val="32"/>
        </w:rPr>
      </w:pPr>
      <w:bookmarkStart w:id="0" w:name="_GoBack"/>
      <w:r>
        <w:rPr>
          <w:rFonts w:ascii="黑体" w:eastAsia="黑体" w:hAnsi="黑体" w:cs="Times New Roman" w:hint="eastAsia"/>
          <w:b/>
          <w:bCs/>
          <w:color w:val="auto"/>
          <w:sz w:val="52"/>
          <w:szCs w:val="32"/>
        </w:rPr>
        <w:t>2024年执业医师-中医执业医师实践技能考试历年高频考点题库含答案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End w:id="0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1.</w:t>
      </w:r>
      <w:bookmarkStart w:id="1" w:name="_GoBack_0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【病例摘要】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患者，女，62岁。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患者约半年前出现大便溏薄，日行2～3次，尤以黎明前必肠鸣，腹中隐隐作痛而泻，泻后痛减，完谷不化，近20天腹泻症状加重，现症状为食少，腰膝酸软，手足不温，喜温畏寒，面色黧黑，身体瘦弱。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查体：T 36.2℃，P 66次／分，R 16次／分，BP 110/70mmHg。慢性病容，左下腹轻微压痛，但揉按则舒，舌质淡暗，苔薄白，脉沉细。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辅助检查：血尿常规未见异常，肝胆胰脾双肾B超未见异常。大便常规：稀便，镜检未见异常，潜血阴性。结肠镜：乙状结肠黏膜轻度水肿，局部充血，未见溃疡面及出血点。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【答题要求】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(1)根据上述病例摘要，完成书面辨证论治。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(2)请与肠易激综合征相鉴别。</w:t>
      </w:r>
    </w:p>
    <w:p>
      <w:pPr>
        <w:pStyle w:val="Normal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6"/>
          <w:headerReference w:type="first" r:id="rId7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  <w:bookmarkEnd w:id="1"/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正确答案:一、西医诊断依据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(1)腹泻半年，加重20天。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(2)慢性病容，左下腹轻微压痛，但揉按则舒。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(3)大便常规：稀便，镜检未见异常，潜血阴性。结肠镜：乙状结肠黏膜轻度水肿，局部充血，未见溃疡面及出血点。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二、西医鉴别诊断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</w:p>
    <w:p>
      <w:pPr>
        <w:pStyle w:val="Normal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肠易激综合征粪便有黏液但无脓血，可有便秘和腹泻交替，常伴腹痛、腹胀肠鸣及全身神经官能症，结肠镜检查无器质性改变。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三、中医辨证依据与病因病机分析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1．中医辨证依据  脾胃受损，故纳呆、食少、乏力；脾胃虚弱，水谷精微无以化生，损及肾脏，故见腰膝酸软；命门火衰则黎明腹泻、手足不温、喜温畏寒、面色黧黑、完谷不化；舌质淡暗、苔薄白、脉沉细均为脾肾阳气虚衰之象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2．病因病机分析  脾肾阳虚，运化失常，肾阳虚衰。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四、入院诊断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1．西医诊断  慢性结肠炎。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2．中医疾病诊断  泄泻。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3．中医辨证诊断  肾阳虚衰。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五、中医治疗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1．中医治法  温肾健脾，固涩止泻。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2．所选方剂名称  四神丸加减。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3．药物组成、剂量及煎服法  肉豆蔻1OG、吴茱萸3G、补骨脂12G、五味子1OG、附子3G、炮姜6G、甘草6G;3剂，水煎服，日一剂，分两次服用。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六、西医治疗原则与方法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1．一般治疗  休息，饮食宜富营养少渣。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2．药物治疗  首选柳氮磺胺吡啶或美沙拉嗪；口服鱼油、甲硝唑（灭滴灵）。</w:t>
      </w:r>
    </w:p>
    <w:p>
      <w:pPr>
        <w:pStyle w:val="Normal0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0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0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2.</w:t>
      </w:r>
      <w:bookmarkStart w:id="2" w:name="_GoBack_1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桡骨下端骨折</w:t>
      </w:r>
    </w:p>
    <w:p>
      <w:pPr>
        <w:pStyle w:val="Normal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8"/>
          <w:headerReference w:type="first" r:id="rId9"/>
          <w:type w:val="nextPage"/>
          <w:pgSz w:w="11906" w:h="16838"/>
          <w:pgMar w:top="720" w:right="720" w:bottom="720" w:left="720" w:header="851" w:footer="992" w:gutter="0"/>
          <w:pgNumType w:start="2"/>
          <w:cols w:num="1" w:space="425"/>
          <w:titlePg w:val="0"/>
          <w:docGrid w:type="lines" w:linePitch="312" w:charSpace="0"/>
        </w:sectPr>
      </w:pPr>
      <w:bookmarkEnd w:id="2"/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桡骨下端(包括桡骨远侧端3Cm以内)骨折，在临床上比较常见，老人、青壮年、儿童均可发生。桡骨远端的关节面向掌侧倾斜为10°～15°，向尺侧倾斜20°～25°。这些关系在骨折时常被破坏，在整复时应尽可能恢复正常解剖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【诊断要点】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多为间接暴力所致，跌倒时，躯干向下的重力与地面向上的反作用力交集于桡骨下端而发生骨折。直接暴办造成的骨折为粉碎型。在20岁以前，桡骨下端骨骺尚未融合，可发生骺离骨折。伤后局部肿胀、疼痛、手腕功能部分或完全丧失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2．根据受伤姿势和骨折移位的不同，可分为伸直型和屈曲型两种：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(1)伸直型骨折：跌倒时，腕关节呈背伸位，手掌先着地，骨折远段向背侧和桡侧移位，桡骨远段关节面改向背侧倾斜，向尺侧倾斜减少或完全消失，甚至形成相反的倾斜。骨折远端向背侧移位时，可见"餐叉样"畸形；向桡侧移位时，呈"枪上刺刀状"畸形；缩短移位时，可触及上移的桡骨茎突；如合并尺骨茎突骨折，下桡尺关节的三角纤维软骨盘随骨折片移向桡侧背侧；如尺骨茎突完整，骨折远端移位明显时，三角纤维软骨盘附着点必然破裂，掌侧屈肌腱及背侧伸肌腱亦发生相应的扭转和移位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</w:p>
    <w:p>
      <w:pPr>
        <w:pStyle w:val="Normal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(2)屈曲型骨折：跌倒时，腕关节呈掌屈位，手背先着地，骨折远段向桡侧和掌侧移位，此类骨折较少见。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3．腕关节正侧位X线照片，可明确骨折类型和移位方向。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【类证鉴别】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无移位或不完全骨折时，肿胀多不明显，仅觉得局部疼痛和压痛，可有环状压痛和纵轴压痛，腕和指运动不便，握力减弱，须注意与腕部软组织扭伤鉴别。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【辨证论治】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无移位的骨折不需要整复，仅用掌、背两侧夹板固定2～3周即可，有移位的骨折则必须整复。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1．整复方法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(1)患者坐位，老年人则平卧为佳，肘部屈曲90°，前臂中立位。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(2)伸直型骨折：骨折线未进入关节、骨折段完整的骨折，一助手把住上臂，术者两拇指并列置于远端背侧，其他四指置于其腕部，扣紧大小鱼际肌，先顺势拔伸2～3分钟，待重叠移位完全纠正后，将远段旋前，并利用牵引力，骤然猛抖，同时迅速尺偏掌屈，使之复位；若仍未完全复位，则由两助手维持牵引，术者用两拇指迫使骨折远段尺偏掌屈，即可达到解剖对位；整复骨折线进入关节或骨折块粉碎的伸直型骨折时，则在助手和术者拔伸牵引纠正重叠移位后，术者双手拇指在背侧按压骨折远端，双手余指置于近端的掌侧端提近端向背侧，以矫正掌背侧移位，同时使腕掌屈、尺偏，以纠正侧方移位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(2)屈曲型骨折：由两助手拔伸牵引，术者可用两手拇指由掌侧将远段骨折片向背侧推挤，同时用食、中、环三指将近段由背侧向掌侧挤压，然后术者捏住骨折部，牵引手指的助手徐徐将腕关节背伸，使屈肌腱紧张，防止复位的骨折片移位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2．固定方法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(1)伸直型骨折：先在骨折远端背侧和近端掌侧分别放置一平垫，然后放上夹板，夹板上端达前臂中、上1／3，桡、背侧夹板下端应超过腕关节，限制手腕的桡偏和背伸活动。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(2)屈曲型骨折：在远端的掌侧和近端的背侧各放一平垫，桡、掌侧夹板下端应超过腕关节，限制桡偏和掌屈活动。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(3)扎上三条布带固定后，将前臂悬挂胸前，保持固定4～5周。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3．药物治疗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(1)儿童骨折早期治则是活血祛瘀、消肿止痛，中后期内服药可减免。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(2)中年骨折按三期辨证用药。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(3)老人骨折中后期着重养气血、壮筋骨、补肝肾。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(4)解除固定后，均应用中药熏洗以舒筋活络、通利关节。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4．练功活动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(1)固定期间积极作指间关节、指掌关节屈伸锻炼及肩肘部活动。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(2)解除固定后，作腕关节屈伸和前臂旋转锻炼。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【预防与调护】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(1)复位固定后应观察手部血液循环，随时调整夹板松紧度。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(2)注意将患肢保持在旋后15°或中立位，纠正骨折再移位倾向。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(3)伸直型骨折固定期间应避免腕关节向桡偏与背伸活动。</w:t>
      </w:r>
    </w:p>
    <w:p>
      <w:pPr>
        <w:pStyle w:val="Normal1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1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1"/>
        <w:jc w:val="left"/>
        <w:rPr>
          <w:rFonts w:ascii="宋体" w:hAnsi="宋体" w:cs="Calibri"/>
          <w:b/>
          <w:bCs/>
          <w:color w:val="FF0000"/>
          <w:szCs w:val="21"/>
        </w:rPr>
        <w:sectPr>
          <w:headerReference w:type="even" r:id="rId10"/>
          <w:headerReference w:type="first" r:id="rId11"/>
          <w:type w:val="nextPage"/>
          <w:pgSz w:w="11906" w:h="16838"/>
          <w:pgMar w:top="720" w:right="720" w:bottom="720" w:left="72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3.</w:t>
      </w:r>
      <w:bookmarkStart w:id="3" w:name="_GoBack_2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【病例摘要】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患者，男，70岁。患者因情绪刺激，突然出现左侧肢体活动不利，麻木，不能站立，语言謇涩，口角向右歪斜，伴头晕耳鸣，夜寐不安，不呕吐。既往有高血压病史多年，常觉头晕。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查体：T 36.8℃，P 90次／分，R 20次／分，BP 160/105mmHg。神志清楚，双瞳孔等大等圆，对光反射可，左侧鼻唇沟变浅，伸舌右偏，左上肢肌力1级，左下肢肌力1～2级，肌张力减弱，右侧肢体正常，病理征未引出。舌质红，苔薄，脉弦细数。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辅助检查：头部CT平扫示右侧基底节区脑梗死。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【答题要求】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(1)根据上述病例摘要，完成书面辨证论治。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(2)请与颅内占位病变相鉴别。</w:t>
      </w:r>
    </w:p>
    <w:p>
      <w:pPr>
        <w:pStyle w:val="Normal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12"/>
          <w:headerReference w:type="first" r:id="rId13"/>
          <w:type w:val="nextPage"/>
          <w:pgSz w:w="11906" w:h="16838"/>
          <w:pgMar w:top="720" w:right="720" w:bottom="720" w:left="720" w:header="851" w:footer="992" w:gutter="0"/>
          <w:pgNumType w:start="4"/>
          <w:cols w:num="1" w:space="425"/>
          <w:titlePg w:val="0"/>
          <w:docGrid w:type="lines" w:linePitch="312" w:charSpace="0"/>
        </w:sectPr>
      </w:pPr>
      <w:bookmarkEnd w:id="3"/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正确答案:一、西医诊断依据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(1)起病突然，有高血压病史多年，常觉头晕。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(2)左侧肢体功能障碍，口角歪斜，语言不利等。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(3)查体：BP 160／105mmHG，左侧鼻唇沟变浅，伸舌右偏，左上肢肌力1级，左下肢肌力1～2级，肌张力减弱。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(4)实验室检查：头部CT平扫示右侧基底节区脑梗死。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二、西医鉴别诊断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本病应与颅内占位病变相鉴别。如慢性硬膜下血肿、颅内肿瘤、脑脓肿等占位病变病程长，有进行性颅高压和局限性神经体征，造影可有脑血管移位，CT、MRI可发现占位病灶。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三、中医辨证依据与病因病机分析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1．中医辨证依据  患者突然起病，症见半身不遂，语言不利，口角歪斜3天，故可诊断为中风。患者年近七旬，突然起病，肝肾亏虚，肝阳上亢，肝阳化风，挟痰走窜经络，脉络不畅，故半身不遂、语言謇涩、口角歪斜；风阳上亢，清窍不利，则见头晕耳鸣；舌红、脉细数均为肝风内动、阴虚有热之象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2．病因病机分析  肝肾亏虚，肝阳上亢，肝阳化风，挟痰走窜经络，脉络不畅。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四、入院诊断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1．西医诊断  ①脑梗死；②高血压病2级（高危）。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2．中医疾病诊断  ①中风  中经络，风阳上扰；②眩晕，肝阳上亢。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五、中医治疗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1．中医治法  平肝潜阳，活血通络。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2．所选方剂名称  天麻钩藤饮加减。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3．药物组成、剂量及煎服法  天麻12G、钩藤15G、石决明12G、桑寄生1OG、茯神1OG、夜交藤1OG、牛膝15G、杜仲1OG、栀子1OG、黄芩1OG、益母草12G、夏枯草15G、杭菊15G；3剂，水煎服，日一剂，分两次服用。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六、西医治疗原则与方法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1．一般治疗  监测生命体征和神经系统体征，保持呼吸道通畅，控制血压，注意维持水、电解质平衡，预防各种感染等。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2．溶栓治疗  可选用尿激酶和重组组织型纤溶酶原激活剂等。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3．减轻脑的缺血性损伤  可物理降温等。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4．抗凝治疗  如低分子肝素等。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</w:p>
    <w:p>
      <w:pPr>
        <w:pStyle w:val="Normal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5．恢复期治疗  如功能锻炼、预防复发、控制危险因素等。</w:t>
      </w:r>
    </w:p>
    <w:p>
      <w:pPr>
        <w:pStyle w:val="Normal2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2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2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4.</w:t>
      </w:r>
      <w:bookmarkStart w:id="4" w:name="_GoBack_3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无排卵型功能失调性子宫出血</w:t>
      </w:r>
    </w:p>
    <w:p>
      <w:pPr>
        <w:pStyle w:val="Normal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14"/>
          <w:headerReference w:type="first" r:id="rId15"/>
          <w:type w:val="nextPage"/>
          <w:pgSz w:w="11906" w:h="16838"/>
          <w:pgMar w:top="720" w:right="720" w:bottom="720" w:left="720" w:header="851" w:footer="992" w:gutter="0"/>
          <w:pgNumType w:start="5"/>
          <w:cols w:num="1" w:space="425"/>
          <w:titlePg w:val="0"/>
          <w:docGrid w:type="lines" w:linePitch="312" w:charSpace="0"/>
        </w:sectPr>
      </w:pPr>
      <w:bookmarkEnd w:id="4"/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功能失调性子宫出血(简称功血)，是由于调节生殖的神经内分泌机制失常引起的异常子宫出血，而全身及内外生殖器官无器质性病变存在。功血可分为无排卵型和排卵型两类，约85％的病例属无排卵型功血。功血可发生于月经初潮后至绝经间的任何年龄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无排卵型功血属中医崩漏的范畴，有排卵型功血与中医的月经先期、月经过多、经期延长和经间期出血等病证相类似，可互相参考。功血常伴见不孕不育。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【病因病理】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导致无排卵型功血的原因很多。来自机体的内外因素，如精神过度紧张、恐惧、忧伤、环境与气候骤然变化以及全身性疾病、营养不良、贫血及代谢紊乱，均可通过大脑皮层和中枢神经系统影响下丘脑-垂体-卵巢轴的相互调节功能，最终发生功血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无排卵型功血多发生于青春期和围绝经期妇女，但二者发病机制不完全相同。在青春期。下丘脑和垂体的调节功能未臻成熟，它们和卵巢间尚未建立稳定的周期性调节。此时虽有一批卵泡生长，但发育到一定程度即发生退行性变而无排卵，形成闭锁卵泡；而围绝经期妇女，由于卵巢功能衰退，卵泡几乎已耗尽，尤其剩余卵泡对垂体促性腺激素的反应性低下，雌激素分泌量锐减，对垂体的负反馈变弱，于是促性腺激素水平升高，发生无排卵功血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无排卵型功血是由于单一雌激素刺激而无孕激素拮抗，子宫内膜不受限制地增生而引起的雌激素撤退性出血或突破性出血。在单一雌激素的持久刺激下，子宫内膜发生诸如单纯型增生过长、复杂型增生过长等，若有一批卵泡闭锁，雌激素水平可突然下降，内膜失去支持而剥脱出血，属于雌激素撤退性出血。雌激素突破性出血有两种类型，其与雌激素浓度之间存在一种半定量关系。低水平雌激素维持在阈值水平，可发生间断少量出血，内膜修复慢使出血时间延长；高水平雌激素维持在有效浓度，则引起长时间闭经，因无孕激素参与，内膜增厚而不牢固，而发生自发急性突破出血，血量汹涌。且由于内膜血管缺乏螺旋化，不发生节段性收缩和松弛，宫内膜不能同步脱落，使一处修复，另一处又脱落出血，造成出血量多，时间长不能自止。此外由于多次组织的破损活化了血内纤维蛋白溶酶，引起更多的纤维蛋白溶解加重了出血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【临床表现】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1．症状  临床最常见的症状是子宫不规则出血。特点是月经周期紊乱，经期长短不一，出血量时多时少，甚至大量出血。或先有数周或数月停经，然后发生不规则出血，血量往往较多，不能自止。有时一开始即为不规则阴道出血。无明显下腹痛，多伴不同程度的贫血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2．体征  妇科检查子宫软，大小正常。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【实验室及其他检查】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1．基础体温(BBT)  为单相改变。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2．B超检查  可见小卵泡发育，无卵泡成熟及排卵。或可见子宫内膜增厚而无器质性改变。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3．诊断性刮宫  为排除子宫内膜病变和止血目的，必须进行全面刮宫。内膜病理多见增生期变化或增生过长。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</w:p>
    <w:p>
      <w:pPr>
        <w:pStyle w:val="Normal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16"/>
          <w:headerReference w:type="first" r:id="rId17"/>
          <w:type w:val="nextPage"/>
          <w:pgSz w:w="11906" w:h="16838"/>
          <w:pgMar w:top="720" w:right="720" w:bottom="720" w:left="72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4．宫腔镜检查  止血后3～7天内进行。镜下可见内膜增厚或不增厚。表面平滑无组织突起，但较充血。在子宫镜直视下选择病变区进行活检，可提高内膜病变诊断率。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5．宫颈黏液结晶检查  经前出现羊齿植物叶状结晶提示无排卵。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6．阴道脱落细胞涂片检查  一般表现为中、高度雌激素影响。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7．激素测定  为确定有无排卵，可测定血清孕酮或尿孕二醇。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【诊断与鉴别诊断】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1．诊断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(1)病史  注意患者的年龄、月经史、婚育史、避孕措施、肝脏病、血液病、甲状腺病、肾上腺疾病、垂体疾病，有无精神过度紧张或情绪打击等影响月经的因素。了解发病时间、经过、出血情况类型。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(2)体格检查  包括全身检查、妇科检查。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(3)辅助诊断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2．鉴别诊断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(1)全身性疾病  血液病、高血压、肝脏病和甲状腺功能低下均可引起子宫出血，通过相关检查可鉴别。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(2)生殖器肿瘤  子宫内膜癌、子宫颈癌和卵巢功能性肿瘤均可引起子宫出血，通过妇科检查和辅助检查可以明确诊断。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(3)生殖器炎症  如宫内膜息肉、宫颈息肉、子宫内膜炎易发生不规则阴道出血。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(4)异常妊娠  如流产、异位妊娠、葡萄胎等可先有停经后见阴道出血，可通过检查作鉴别。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此外不规范服避孕药或某些疾病需使用卵巢激素，也可引起子宫出血，详问病史常可确诊。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【治疗】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1．一般治疗  患者多呈贫血貌，应加强营养，改善全身情况。可补充铁剂、维生素C和蛋白质。贫血严重者须输血。预防感染，注意休息，适当使用凝血药物减少出血。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2．药物治疗  主要是内分泌激素治疗，对不同的患者应选择不同的方法。青春期少女以止血、调整周期或促卵巢排卵为主进行治疗；围绝经期妇女止血以后调整周期、减少经量为原则。尽可能使用最低有效剂量，并严密观察，以免使用性激素不当而引起出血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(1)止血  对大量出血患者，要求在性激素治疗6小时内见效，24～48小时内出血基本停止。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1)孕激素：无排卵性功血由单一雌激素刺激所致，补充孕激素使处于增生期或增生过长的子宫内膜转化为分泌期，停药后内膜脱落，出现撤退性出血。由于此种内膜脱落较彻底，类似月经，3～7天干净，故又称"药物性刮宫"，是长期受雌激素作用患者的首选药物。可选用对内膜作用效价较高的炔诺酮(妇康片)5～7．5mG口服，每6小时1次，一般用药4次后出血量明显减少或停止，改为8小时1次，再逐渐减量，每3日递减1／3量，直至维持量每日5mG，持续用到血止后20日左右停药，停药后3～7天发生撤退性出血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2)雌激素：应用大剂量雌激素可迅速提高血内雌激素浓度，促使子宫内膜生长，短期内修复创面而止血。适用于内源性雌激素不足者，主要用于青春期功血。可选用己烯雌酚2mG，每8小时1次，3天内止血后，按每3天减1／3量逐渐递减，随后维持在1mG／D，达血止后20日停药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3)雄激素：有对抗雌激素的作用。适用于更年期患者。可用甲睾酮5mG，舌下含服，每日3次；或丙酸睾酮25mG，肌注，每日1次，连用3～5日，每月总量不超过300mG。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其他止血药安络血、止血敏可减少微血管通透性；6-氨基己酸、对羧基苄胺可抑制纤维蛋白溶酶，有减少出血的辅助作用。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(2)调整月经周期  上述性激素止血效果一般良好，但在止血后应继续用药以控制周期，使无流血期延长至20日左右，一般连续用药3个周期。在此过程中务必积极纠正贫血，增强体质。常用的调整月经周期的方法有：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</w:p>
    <w:p>
      <w:pPr>
        <w:pStyle w:val="Normal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1)雌-孕激素序贯疗法：即人工周期，为模拟自然月经周期中卵巢的内分泌变化，将雌、孕激素序贯应用，使子宫内膜发生相应变化，引起周期性脱落。适用于青春期或育龄期功血内源性雌激素水平较低者。己烯雌酚1mG，于出血第5日起，每晚1次，连服20日，服药第11日，每日加用黄体酮注射液10mG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2)雌、孕激素合并应用：雌激素使子宫内膜再生修复，孕激素用以限制雌激素引起的内膜增生程度。适用于育龄期功血内源性雌激素水平较高者。可用复方炔诺酮片(口服避孕药1号)全量或半量，于出血第5日起，每晚1片，连服20日，撤药后出血，血量较少，连用3个周期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3)后半周期疗法：适用于更年期功血。于月经周期后半期服用甲羟孕酮8～10mG／D，连服10日以调整周期，连用3个周期。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(3)促排卵法  一般用于月经周期已基本得到控制后，目的是恢复排卵功能，尤适用于不孕患者。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1)氯米芬(CC)：适用于体内有一定水平雌激素的功血患者。于出血第5日起，每晚服50mG，连续5日。若排卵失败，可重复用药，用量逐渐增至100～200mG／D。若内源性雌激素不足，可配合少量雌激素，一般连用3个月，不宜长期应用，以免发生卵巢过度刺激综合征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2)绒促性素(HCG)：一般与其他促排卵药联用。B超监测卵泡发育接近成熟时，可大剂量肌肉注射HCG5000～10000U以诱发排卵。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3)尿促性素(HMG)：出血干净后每日肌注HMG1～2支，直至卵泡发育成熟，停用HMG，加用HCG5000～10000U，肌肉注射，提高排卵。注意使用HMG时易并发卵巢过度刺激综合征，故仅用于对氯米芬效果不佳，要求生育的功血患者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3．手术治疗根据患者的年龄及病情选择手术方式。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(1)诊刮术  最常用，一般能迅速止血和明确诊断，尤其是更年期功血，宜常规诊刮，最好在宫腔镜下分段诊刮。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(2)子宫内膜部分切除术  此法近十多年进展迅速，是在宫腔镜直视下用电凝或激光破坏内膜，其破坏深度达基底层，闭经率达45％～65％。尤适合于绝经前后的功血患者，是替代子宫切除的现代治疗手段。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(3)子宫切除术  是各种治法无效时采用的最后手段。现已很少用于治疗功血。</w:t>
      </w:r>
    </w:p>
    <w:p>
      <w:pPr>
        <w:pStyle w:val="Normal3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3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3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5.</w:t>
      </w:r>
      <w:bookmarkStart w:id="5" w:name="_GoBack_4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病例摘要：张某，女，65岁，已婚，农民。2015年1月2日初诊。患者哮喘病史40余年，一月前着凉发作。现症：喉中哮鸣如鼾，声低，气短息促，动则喘甚，发作频繁，甚则持续哮喘，口唇爪甲青紫，咳痰无力，痰涎清稀，面色苍白，口咽干口渴，形寒肢冷，舌质淡，脉沉细。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　　答题要求：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　　(1)根据上述病例摘要，在答题卡上完成书面辨证论治。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　　(2)中医病证鉴别：请与喘证相鉴别。</w:t>
      </w:r>
    </w:p>
    <w:p>
      <w:pPr>
        <w:pStyle w:val="Normal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18"/>
          <w:headerReference w:type="first" r:id="rId19"/>
          <w:type w:val="nextPage"/>
          <w:pgSz w:w="11906" w:h="16838"/>
          <w:pgMar w:top="720" w:right="720" w:bottom="720" w:left="720" w:header="851" w:footer="992" w:gutter="0"/>
          <w:pgNumType w:start="7"/>
          <w:cols w:num="1" w:space="425"/>
          <w:titlePg w:val="0"/>
          <w:docGrid w:type="lines" w:linePitch="312" w:charSpace="0"/>
        </w:sectPr>
      </w:pPr>
      <w:bookmarkEnd w:id="5"/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正确答案:中医疾病诊断：哮病。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中医证型诊断：虚哮证。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</w:p>
    <w:p>
      <w:pPr>
        <w:pStyle w:val="Normal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中医辨病辨证依据：以哮喘病史40年为主症，辨病为哮病。现症见喉中哮鸣如鼾，声低，气短息促，动则喘甚，发作频繁，甚则持续哮喘，口唇爪甲青紫，咳痰无力，痰涎清稀，面色苍白，口咽干口渴，形寒肢冷，舌质淡，脉沉细。哮病久发，痰气瘀阻，肺肾两虚，摄纳失常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中医病证鉴别：哮病和喘证都有呼吸急促、困难的表现。哮必兼喘，但喘未必兼哮。哮指声响言，喉中哮鸣有声，是一种反复发作的独立性疾病；喘指气息言，为呼吸气促困难，是多种肺系急慢性疾病的一个症状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治法：补肺纳肾，降气化痰。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方剂名称：平喘固本汤加减。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药物组成、剂量、煎服方法：党参30G，黄芪30G，五味子6G，冬虫夏草（兑服）10G，胡桃肉30G，沉香3G（后下）、脐带1条、苏子10G，款冬10G，法半夏6G，橘皮10G。三剂，水煎服。日一剂，早晚分服。</w:t>
      </w:r>
    </w:p>
    <w:p>
      <w:pPr>
        <w:pStyle w:val="Normal4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4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4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6.</w:t>
      </w:r>
      <w:bookmarkStart w:id="6" w:name="_GoBack_5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头痛</w:t>
      </w:r>
    </w:p>
    <w:p>
      <w:pPr>
        <w:pStyle w:val="Normal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20"/>
          <w:headerReference w:type="first" r:id="rId21"/>
          <w:type w:val="nextPage"/>
          <w:pgSz w:w="11906" w:h="16838"/>
          <w:pgMar w:top="720" w:right="720" w:bottom="720" w:left="720" w:header="851" w:footer="992" w:gutter="0"/>
          <w:pgNumType w:start="8"/>
          <w:cols w:num="1" w:space="425"/>
          <w:titlePg w:val="0"/>
          <w:docGrid w:type="lines" w:linePitch="312" w:charSpace="0"/>
        </w:sectPr>
      </w:pPr>
      <w:bookmarkEnd w:id="6"/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正确答案:头痛是临床常见的自觉症状，可单独出现，亦见于多种疾病的过程中。本节所讨论的头痛，是指因外感六淫、内伤杂病而引起的，以头痛为主要表现的一类病证。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【病因病机】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1．病因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(1)感受外邪：起居不慎，感受风、寒、湿、热之邪，邪气上犯颠顶，清阳之气受阻，气血凝滞，而发为头痛。因风为百病之长，故六淫之中，以风邪为主要病因，多夹寒、湿、热邪而发病。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(2)情志失调：忧郁恼怒，情志不遂，肝失条达，气郁阳亢，或肝郁化火，阳亢火生，上扰清窍，可发为头痛。若肝火郁久，耗伤阴血，肝肾亏虚，精血不承，亦可引发头痛。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(3)先天不足或房事不节：禀赋不足，或房劳过度，使肾精久亏。肾主骨生髓，髓上通于脑，脑髓有赖于肾精的不断化生。若肾精久亏，脑髓空虚，则会发生头痛。若阴损及阳，肾阳虚弱，清阳不展，亦可发为头痛，此类头痛临床较为少见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(4)饮食劳倦及体虚久病：脾胃为后天之本，气血生化之源。若脾胃虚弱，气血化源不足，或病后正气受损，营血亏虚，不能上荣于脑髓脉络，可致头痛的发生。若因饮食不节，嗜酒太过，或过食辛辣肥甘，脾失健运，痰湿内生，阻遏清阳，上蒙清窍而为痰浊头痛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(5)头部外伤或久病入络：跌仆闪挫，头部外伤，或久病入络，气血滞涩，瘀血阻于脑络，不通则痛，发为头痛。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2．病机  头痛可分为外感和内伤两大类。外感头痛多为外邪上扰清空，壅滞经络，络脉不通。外感头痛以风邪为主，且多兼夹它邪，如寒、湿、热等。若风邪夹寒邪，凝滞血脉，络道不通，不通则痛。若风邪夹热，风热炎上，清空被扰，而发头痛。若风夹湿邪，阻遏阳气，蒙蔽清窍，可致头痛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内伤头痛之病机多与肝、脾、肾三脏的功能失调有关。肝主疏泄，性喜条达。头痛因于肝者，或因肝失疏泄，气郁化火，阳亢火升，上扰头窍而致；或因肝肾阴虚，肝阳偏亢而致。肾主骨生髓，脑为髓海。头痛因于肾者，多因房劳过度，或禀赋不足，使肾精久亏，无以生髓，髓海空虚，发为头痛。脾为后天之本，气血生化之源，头窍有赖于精微物质的滋养。头痛因于脾者，或因脾虚化源不足，气血亏虚，清阳不升，头窍失养而致头痛；或因脾失健运，痰浊内生，阻塞气机，浊阴不降，清窍被蒙而致头痛。若因头部外伤，或久病入络，气血凝滞，脉络不通，亦可发为瘀血头痛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</w:p>
    <w:p>
      <w:pPr>
        <w:pStyle w:val="Normal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22"/>
          <w:headerReference w:type="first" r:id="rId23"/>
          <w:type w:val="nextPage"/>
          <w:pgSz w:w="11906" w:h="16838"/>
          <w:pgMar w:top="720" w:right="720" w:bottom="720" w:left="72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【诊断要点】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1．以头部疼痛为主要临床表现。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头痛部位可发生在前额、两颞、颠顶、枕项或全头部。疼痛性质可为跳痛、刺痛、胀痛、灼痛、重痛、空痛、昏痛、隐痛等。头痛发作形式可为突然发作，或缓慢起病，或反复发作，时痛时止。疼痛的持续时间可长可短，可数分钟、数小时或数天、数周，甚则长期疼痛不已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3．外感头痛者多有起居不慎，感受外邪的病史；内伤头痛者常有饮食、劳倦、房事不节、病后体虚等病史。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【类证鉴别】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1．头痛与眩晕  头痛与眩晕可单独出现，也可同时出现，二者对比，头痛之病因有外感与内伤两方面，眩晕则以内伤为主。临床表现，头痛以疼痛为主，实证较多；而眩晕则以昏眩为主，虚证较多。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2．真头痛与一般头痛  真头痛为头痛的一种特殊重症，其特点为起病急骤，多表现为突发的剧烈头痛，持续不解，阵发加重，手足逆冷至肘膝，甚至呕吐如喷，肢厥、抽搐，本病凶险，应与一般头痛区别。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【辨证论治】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(一)外感头痛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1．风寒头痛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主症：头痛连及项背，常有拘急收紧感，或伴恶风畏寒，遇风尤剧，口不渴，苔薄白，脉浮紧。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病机概要：风寒外袭，上犯颠顶，凝滞经脉。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治法：疏散风寒止痛。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代表方剂：川芎茶调散加减。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常用药物：川芎、白芷、藁本、羌活、细辛、荆芥、防风等。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2．风热头痛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主症：头痛而胀，甚则头胀如裂，发热或恶风，面红目赤，口渴喜饮，大便不畅，或便秘，溲赤，舌尖红，苔薄黄，脉浮数。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病机概要：风热外袭，上扰清空，窍络失和。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治法：疏风清热和络。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代表方剂：芎芷石膏汤加减。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常用药物：菊花、桑叶、薄荷、蔓荆子、川芎、白芷、羌活、生石膏等。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3．风湿头痛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主症：头痛如裹，肢体困重，胸闷纳呆，大便或溏，苔白腻，脉濡。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病机概要：风湿之邪，上蒙头窍，困遏清阳。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治法：祛风胜湿通窍。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代表方剂：羌活胜湿汤加减。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常用药物：羌活、独活、藁本、白芷、防风、细辛、蔓荆子、川芎等。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(二)内伤头痛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1．肝阳头痛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主症：头昏胀痛，两侧为重，心烦易怒，夜寐不宁，口苦面红，或兼胁痛，舌红苔黄，脉弦数。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病机概要：肝失条达，气郁化火，阳亢风动。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治法：平肝潜阳息风。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代表方剂：天麻钩藤饮加减。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常用药物：天麻、钩藤、石决明、山栀、黄芩、丹皮、桑寄生、杜仲、牛膝、益母草、白芍、夜交藤等。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</w:p>
    <w:p>
      <w:pPr>
        <w:pStyle w:val="Normal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2．血虚头痛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主症：头痛隐隐，时时昏晕，心悸失眠，面色少华，神疲乏力，遇劳加重，舌质淡，苔薄白，脉细弱。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病机概要：气血不足，不能上荣，窍络失养。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治法：养血滋阴，和络止痛。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代表方剂：加味四物汤加减。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常用药物：当归、生地、白芍、首乌、川芎、菊花、蔓荆子、五味子、远志、枣仁等。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3．痰浊头痛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主症：头痛昏蒙，胸脘满闷，纳呆呕恶，舌苔白腻，脉滑或弦滑。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病机概要：脾失健运，痰浊中阻，上蒙清窍。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治法：健脾燥湿，化痰降逆。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代表方剂：半夏白术天麻汤加减。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常用药物：半夏、陈皮、白术、茯苓、天麻、白蒺藜、蔓荆子等。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4．肾虚头痛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主症：头痛且空，眩晕耳鸣，腰膝酸软，神疲乏力，滑精带下，舌红少苔，脉细无力。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病机概要：肾精亏虚，髓海不足，脑窍失荣。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治法：养阴补肾，填精生髓。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代表方剂：大补元煎加减。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常用药物：熟地、枸杞、女贞子、杜仲、川断、龟板、山萸肉、山药、人参、当归、白芍等。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5．瘀血头痛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主症：头痛经久不愈，痛处固定不移，痛如锥刺，或有头部外伤史，舌紫暗，或有瘀斑、瘀点，苔薄白，脉细或细涩。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病机概要：瘀血阻窍，络脉滞涩，不通则痛。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治法：活血化瘀，通窍止痛。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代表方剂：通窍活血汤加减。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常用药物：川芎、赤芍、桃仁、益母草、当归、白芷、细辛等。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【预防与调护】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1．头痛患者宜注意休息，保持环境安静，光线不宜过强。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2．外感头痛由于外邪侵袭所致，故平时当顺应四时变化，寒温适宜，起居定时，参加体育锻炼，以增强体质，抵御外邪侵袭。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．内伤所致者，宜情绪舒畅，避免精神刺激，注意休息。肝阳上亢者，禁食肥甘厚腻、辛辣发物，以免生热动风，而加重病情。肝火头痛者，可用冷毛巾敷头部。因痰浊所致者，饮食宜清淡，勿进肥甘之品，以免助湿生痰。精血亏虚者，应加强饮食调理，多食脊髓、牛。乳、蜂乳等血肉有情之品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4．各类头痛患者均应禁烟戒酒。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5．尚可选择合适的头部保健按摩法，以疏通经脉，调畅气血，防止头痛发生。</w:t>
      </w:r>
    </w:p>
    <w:p>
      <w:pPr>
        <w:pStyle w:val="Normal5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5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5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7.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https://d.book118.com/128063015143006037</w:t>
        </w:r>
      </w:hyperlink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sectPr>
      <w:headerReference w:type="even" r:id="rId25"/>
      <w:headerReference w:type="first" r:id="rId26"/>
      <w:type w:val="nextPage"/>
      <w:pgSz w:w="11906" w:h="16838"/>
      <w:pgMar w:top="720" w:right="720" w:bottom="720" w:left="72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083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185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878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980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45C1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2C588C"/>
    <w:rsid w:val="00312482"/>
    <w:rsid w:val="00324AE3"/>
    <w:rsid w:val="003326E6"/>
    <w:rsid w:val="003B1539"/>
    <w:rsid w:val="003D4D8E"/>
    <w:rsid w:val="003E4B8D"/>
    <w:rsid w:val="003F520C"/>
    <w:rsid w:val="0042574A"/>
    <w:rsid w:val="0044229D"/>
    <w:rsid w:val="004647EE"/>
    <w:rsid w:val="004B57E7"/>
    <w:rsid w:val="004C0772"/>
    <w:rsid w:val="004C2504"/>
    <w:rsid w:val="004C290A"/>
    <w:rsid w:val="004F36F1"/>
    <w:rsid w:val="00506A01"/>
    <w:rsid w:val="005073F4"/>
    <w:rsid w:val="00542969"/>
    <w:rsid w:val="0054555E"/>
    <w:rsid w:val="005506DD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81DDB"/>
    <w:rsid w:val="009D3948"/>
    <w:rsid w:val="009E2F0E"/>
    <w:rsid w:val="00A15098"/>
    <w:rsid w:val="00A1583F"/>
    <w:rsid w:val="00A23706"/>
    <w:rsid w:val="00A378B7"/>
    <w:rsid w:val="00A43E68"/>
    <w:rsid w:val="00A44168"/>
    <w:rsid w:val="00A51137"/>
    <w:rsid w:val="00B11CCC"/>
    <w:rsid w:val="00B23199"/>
    <w:rsid w:val="00B25C83"/>
    <w:rsid w:val="00B46FB6"/>
    <w:rsid w:val="00B755B8"/>
    <w:rsid w:val="00BB3426"/>
    <w:rsid w:val="00BD654E"/>
    <w:rsid w:val="00BF116D"/>
    <w:rsid w:val="00C54050"/>
    <w:rsid w:val="00C604E4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31455B31"/>
    <w:rsid w:val="7C9F63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header" Target="header9.xml" /><Relationship Id="rId15" Type="http://schemas.openxmlformats.org/officeDocument/2006/relationships/header" Target="header10.xml" /><Relationship Id="rId16" Type="http://schemas.openxmlformats.org/officeDocument/2006/relationships/header" Target="header11.xml" /><Relationship Id="rId17" Type="http://schemas.openxmlformats.org/officeDocument/2006/relationships/header" Target="header12.xml" /><Relationship Id="rId18" Type="http://schemas.openxmlformats.org/officeDocument/2006/relationships/header" Target="header13.xml" /><Relationship Id="rId19" Type="http://schemas.openxmlformats.org/officeDocument/2006/relationships/header" Target="header14.xml" /><Relationship Id="rId2" Type="http://schemas.openxmlformats.org/officeDocument/2006/relationships/webSettings" Target="webSettings.xml" /><Relationship Id="rId20" Type="http://schemas.openxmlformats.org/officeDocument/2006/relationships/header" Target="header15.xml" /><Relationship Id="rId21" Type="http://schemas.openxmlformats.org/officeDocument/2006/relationships/header" Target="header16.xml" /><Relationship Id="rId22" Type="http://schemas.openxmlformats.org/officeDocument/2006/relationships/header" Target="header17.xml" /><Relationship Id="rId23" Type="http://schemas.openxmlformats.org/officeDocument/2006/relationships/header" Target="header18.xml" /><Relationship Id="rId24" Type="http://schemas.openxmlformats.org/officeDocument/2006/relationships/hyperlink" Target="https://d.book118.com/128063015143006037" TargetMode="External" /><Relationship Id="rId25" Type="http://schemas.openxmlformats.org/officeDocument/2006/relationships/header" Target="header19.xml" /><Relationship Id="rId26" Type="http://schemas.openxmlformats.org/officeDocument/2006/relationships/header" Target="header20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F47846-3D92-4504-93FE-BF2FDE17BF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75</cp:revision>
  <dcterms:created xsi:type="dcterms:W3CDTF">2022-04-20T07:15:00Z</dcterms:created>
  <dcterms:modified xsi:type="dcterms:W3CDTF">2023-06-23T00:24:54Z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