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156" w:beforeLines="50" w:after="156" w:afterLines="50"/>
        <w:jc w:val="center"/>
        <w:rPr>
          <w:rFonts w:eastAsia="黑体"/>
          <w:sz w:val="30"/>
        </w:rPr>
      </w:pPr>
      <w:r>
        <w:rPr>
          <w:rFonts w:eastAsia="黑体" w:hint="eastAsia"/>
          <w:sz w:val="30"/>
        </w:rPr>
        <w:t>任务书</w:t>
      </w:r>
    </w:p>
    <w:tbl>
      <w:tblPr>
        <w:tblStyle w:val="TableNormal"/>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188"/>
        <w:gridCol w:w="1440"/>
        <w:gridCol w:w="900"/>
        <w:gridCol w:w="2340"/>
        <w:gridCol w:w="1260"/>
        <w:gridCol w:w="2511"/>
      </w:tblGrid>
      <w:tr>
        <w:tblPrEx>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612"/>
        </w:trPr>
        <w:tc>
          <w:tcPr>
            <w:tcW w:w="1188" w:type="dxa"/>
            <w:vAlign w:val="center"/>
          </w:tcPr>
          <w:p>
            <w:pPr>
              <w:jc w:val="center"/>
            </w:pPr>
            <w:r>
              <w:rPr>
                <w:rFonts w:hint="eastAsia"/>
              </w:rPr>
              <w:t>学生姓名</w:t>
            </w:r>
          </w:p>
        </w:tc>
        <w:tc>
          <w:tcPr>
            <w:tcW w:w="1440" w:type="dxa"/>
            <w:vAlign w:val="center"/>
          </w:tcPr>
          <w:p>
            <w:pPr>
              <w:jc w:val="center"/>
            </w:pPr>
          </w:p>
        </w:tc>
        <w:tc>
          <w:tcPr>
            <w:tcW w:w="900" w:type="dxa"/>
            <w:vAlign w:val="center"/>
          </w:tcPr>
          <w:p>
            <w:pPr>
              <w:jc w:val="center"/>
            </w:pPr>
            <w:r>
              <w:rPr>
                <w:rFonts w:hint="eastAsia"/>
              </w:rPr>
              <w:t>学  号</w:t>
            </w:r>
          </w:p>
        </w:tc>
        <w:tc>
          <w:tcPr>
            <w:tcW w:w="2340" w:type="dxa"/>
            <w:vAlign w:val="center"/>
          </w:tcPr>
          <w:p>
            <w:pPr>
              <w:jc w:val="center"/>
              <w:rPr>
                <w:rFonts w:ascii="宋体" w:hAnsi="宋体"/>
              </w:rPr>
            </w:pPr>
          </w:p>
        </w:tc>
        <w:tc>
          <w:tcPr>
            <w:tcW w:w="1260" w:type="dxa"/>
            <w:vAlign w:val="center"/>
          </w:tcPr>
          <w:p>
            <w:pPr>
              <w:jc w:val="center"/>
            </w:pPr>
            <w:r>
              <w:rPr>
                <w:rFonts w:hint="eastAsia"/>
              </w:rPr>
              <w:t>专业班级</w:t>
            </w:r>
          </w:p>
        </w:tc>
        <w:tc>
          <w:tcPr>
            <w:tcW w:w="2511" w:type="dxa"/>
            <w:vAlign w:val="center"/>
          </w:tcPr>
          <w:p>
            <w:pPr>
              <w:jc w:val="center"/>
              <w:rPr>
                <w:color w:val="000000"/>
              </w:rPr>
            </w:pPr>
          </w:p>
        </w:tc>
      </w:tr>
      <w:tr>
        <w:tblPrEx>
          <w:tblW w:w="9639" w:type="dxa"/>
          <w:tblInd w:w="0" w:type="dxa"/>
          <w:tblCellMar>
            <w:top w:w="0" w:type="dxa"/>
            <w:left w:w="108" w:type="dxa"/>
            <w:bottom w:w="0" w:type="dxa"/>
            <w:right w:w="108" w:type="dxa"/>
          </w:tblCellMar>
        </w:tblPrEx>
        <w:trPr>
          <w:trHeight w:val="617"/>
        </w:trPr>
        <w:tc>
          <w:tcPr>
            <w:tcW w:w="1188" w:type="dxa"/>
            <w:vAlign w:val="center"/>
          </w:tcPr>
          <w:p>
            <w:pPr>
              <w:jc w:val="center"/>
            </w:pPr>
            <w:r>
              <w:rPr>
                <w:rFonts w:hint="eastAsia"/>
              </w:rPr>
              <w:t>指导教师</w:t>
            </w:r>
          </w:p>
        </w:tc>
        <w:tc>
          <w:tcPr>
            <w:tcW w:w="1440" w:type="dxa"/>
            <w:vAlign w:val="center"/>
          </w:tcPr>
          <w:p>
            <w:pPr>
              <w:jc w:val="center"/>
              <w:rPr>
                <w:color w:val="000000"/>
              </w:rPr>
            </w:pPr>
          </w:p>
        </w:tc>
        <w:tc>
          <w:tcPr>
            <w:tcW w:w="900" w:type="dxa"/>
            <w:vAlign w:val="center"/>
          </w:tcPr>
          <w:p>
            <w:pPr>
              <w:jc w:val="center"/>
            </w:pPr>
            <w:r>
              <w:rPr>
                <w:rFonts w:hint="eastAsia"/>
              </w:rPr>
              <w:t>职  称</w:t>
            </w:r>
          </w:p>
        </w:tc>
        <w:tc>
          <w:tcPr>
            <w:tcW w:w="2340" w:type="dxa"/>
            <w:vAlign w:val="center"/>
          </w:tcPr>
          <w:p>
            <w:pPr>
              <w:jc w:val="center"/>
            </w:pPr>
          </w:p>
        </w:tc>
        <w:tc>
          <w:tcPr>
            <w:tcW w:w="1260" w:type="dxa"/>
            <w:vAlign w:val="center"/>
          </w:tcPr>
          <w:p>
            <w:pPr>
              <w:jc w:val="center"/>
            </w:pPr>
            <w:r>
              <w:rPr>
                <w:rFonts w:hint="eastAsia"/>
              </w:rPr>
              <w:t>单  位</w:t>
            </w:r>
          </w:p>
        </w:tc>
        <w:tc>
          <w:tcPr>
            <w:tcW w:w="2511" w:type="dxa"/>
            <w:vAlign w:val="center"/>
          </w:tcPr>
          <w:p>
            <w:pPr>
              <w:jc w:val="center"/>
            </w:pPr>
          </w:p>
        </w:tc>
      </w:tr>
      <w:tr>
        <w:tblPrEx>
          <w:tblW w:w="9639" w:type="dxa"/>
          <w:tblInd w:w="0" w:type="dxa"/>
          <w:tblCellMar>
            <w:top w:w="0" w:type="dxa"/>
            <w:left w:w="108" w:type="dxa"/>
            <w:bottom w:w="0" w:type="dxa"/>
            <w:right w:w="108" w:type="dxa"/>
          </w:tblCellMar>
        </w:tblPrEx>
        <w:trPr>
          <w:trHeight w:val="920"/>
        </w:trPr>
        <w:tc>
          <w:tcPr>
            <w:tcW w:w="1188" w:type="dxa"/>
            <w:vAlign w:val="center"/>
          </w:tcPr>
          <w:p>
            <w:pPr>
              <w:jc w:val="center"/>
            </w:pPr>
            <w:r>
              <w:rPr>
                <w:rFonts w:hint="eastAsia"/>
              </w:rPr>
              <w:t>毕业论文题目</w:t>
            </w:r>
          </w:p>
        </w:tc>
        <w:tc>
          <w:tcPr>
            <w:tcW w:w="8451" w:type="dxa"/>
            <w:gridSpan w:val="5"/>
            <w:vAlign w:val="center"/>
          </w:tcPr>
          <w:p>
            <w:pPr>
              <w:jc w:val="center"/>
              <w:rPr>
                <w:rFonts w:ascii="宋体" w:hAnsi="宋体"/>
                <w:color w:val="000000"/>
              </w:rPr>
            </w:pPr>
            <w:bookmarkStart w:id="0" w:name="_GoBack"/>
            <w:r>
              <w:rPr>
                <w:rFonts w:ascii="宋体" w:hAnsi="宋体" w:hint="eastAsia"/>
                <w:b/>
                <w:bCs/>
                <w:color w:val="000000"/>
                <w:szCs w:val="21"/>
              </w:rPr>
              <w:t>T公司应收账款管理研究</w:t>
            </w:r>
            <w:bookmarkEnd w:id="0"/>
          </w:p>
        </w:tc>
      </w:tr>
      <w:tr>
        <w:tblPrEx>
          <w:tblW w:w="9639" w:type="dxa"/>
          <w:tblInd w:w="0" w:type="dxa"/>
          <w:tblCellMar>
            <w:top w:w="0" w:type="dxa"/>
            <w:left w:w="108" w:type="dxa"/>
            <w:bottom w:w="0" w:type="dxa"/>
            <w:right w:w="108" w:type="dxa"/>
          </w:tblCellMar>
        </w:tblPrEx>
        <w:tc>
          <w:tcPr>
            <w:tcW w:w="9639" w:type="dxa"/>
            <w:gridSpan w:val="6"/>
          </w:tcPr>
          <w:p>
            <w:pPr>
              <w:spacing w:before="156" w:beforeLines="50" w:line="360" w:lineRule="auto"/>
              <w:rPr>
                <w:b/>
                <w:bCs/>
              </w:rPr>
            </w:pPr>
            <w:r>
              <w:rPr>
                <w:rFonts w:hint="eastAsia"/>
                <w:b/>
                <w:bCs/>
              </w:rPr>
              <w:t>毕业论文主要内容和要求：</w:t>
            </w:r>
          </w:p>
          <w:p>
            <w:pPr>
              <w:spacing w:line="360" w:lineRule="exact"/>
              <w:ind w:firstLine="412" w:firstLineChars="196"/>
              <w:rPr>
                <w:rFonts w:ascii="宋体" w:hAnsi="宋体"/>
                <w:szCs w:val="21"/>
              </w:rPr>
            </w:pPr>
            <w:r>
              <w:rPr>
                <w:rFonts w:hint="eastAsia"/>
                <w:b/>
                <w:szCs w:val="21"/>
              </w:rPr>
              <w:t>主要内容：</w:t>
            </w:r>
            <w:r>
              <w:rPr>
                <w:rFonts w:ascii="宋体" w:hAnsi="宋体" w:hint="eastAsia"/>
                <w:color w:val="000000"/>
                <w:szCs w:val="21"/>
              </w:rPr>
              <w:t>应收账款是企业采用赊销方式销售商品或劳务而应向顾客收取的款项，是企业营运资金管理的重要环节，在激烈竞争的市场经济中，应收账款管理直接影响企业营运资金的周转和经济效益，因此正确运用赊销，加强应收账款的管理显得非常重要。如何监控应收账款发生以及如何处理企业的不良债权等问题，已经成为我们企业管理中不容回避的一个重大课题。文章通过应收账款管理的理论分析和对T公司应收账款管理的现状、问题及成因的分析，以达到企业更高的销售和利润为目的，得出加强应收账款管理的建议和对策。</w:t>
            </w:r>
          </w:p>
          <w:p>
            <w:pPr>
              <w:spacing w:line="360" w:lineRule="exact"/>
              <w:ind w:firstLine="410" w:firstLineChars="195"/>
              <w:rPr>
                <w:szCs w:val="21"/>
              </w:rPr>
            </w:pPr>
            <w:r>
              <w:rPr>
                <w:rFonts w:hint="eastAsia"/>
                <w:b/>
                <w:szCs w:val="21"/>
              </w:rPr>
              <w:t>要求：</w:t>
            </w:r>
            <w:r>
              <w:rPr>
                <w:rFonts w:hint="eastAsia"/>
                <w:szCs w:val="21"/>
              </w:rPr>
              <w:t>论文撰写要求思路清晰、内容充实、论点明确，论据充分，论证严密，语言通顺。撰写论文前应首先阅读相关的研究资料，掌握学术前沿动态，对相关理论著作要很好的把握，提高理论水平及思想深度。根据开题报告和老师提出的意见对论文提纲进行修改，确定大纲后认真撰写毕业论文。撰写论文结束后要根据老师的修改意见，认真反复的修改论文，并按照要求参加毕业论文的答辩，严格按照论文进度安排进行论文的写作。</w:t>
            </w:r>
          </w:p>
          <w:p>
            <w:pPr>
              <w:spacing w:line="360" w:lineRule="exact"/>
              <w:ind w:firstLine="410" w:firstLineChars="195"/>
              <w:rPr>
                <w:szCs w:val="21"/>
              </w:rPr>
            </w:pPr>
          </w:p>
        </w:tc>
      </w:tr>
      <w:tr>
        <w:tblPrEx>
          <w:tblW w:w="9639" w:type="dxa"/>
          <w:tblInd w:w="0" w:type="dxa"/>
          <w:tblCellMar>
            <w:top w:w="0" w:type="dxa"/>
            <w:left w:w="108" w:type="dxa"/>
            <w:bottom w:w="0" w:type="dxa"/>
            <w:right w:w="108" w:type="dxa"/>
          </w:tblCellMar>
        </w:tblPrEx>
        <w:tc>
          <w:tcPr>
            <w:tcW w:w="9639" w:type="dxa"/>
            <w:gridSpan w:val="6"/>
          </w:tcPr>
          <w:p>
            <w:pPr>
              <w:spacing w:before="156" w:beforeLines="50" w:line="360" w:lineRule="auto"/>
              <w:rPr>
                <w:b/>
                <w:bCs/>
              </w:rPr>
            </w:pPr>
            <w:r>
              <w:rPr>
                <w:rFonts w:hint="eastAsia"/>
                <w:b/>
                <w:bCs/>
              </w:rPr>
              <w:t>毕业论文主要参考资料：</w:t>
            </w:r>
          </w:p>
          <w:p>
            <w:pPr>
              <w:widowControl/>
              <w:spacing w:line="360" w:lineRule="exact"/>
              <w:jc w:val="left"/>
              <w:rPr>
                <w:rFonts w:ascii="宋体" w:hAnsi="宋体"/>
                <w:color w:val="000000"/>
                <w:szCs w:val="21"/>
              </w:rPr>
            </w:pPr>
            <w:r>
              <w:rPr>
                <w:rFonts w:hint="eastAsia"/>
                <w:color w:val="000000"/>
                <w:szCs w:val="21"/>
              </w:rPr>
              <w:t xml:space="preserve">[1] </w:t>
            </w:r>
            <w:r>
              <w:rPr>
                <w:rFonts w:ascii="宋体" w:hAnsi="宋体" w:hint="eastAsia"/>
                <w:color w:val="000000"/>
                <w:szCs w:val="21"/>
              </w:rPr>
              <w:t xml:space="preserve"> 潘斌.企业应收账款管理现状分析</w:t>
            </w:r>
            <w:r>
              <w:rPr>
                <w:rFonts w:hint="eastAsia"/>
                <w:color w:val="000000"/>
                <w:szCs w:val="21"/>
              </w:rPr>
              <w:t>[J]</w:t>
            </w:r>
            <w:r>
              <w:rPr>
                <w:rFonts w:ascii="宋体" w:hAnsi="宋体" w:hint="eastAsia"/>
                <w:color w:val="000000"/>
                <w:szCs w:val="21"/>
              </w:rPr>
              <w:t>.财会通讯</w:t>
            </w:r>
            <w:r>
              <w:rPr>
                <w:rFonts w:hint="eastAsia"/>
                <w:color w:val="000000"/>
                <w:szCs w:val="21"/>
              </w:rPr>
              <w:t>,</w:t>
            </w:r>
            <w:r>
              <w:rPr>
                <w:color w:val="000000"/>
                <w:szCs w:val="21"/>
              </w:rPr>
              <w:t>2014,(2):65-68.</w:t>
            </w:r>
          </w:p>
          <w:p>
            <w:pPr>
              <w:widowControl/>
              <w:spacing w:line="360" w:lineRule="exact"/>
              <w:jc w:val="left"/>
              <w:rPr>
                <w:rFonts w:ascii="宋体" w:hAnsi="宋体"/>
                <w:color w:val="000000"/>
                <w:szCs w:val="21"/>
              </w:rPr>
            </w:pPr>
            <w:r>
              <w:rPr>
                <w:rFonts w:hint="eastAsia"/>
                <w:color w:val="000000"/>
                <w:szCs w:val="21"/>
              </w:rPr>
              <w:t xml:space="preserve">[2] </w:t>
            </w:r>
            <w:r>
              <w:rPr>
                <w:rFonts w:ascii="宋体" w:hAnsi="宋体" w:hint="eastAsia"/>
                <w:color w:val="000000"/>
                <w:szCs w:val="21"/>
              </w:rPr>
              <w:t xml:space="preserve"> 刘金燕.基于信用管理的A企业应收账款控制研究</w:t>
            </w:r>
            <w:r>
              <w:rPr>
                <w:rFonts w:hint="eastAsia"/>
                <w:color w:val="000000"/>
                <w:szCs w:val="21"/>
              </w:rPr>
              <w:t>[D]</w:t>
            </w:r>
            <w:r>
              <w:rPr>
                <w:rFonts w:ascii="宋体" w:hAnsi="宋体" w:hint="eastAsia"/>
                <w:color w:val="000000"/>
                <w:szCs w:val="21"/>
              </w:rPr>
              <w:t>.青岛理工大学</w:t>
            </w:r>
            <w:r>
              <w:rPr>
                <w:rFonts w:hint="eastAsia"/>
                <w:color w:val="000000"/>
                <w:szCs w:val="21"/>
              </w:rPr>
              <w:t>.2015.</w:t>
            </w:r>
          </w:p>
          <w:p>
            <w:pPr>
              <w:widowControl/>
              <w:spacing w:line="360" w:lineRule="exact"/>
              <w:jc w:val="left"/>
              <w:rPr>
                <w:rFonts w:ascii="宋体" w:hAnsi="宋体"/>
                <w:color w:val="000000"/>
                <w:szCs w:val="21"/>
              </w:rPr>
            </w:pPr>
            <w:r>
              <w:rPr>
                <w:rFonts w:hint="eastAsia"/>
                <w:color w:val="000000"/>
                <w:szCs w:val="21"/>
              </w:rPr>
              <w:t>[3]</w:t>
            </w:r>
            <w:r>
              <w:rPr>
                <w:rFonts w:ascii="宋体" w:hAnsi="宋体" w:hint="eastAsia"/>
                <w:color w:val="000000"/>
                <w:szCs w:val="21"/>
              </w:rPr>
              <w:t xml:space="preserve">  李晓兰.S公司应收账款管理研究</w:t>
            </w:r>
            <w:r>
              <w:rPr>
                <w:rFonts w:hint="eastAsia"/>
                <w:color w:val="000000"/>
                <w:szCs w:val="21"/>
              </w:rPr>
              <w:t>[D].</w:t>
            </w:r>
            <w:r>
              <w:rPr>
                <w:rFonts w:ascii="宋体" w:hAnsi="宋体" w:hint="eastAsia"/>
                <w:color w:val="000000"/>
                <w:szCs w:val="21"/>
              </w:rPr>
              <w:t xml:space="preserve"> 云南大学</w:t>
            </w:r>
            <w:r>
              <w:rPr>
                <w:rFonts w:hint="eastAsia"/>
                <w:color w:val="000000"/>
                <w:szCs w:val="21"/>
              </w:rPr>
              <w:t>.2015.</w:t>
            </w:r>
          </w:p>
          <w:p>
            <w:pPr>
              <w:widowControl/>
              <w:spacing w:line="360" w:lineRule="exact"/>
              <w:jc w:val="left"/>
              <w:rPr>
                <w:color w:val="000000"/>
                <w:szCs w:val="21"/>
              </w:rPr>
            </w:pPr>
            <w:r>
              <w:rPr>
                <w:rFonts w:hint="eastAsia"/>
                <w:color w:val="000000"/>
                <w:szCs w:val="21"/>
              </w:rPr>
              <w:t xml:space="preserve">[4] </w:t>
            </w:r>
            <w:r>
              <w:rPr>
                <w:rFonts w:ascii="宋体" w:hAnsi="宋体" w:hint="eastAsia"/>
                <w:color w:val="000000"/>
                <w:szCs w:val="21"/>
              </w:rPr>
              <w:t xml:space="preserve"> 杨晓岚.加强应收账款管理防范企业财务风险</w:t>
            </w:r>
            <w:r>
              <w:rPr>
                <w:rFonts w:hint="eastAsia"/>
                <w:color w:val="000000"/>
                <w:szCs w:val="21"/>
              </w:rPr>
              <w:t>[J].</w:t>
            </w:r>
            <w:r>
              <w:rPr>
                <w:rFonts w:ascii="宋体" w:hAnsi="宋体" w:hint="eastAsia"/>
                <w:color w:val="000000"/>
                <w:szCs w:val="21"/>
              </w:rPr>
              <w:t>中国商论</w:t>
            </w:r>
            <w:r>
              <w:rPr>
                <w:rFonts w:hint="eastAsia"/>
                <w:color w:val="000000"/>
                <w:szCs w:val="21"/>
              </w:rPr>
              <w:t>,2015,(25)：033-035.</w:t>
            </w:r>
          </w:p>
          <w:p>
            <w:pPr>
              <w:widowControl/>
              <w:spacing w:line="360" w:lineRule="exact"/>
              <w:jc w:val="left"/>
              <w:rPr>
                <w:rFonts w:ascii="宋体" w:hAnsi="宋体"/>
                <w:color w:val="000000"/>
                <w:szCs w:val="21"/>
              </w:rPr>
            </w:pPr>
            <w:r>
              <w:rPr>
                <w:rFonts w:hint="eastAsia"/>
                <w:color w:val="000000"/>
                <w:szCs w:val="21"/>
              </w:rPr>
              <w:t xml:space="preserve">[5] </w:t>
            </w:r>
            <w:r>
              <w:rPr>
                <w:rFonts w:ascii="宋体" w:hAnsi="宋体" w:hint="eastAsia"/>
                <w:color w:val="000000"/>
                <w:szCs w:val="21"/>
              </w:rPr>
              <w:t xml:space="preserve"> 张童.应收账款管理中的对策研究</w:t>
            </w:r>
            <w:r>
              <w:rPr>
                <w:rFonts w:hint="eastAsia"/>
                <w:color w:val="000000"/>
                <w:szCs w:val="21"/>
              </w:rPr>
              <w:t>[J].</w:t>
            </w:r>
            <w:r>
              <w:rPr>
                <w:rFonts w:ascii="宋体" w:hAnsi="宋体" w:hint="eastAsia"/>
                <w:color w:val="000000"/>
                <w:szCs w:val="21"/>
              </w:rPr>
              <w:t>财会学习</w:t>
            </w:r>
            <w:r>
              <w:rPr>
                <w:rFonts w:hint="eastAsia"/>
                <w:color w:val="000000"/>
                <w:szCs w:val="21"/>
              </w:rPr>
              <w:t>,2016,(10):70.</w:t>
            </w:r>
          </w:p>
          <w:p>
            <w:pPr>
              <w:widowControl/>
              <w:spacing w:line="360" w:lineRule="exact"/>
              <w:jc w:val="left"/>
              <w:rPr>
                <w:color w:val="000000"/>
                <w:szCs w:val="21"/>
              </w:rPr>
            </w:pPr>
            <w:r>
              <w:rPr>
                <w:rFonts w:hint="eastAsia"/>
                <w:color w:val="000000"/>
                <w:szCs w:val="21"/>
              </w:rPr>
              <w:t>[6]</w:t>
            </w:r>
            <w:r>
              <w:rPr>
                <w:rFonts w:ascii="宋体" w:hAnsi="宋体" w:hint="eastAsia"/>
                <w:color w:val="000000"/>
                <w:szCs w:val="21"/>
              </w:rPr>
              <w:t xml:space="preserve">  许艺强.浅谈如何加强企业应收账款管理</w:t>
            </w:r>
            <w:r>
              <w:rPr>
                <w:rFonts w:hint="eastAsia"/>
                <w:color w:val="000000"/>
                <w:szCs w:val="21"/>
              </w:rPr>
              <w:t>[J].</w:t>
            </w:r>
            <w:r>
              <w:rPr>
                <w:rFonts w:ascii="宋体" w:hAnsi="宋体" w:hint="eastAsia"/>
                <w:color w:val="000000"/>
                <w:szCs w:val="21"/>
              </w:rPr>
              <w:t>经营者</w:t>
            </w:r>
            <w:r>
              <w:rPr>
                <w:rFonts w:hint="eastAsia"/>
                <w:color w:val="000000"/>
                <w:szCs w:val="21"/>
              </w:rPr>
              <w:t>,2015,(11):161-162.</w:t>
            </w:r>
          </w:p>
          <w:p>
            <w:pPr>
              <w:widowControl/>
              <w:spacing w:line="360" w:lineRule="exact"/>
              <w:jc w:val="left"/>
              <w:rPr>
                <w:rFonts w:ascii="宋体" w:hAnsi="宋体"/>
                <w:color w:val="000000"/>
                <w:szCs w:val="21"/>
              </w:rPr>
            </w:pPr>
            <w:r>
              <w:rPr>
                <w:rFonts w:hint="eastAsia"/>
                <w:color w:val="000000"/>
                <w:szCs w:val="21"/>
              </w:rPr>
              <w:t xml:space="preserve">[7] </w:t>
            </w:r>
            <w:r>
              <w:rPr>
                <w:rFonts w:ascii="宋体" w:hAnsi="宋体" w:hint="eastAsia"/>
                <w:color w:val="000000"/>
                <w:szCs w:val="21"/>
              </w:rPr>
              <w:t xml:space="preserve"> 康煊. 应收账款管理研究</w:t>
            </w:r>
            <w:r>
              <w:rPr>
                <w:rFonts w:hint="eastAsia"/>
                <w:color w:val="000000"/>
                <w:szCs w:val="21"/>
              </w:rPr>
              <w:t xml:space="preserve">[D]. </w:t>
            </w:r>
            <w:r>
              <w:rPr>
                <w:rFonts w:ascii="宋体" w:hAnsi="宋体" w:hint="eastAsia"/>
                <w:color w:val="000000"/>
                <w:szCs w:val="21"/>
              </w:rPr>
              <w:t>首都经济贸易大学</w:t>
            </w:r>
            <w:r>
              <w:rPr>
                <w:rFonts w:hint="eastAsia"/>
                <w:color w:val="000000"/>
                <w:szCs w:val="21"/>
              </w:rPr>
              <w:t>.2014.</w:t>
            </w:r>
          </w:p>
          <w:p>
            <w:pPr>
              <w:widowControl/>
              <w:spacing w:line="360" w:lineRule="exact"/>
              <w:jc w:val="left"/>
              <w:rPr>
                <w:rFonts w:ascii="宋体" w:hAnsi="宋体"/>
                <w:color w:val="000000"/>
                <w:szCs w:val="21"/>
              </w:rPr>
            </w:pPr>
            <w:r>
              <w:rPr>
                <w:rFonts w:hint="eastAsia"/>
                <w:color w:val="000000"/>
                <w:szCs w:val="21"/>
              </w:rPr>
              <w:t>[8]</w:t>
            </w:r>
            <w:r>
              <w:rPr>
                <w:rFonts w:ascii="宋体" w:hAnsi="宋体" w:hint="eastAsia"/>
                <w:color w:val="000000"/>
                <w:szCs w:val="21"/>
              </w:rPr>
              <w:t xml:space="preserve">  王奥.中小企业应收账款管理的问题及对策研究</w:t>
            </w:r>
            <w:r>
              <w:rPr>
                <w:rFonts w:hint="eastAsia"/>
                <w:color w:val="000000"/>
                <w:szCs w:val="21"/>
              </w:rPr>
              <w:t>[J].</w:t>
            </w:r>
            <w:r>
              <w:rPr>
                <w:rFonts w:ascii="宋体" w:hAnsi="宋体" w:hint="eastAsia"/>
                <w:color w:val="000000"/>
                <w:szCs w:val="21"/>
              </w:rPr>
              <w:t>品牌</w:t>
            </w:r>
            <w:r>
              <w:rPr>
                <w:rFonts w:hint="eastAsia"/>
                <w:color w:val="000000"/>
                <w:szCs w:val="21"/>
              </w:rPr>
              <w:t>,2015,(1):95-96.</w:t>
            </w:r>
          </w:p>
          <w:p>
            <w:pPr>
              <w:widowControl/>
              <w:spacing w:line="360" w:lineRule="exact"/>
              <w:jc w:val="left"/>
              <w:rPr>
                <w:rFonts w:ascii="宋体" w:hAnsi="宋体"/>
                <w:color w:val="000000"/>
                <w:szCs w:val="21"/>
              </w:rPr>
            </w:pPr>
            <w:r>
              <w:rPr>
                <w:rFonts w:hint="eastAsia"/>
                <w:color w:val="000000"/>
                <w:szCs w:val="21"/>
              </w:rPr>
              <w:t>[9]</w:t>
            </w:r>
            <w:r>
              <w:rPr>
                <w:rFonts w:ascii="宋体" w:hAnsi="宋体" w:hint="eastAsia"/>
                <w:color w:val="000000"/>
                <w:szCs w:val="21"/>
              </w:rPr>
              <w:t xml:space="preserve">  国燕萍,郭黎. 中小企业应收账款管理策略</w:t>
            </w:r>
            <w:r>
              <w:rPr>
                <w:rFonts w:hint="eastAsia"/>
                <w:color w:val="000000"/>
                <w:szCs w:val="21"/>
              </w:rPr>
              <w:t>[J].</w:t>
            </w:r>
            <w:r>
              <w:rPr>
                <w:rFonts w:ascii="宋体" w:hAnsi="宋体" w:hint="eastAsia"/>
                <w:color w:val="000000"/>
                <w:szCs w:val="21"/>
              </w:rPr>
              <w:t>财会月刊</w:t>
            </w:r>
            <w:r>
              <w:rPr>
                <w:rFonts w:hint="eastAsia"/>
                <w:color w:val="000000"/>
                <w:szCs w:val="21"/>
              </w:rPr>
              <w:t>,2013,(7):87-88.</w:t>
            </w:r>
          </w:p>
          <w:p>
            <w:pPr>
              <w:widowControl/>
              <w:spacing w:line="360" w:lineRule="exact"/>
              <w:jc w:val="left"/>
              <w:rPr>
                <w:rFonts w:ascii="宋体" w:hAnsi="宋体"/>
                <w:color w:val="000000"/>
                <w:szCs w:val="21"/>
              </w:rPr>
            </w:pPr>
            <w:r>
              <w:rPr>
                <w:rFonts w:hint="eastAsia"/>
                <w:color w:val="000000"/>
                <w:szCs w:val="21"/>
              </w:rPr>
              <w:t>[10]</w:t>
            </w:r>
            <w:r>
              <w:rPr>
                <w:rFonts w:ascii="宋体" w:hAnsi="宋体" w:hint="eastAsia"/>
                <w:color w:val="000000"/>
                <w:szCs w:val="21"/>
              </w:rPr>
              <w:t xml:space="preserve"> 王艳红.中小企业如何加强应收账款管理</w:t>
            </w:r>
            <w:r>
              <w:rPr>
                <w:rFonts w:hint="eastAsia"/>
                <w:color w:val="000000"/>
                <w:szCs w:val="21"/>
              </w:rPr>
              <w:t>[J].</w:t>
            </w:r>
            <w:r>
              <w:rPr>
                <w:rFonts w:ascii="宋体" w:hAnsi="宋体" w:hint="eastAsia"/>
                <w:color w:val="000000"/>
                <w:szCs w:val="21"/>
              </w:rPr>
              <w:t>经营者</w:t>
            </w:r>
            <w:r>
              <w:rPr>
                <w:rFonts w:hint="eastAsia"/>
                <w:color w:val="000000"/>
                <w:szCs w:val="21"/>
              </w:rPr>
              <w:t>,2015,(2):92-93.</w:t>
            </w:r>
          </w:p>
          <w:p>
            <w:pPr>
              <w:widowControl/>
              <w:spacing w:line="360" w:lineRule="exact"/>
              <w:jc w:val="left"/>
              <w:rPr>
                <w:rFonts w:ascii="宋体" w:hAnsi="宋体"/>
                <w:color w:val="000000"/>
                <w:szCs w:val="21"/>
              </w:rPr>
            </w:pPr>
            <w:r>
              <w:rPr>
                <w:rFonts w:hint="eastAsia"/>
                <w:color w:val="000000"/>
                <w:szCs w:val="21"/>
              </w:rPr>
              <w:t>[11</w:t>
            </w:r>
            <w:r>
              <w:rPr>
                <w:color w:val="000000"/>
                <w:szCs w:val="21"/>
              </w:rPr>
              <w:t>] Eleonora Kontuš Economic Thought and Practice.Management of Accounts Receivable in a Company [J].Hrcak.2013</w:t>
            </w:r>
            <w:r>
              <w:rPr>
                <w:rFonts w:hint="eastAsia"/>
                <w:color w:val="000000"/>
                <w:szCs w:val="21"/>
              </w:rPr>
              <w:t>,</w:t>
            </w:r>
            <w:r>
              <w:rPr>
                <w:color w:val="000000"/>
                <w:szCs w:val="21"/>
              </w:rPr>
              <w:t>(5):35-36.</w:t>
            </w:r>
          </w:p>
        </w:tc>
      </w:tr>
    </w:tbl>
    <w:p>
      <w:pPr>
        <w:sectPr>
          <w:pgSz w:w="11906" w:h="16838"/>
          <w:pgMar w:top="1418" w:right="1134" w:bottom="1418" w:left="1418" w:header="851" w:footer="851" w:gutter="0"/>
          <w:cols w:num="1" w:space="425"/>
          <w:docGrid w:type="lines" w:linePitch="312" w:charSpace="0"/>
        </w:sectPr>
      </w:pPr>
    </w:p>
    <w:tbl>
      <w:tblPr>
        <w:tblStyle w:val="TableNormal"/>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648"/>
        <w:gridCol w:w="4320"/>
        <w:gridCol w:w="2520"/>
        <w:gridCol w:w="2151"/>
      </w:tblGrid>
      <w:tr>
        <w:tblPrEx>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3583"/>
        </w:trPr>
        <w:tc>
          <w:tcPr>
            <w:tcW w:w="9639" w:type="dxa"/>
            <w:gridSpan w:val="4"/>
          </w:tcPr>
          <w:p>
            <w:pPr>
              <w:spacing w:before="156" w:beforeLines="50"/>
              <w:rPr>
                <w:b/>
                <w:bCs/>
              </w:rPr>
            </w:pPr>
          </w:p>
          <w:p>
            <w:pPr>
              <w:spacing w:before="156" w:beforeLines="50"/>
              <w:rPr>
                <w:b/>
                <w:bCs/>
              </w:rPr>
            </w:pPr>
            <w:r>
              <w:rPr>
                <w:rFonts w:hint="eastAsia"/>
                <w:b/>
                <w:bCs/>
              </w:rPr>
              <w:t>毕业论文应完成的主要工作：</w:t>
            </w:r>
          </w:p>
          <w:p>
            <w:pPr>
              <w:numPr>
                <w:ilvl w:val="0"/>
                <w:numId w:val="1"/>
              </w:numPr>
              <w:spacing w:line="360" w:lineRule="exact"/>
              <w:ind w:left="357" w:hanging="357"/>
              <w:rPr>
                <w:bCs/>
              </w:rPr>
            </w:pPr>
            <w:r>
              <w:rPr>
                <w:rFonts w:hint="eastAsia"/>
                <w:bCs/>
              </w:rPr>
              <w:t>利用中国知网、维普、万方等数据库完成与毕业论文相关内容的论文的检索；利用图书馆的图书资源查阅相关的理论内容；充分的利用互联网进行资料的检索收集。</w:t>
            </w:r>
          </w:p>
          <w:p>
            <w:pPr>
              <w:numPr>
                <w:ilvl w:val="0"/>
                <w:numId w:val="1"/>
              </w:numPr>
              <w:spacing w:line="360" w:lineRule="exact"/>
              <w:ind w:left="357" w:hanging="357"/>
              <w:rPr>
                <w:b/>
                <w:bCs/>
                <w:color w:val="FF0000"/>
              </w:rPr>
            </w:pPr>
            <w:r>
              <w:rPr>
                <w:rFonts w:hint="eastAsia"/>
                <w:bCs/>
              </w:rPr>
              <w:t>与实习相关的选题要注意在实习过程中观察收集相关的数据；要做实证方面的论文要多方面搜集相关的地区及国家发布的统计数据。</w:t>
            </w:r>
          </w:p>
          <w:p>
            <w:pPr>
              <w:numPr>
                <w:ilvl w:val="0"/>
                <w:numId w:val="1"/>
              </w:numPr>
              <w:spacing w:line="360" w:lineRule="exact"/>
              <w:ind w:left="357" w:hanging="357"/>
              <w:rPr>
                <w:bCs/>
              </w:rPr>
            </w:pPr>
            <w:r>
              <w:rPr>
                <w:rFonts w:hint="eastAsia"/>
                <w:bCs/>
              </w:rPr>
              <w:t>认真撰写开题报告，并对开题报告中指导教师所提出的意见进行修改。</w:t>
            </w:r>
          </w:p>
          <w:p>
            <w:pPr>
              <w:numPr>
                <w:ilvl w:val="0"/>
                <w:numId w:val="1"/>
              </w:numPr>
              <w:spacing w:line="360" w:lineRule="exact"/>
              <w:ind w:left="357" w:hanging="357"/>
              <w:rPr>
                <w:bCs/>
              </w:rPr>
            </w:pPr>
            <w:r>
              <w:rPr>
                <w:rFonts w:hint="eastAsia"/>
                <w:bCs/>
              </w:rPr>
              <w:t>认真撰写论文，并根据指导教师的意见进行修改。</w:t>
            </w:r>
          </w:p>
          <w:p>
            <w:pPr>
              <w:numPr>
                <w:ilvl w:val="0"/>
                <w:numId w:val="1"/>
              </w:numPr>
              <w:spacing w:line="360" w:lineRule="exact"/>
              <w:ind w:left="357" w:hanging="357"/>
              <w:rPr>
                <w:b/>
                <w:bCs/>
              </w:rPr>
            </w:pPr>
            <w:r>
              <w:rPr>
                <w:rFonts w:hint="eastAsia"/>
                <w:bCs/>
              </w:rPr>
              <w:t>论文定稿之后，按照要求进行毕业论文的答辩。</w:t>
            </w:r>
          </w:p>
          <w:p>
            <w:pPr>
              <w:spacing w:before="156" w:beforeLines="50"/>
              <w:rPr>
                <w:b/>
                <w:bCs/>
              </w:rPr>
            </w:pPr>
          </w:p>
          <w:p>
            <w:pPr>
              <w:spacing w:before="156" w:beforeLines="50"/>
              <w:rPr>
                <w:b/>
                <w:bCs/>
              </w:rPr>
            </w:pPr>
          </w:p>
        </w:tc>
      </w:tr>
      <w:tr>
        <w:tblPrEx>
          <w:tblW w:w="9639" w:type="dxa"/>
          <w:tblInd w:w="0" w:type="dxa"/>
          <w:tblCellMar>
            <w:top w:w="0" w:type="dxa"/>
            <w:left w:w="108" w:type="dxa"/>
            <w:bottom w:w="0" w:type="dxa"/>
            <w:right w:w="108" w:type="dxa"/>
          </w:tblCellMar>
        </w:tblPrEx>
        <w:trPr>
          <w:trHeight w:val="641"/>
        </w:trPr>
        <w:tc>
          <w:tcPr>
            <w:tcW w:w="9639" w:type="dxa"/>
            <w:gridSpan w:val="4"/>
          </w:tcPr>
          <w:p>
            <w:pPr>
              <w:spacing w:before="156" w:beforeLines="50"/>
              <w:rPr>
                <w:b/>
                <w:bCs/>
              </w:rPr>
            </w:pPr>
            <w:r>
              <w:rPr>
                <w:rFonts w:hint="eastAsia"/>
                <w:b/>
                <w:bCs/>
              </w:rPr>
              <w:t>毕业论文进度安排：</w:t>
            </w:r>
          </w:p>
        </w:tc>
      </w:tr>
      <w:tr>
        <w:tblPrEx>
          <w:tblW w:w="9639" w:type="dxa"/>
          <w:tblInd w:w="0" w:type="dxa"/>
          <w:tblCellMar>
            <w:top w:w="0" w:type="dxa"/>
            <w:left w:w="108" w:type="dxa"/>
            <w:bottom w:w="0" w:type="dxa"/>
            <w:right w:w="108" w:type="dxa"/>
          </w:tblCellMar>
        </w:tblPrEx>
        <w:trPr>
          <w:trHeight w:val="586"/>
        </w:trPr>
        <w:tc>
          <w:tcPr>
            <w:tcW w:w="648" w:type="dxa"/>
            <w:vAlign w:val="center"/>
          </w:tcPr>
          <w:p>
            <w:pPr>
              <w:spacing w:before="156" w:beforeLines="50"/>
              <w:jc w:val="center"/>
              <w:rPr>
                <w:b/>
                <w:bCs/>
              </w:rPr>
            </w:pPr>
            <w:r>
              <w:rPr>
                <w:rFonts w:hint="eastAsia"/>
                <w:b/>
                <w:bCs/>
              </w:rPr>
              <w:t>序号</w:t>
            </w:r>
          </w:p>
        </w:tc>
        <w:tc>
          <w:tcPr>
            <w:tcW w:w="4320" w:type="dxa"/>
            <w:vAlign w:val="center"/>
          </w:tcPr>
          <w:p>
            <w:pPr>
              <w:spacing w:before="156" w:beforeLines="50"/>
              <w:jc w:val="center"/>
              <w:rPr>
                <w:b/>
                <w:bCs/>
              </w:rPr>
            </w:pPr>
            <w:r>
              <w:rPr>
                <w:rFonts w:hint="eastAsia"/>
                <w:b/>
                <w:bCs/>
              </w:rPr>
              <w:t>毕业论文各阶段内容</w:t>
            </w:r>
          </w:p>
        </w:tc>
        <w:tc>
          <w:tcPr>
            <w:tcW w:w="2520" w:type="dxa"/>
            <w:vAlign w:val="center"/>
          </w:tcPr>
          <w:p>
            <w:pPr>
              <w:spacing w:before="156" w:beforeLines="50"/>
              <w:jc w:val="center"/>
              <w:rPr>
                <w:b/>
                <w:bCs/>
              </w:rPr>
            </w:pPr>
            <w:r>
              <w:rPr>
                <w:rFonts w:hint="eastAsia"/>
                <w:b/>
                <w:bCs/>
              </w:rPr>
              <w:t>时间安排</w:t>
            </w:r>
          </w:p>
        </w:tc>
        <w:tc>
          <w:tcPr>
            <w:tcW w:w="2151" w:type="dxa"/>
            <w:vAlign w:val="center"/>
          </w:tcPr>
          <w:p>
            <w:pPr>
              <w:spacing w:before="156" w:beforeLines="50"/>
              <w:jc w:val="center"/>
              <w:rPr>
                <w:b/>
                <w:bCs/>
              </w:rPr>
            </w:pPr>
            <w:r>
              <w:rPr>
                <w:rFonts w:hint="eastAsia"/>
                <w:b/>
                <w:bCs/>
              </w:rPr>
              <w:t>备注</w:t>
            </w: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1</w:t>
            </w:r>
          </w:p>
        </w:tc>
        <w:tc>
          <w:tcPr>
            <w:tcW w:w="4320" w:type="dxa"/>
          </w:tcPr>
          <w:p>
            <w:pPr>
              <w:spacing w:before="156" w:beforeLines="50"/>
              <w:rPr>
                <w:b/>
                <w:bCs/>
              </w:rPr>
            </w:pPr>
            <w:r>
              <w:rPr>
                <w:rFonts w:hint="eastAsia"/>
                <w:bCs/>
              </w:rPr>
              <w:t>确定毕业论文的选题，收集资料，整理资料，完成论文的任务书</w:t>
            </w:r>
          </w:p>
        </w:tc>
        <w:tc>
          <w:tcPr>
            <w:tcW w:w="2520" w:type="dxa"/>
            <w:vAlign w:val="center"/>
          </w:tcPr>
          <w:p>
            <w:pPr>
              <w:spacing w:before="156" w:beforeLines="50"/>
              <w:rPr>
                <w:b/>
                <w:bCs/>
              </w:rPr>
            </w:pPr>
            <w:r>
              <w:rPr>
                <w:rFonts w:hint="eastAsia"/>
                <w:bCs/>
              </w:rPr>
              <w:t>2016-10-15至2016-10-31</w:t>
            </w:r>
          </w:p>
        </w:tc>
        <w:tc>
          <w:tcPr>
            <w:tcW w:w="2151" w:type="dxa"/>
          </w:tcPr>
          <w:p>
            <w:pPr>
              <w:spacing w:before="156" w:beforeLines="50"/>
              <w:rPr>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2</w:t>
            </w:r>
          </w:p>
        </w:tc>
        <w:tc>
          <w:tcPr>
            <w:tcW w:w="4320" w:type="dxa"/>
          </w:tcPr>
          <w:p>
            <w:pPr>
              <w:spacing w:before="156" w:beforeLines="50"/>
              <w:rPr>
                <w:b/>
                <w:bCs/>
              </w:rPr>
            </w:pPr>
            <w:r>
              <w:rPr>
                <w:rFonts w:hint="eastAsia"/>
                <w:bCs/>
              </w:rPr>
              <w:t>编写论文提纲，撰写开题报告，进行开题。</w:t>
            </w:r>
          </w:p>
        </w:tc>
        <w:tc>
          <w:tcPr>
            <w:tcW w:w="2520" w:type="dxa"/>
            <w:vAlign w:val="center"/>
          </w:tcPr>
          <w:p>
            <w:pPr>
              <w:rPr>
                <w:bCs/>
              </w:rPr>
            </w:pPr>
            <w:r>
              <w:rPr>
                <w:rFonts w:hint="eastAsia"/>
                <w:bCs/>
              </w:rPr>
              <w:t>2016-11-1至2016-11-20</w:t>
            </w:r>
          </w:p>
        </w:tc>
        <w:tc>
          <w:tcPr>
            <w:tcW w:w="2151" w:type="dxa"/>
          </w:tcPr>
          <w:p>
            <w:pPr>
              <w:spacing w:before="156" w:beforeLines="50"/>
              <w:rPr>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3</w:t>
            </w:r>
          </w:p>
        </w:tc>
        <w:tc>
          <w:tcPr>
            <w:tcW w:w="4320" w:type="dxa"/>
          </w:tcPr>
          <w:p>
            <w:pPr>
              <w:spacing w:before="156" w:beforeLines="50"/>
              <w:rPr>
                <w:b/>
                <w:bCs/>
              </w:rPr>
            </w:pPr>
            <w:r>
              <w:rPr>
                <w:rFonts w:hint="eastAsia"/>
                <w:bCs/>
              </w:rPr>
              <w:t>实习期间进行一步查找资料，作社会调查。</w:t>
            </w:r>
          </w:p>
        </w:tc>
        <w:tc>
          <w:tcPr>
            <w:tcW w:w="2520" w:type="dxa"/>
            <w:vAlign w:val="center"/>
          </w:tcPr>
          <w:p>
            <w:pPr>
              <w:spacing w:before="156" w:beforeLines="50"/>
              <w:rPr>
                <w:b/>
                <w:bCs/>
              </w:rPr>
            </w:pPr>
            <w:r>
              <w:rPr>
                <w:rFonts w:hint="eastAsia"/>
                <w:bCs/>
              </w:rPr>
              <w:t>2016-11-21至2016-11-30</w:t>
            </w:r>
          </w:p>
        </w:tc>
        <w:tc>
          <w:tcPr>
            <w:tcW w:w="2151" w:type="dxa"/>
          </w:tcPr>
          <w:p>
            <w:pPr>
              <w:spacing w:before="156" w:beforeLines="50"/>
              <w:rPr>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4</w:t>
            </w:r>
          </w:p>
        </w:tc>
        <w:tc>
          <w:tcPr>
            <w:tcW w:w="4320" w:type="dxa"/>
          </w:tcPr>
          <w:p>
            <w:pPr>
              <w:spacing w:before="156" w:beforeLines="50"/>
              <w:rPr>
                <w:b/>
                <w:bCs/>
              </w:rPr>
            </w:pPr>
            <w:r>
              <w:rPr>
                <w:rFonts w:hint="eastAsia"/>
                <w:bCs/>
              </w:rPr>
              <w:t>撰写论文，完成第一稿，并交指导教师</w:t>
            </w:r>
          </w:p>
        </w:tc>
        <w:tc>
          <w:tcPr>
            <w:tcW w:w="2520" w:type="dxa"/>
            <w:vAlign w:val="center"/>
          </w:tcPr>
          <w:p>
            <w:pPr>
              <w:spacing w:before="156" w:beforeLines="50"/>
              <w:rPr>
                <w:b/>
                <w:bCs/>
              </w:rPr>
            </w:pPr>
            <w:r>
              <w:rPr>
                <w:rFonts w:hint="eastAsia"/>
                <w:bCs/>
              </w:rPr>
              <w:t>2016-12-1至2017-1-15</w:t>
            </w:r>
          </w:p>
        </w:tc>
        <w:tc>
          <w:tcPr>
            <w:tcW w:w="2151" w:type="dxa"/>
          </w:tcPr>
          <w:p>
            <w:pPr>
              <w:spacing w:before="156" w:beforeLines="50"/>
              <w:rPr>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5</w:t>
            </w:r>
          </w:p>
        </w:tc>
        <w:tc>
          <w:tcPr>
            <w:tcW w:w="4320" w:type="dxa"/>
          </w:tcPr>
          <w:p>
            <w:pPr>
              <w:spacing w:before="156" w:beforeLines="50"/>
              <w:rPr>
                <w:b/>
                <w:bCs/>
              </w:rPr>
            </w:pPr>
            <w:r>
              <w:rPr>
                <w:rFonts w:hint="eastAsia"/>
                <w:bCs/>
              </w:rPr>
              <w:t>指导教师阅改论文。</w:t>
            </w:r>
          </w:p>
        </w:tc>
        <w:tc>
          <w:tcPr>
            <w:tcW w:w="2520" w:type="dxa"/>
            <w:vAlign w:val="center"/>
          </w:tcPr>
          <w:p>
            <w:pPr>
              <w:spacing w:before="156" w:beforeLines="50"/>
              <w:rPr>
                <w:b/>
                <w:bCs/>
              </w:rPr>
            </w:pPr>
            <w:r>
              <w:rPr>
                <w:rFonts w:hint="eastAsia"/>
                <w:bCs/>
              </w:rPr>
              <w:t>2017-1-16至2017-1-31</w:t>
            </w:r>
          </w:p>
        </w:tc>
        <w:tc>
          <w:tcPr>
            <w:tcW w:w="2151" w:type="dxa"/>
          </w:tcPr>
          <w:p>
            <w:pPr>
              <w:spacing w:before="156" w:beforeLines="50"/>
              <w:rPr>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6</w:t>
            </w:r>
          </w:p>
        </w:tc>
        <w:tc>
          <w:tcPr>
            <w:tcW w:w="4320" w:type="dxa"/>
          </w:tcPr>
          <w:p>
            <w:pPr>
              <w:spacing w:before="156" w:beforeLines="50"/>
              <w:rPr>
                <w:b/>
                <w:bCs/>
              </w:rPr>
            </w:pPr>
            <w:r>
              <w:rPr>
                <w:rFonts w:hint="eastAsia"/>
                <w:bCs/>
              </w:rPr>
              <w:t>修改论文，完成第2稿，并交指导教师。</w:t>
            </w:r>
          </w:p>
        </w:tc>
        <w:tc>
          <w:tcPr>
            <w:tcW w:w="2520" w:type="dxa"/>
            <w:vAlign w:val="center"/>
          </w:tcPr>
          <w:p>
            <w:pPr>
              <w:spacing w:before="156" w:beforeLines="50"/>
              <w:rPr>
                <w:b/>
                <w:bCs/>
              </w:rPr>
            </w:pPr>
            <w:r>
              <w:rPr>
                <w:rFonts w:hint="eastAsia"/>
                <w:bCs/>
              </w:rPr>
              <w:t>2017-2-1至2017-2-29</w:t>
            </w:r>
          </w:p>
        </w:tc>
        <w:tc>
          <w:tcPr>
            <w:tcW w:w="2151" w:type="dxa"/>
          </w:tcPr>
          <w:p>
            <w:pPr>
              <w:spacing w:before="156" w:beforeLines="50"/>
              <w:rPr>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7</w:t>
            </w:r>
          </w:p>
        </w:tc>
        <w:tc>
          <w:tcPr>
            <w:tcW w:w="4320" w:type="dxa"/>
          </w:tcPr>
          <w:p>
            <w:pPr>
              <w:spacing w:before="156" w:beforeLines="50"/>
              <w:rPr>
                <w:b/>
                <w:bCs/>
              </w:rPr>
            </w:pPr>
            <w:r>
              <w:rPr>
                <w:rFonts w:hint="eastAsia"/>
                <w:bCs/>
              </w:rPr>
              <w:t>指导教师阅改论文，完成中期检查表。</w:t>
            </w:r>
          </w:p>
        </w:tc>
        <w:tc>
          <w:tcPr>
            <w:tcW w:w="2520" w:type="dxa"/>
            <w:vAlign w:val="center"/>
          </w:tcPr>
          <w:p>
            <w:pPr>
              <w:spacing w:before="156" w:beforeLines="50"/>
              <w:rPr>
                <w:b/>
                <w:bCs/>
              </w:rPr>
            </w:pPr>
            <w:r>
              <w:rPr>
                <w:rFonts w:hint="eastAsia"/>
                <w:bCs/>
              </w:rPr>
              <w:t>2017-3-1至2017-3-15</w:t>
            </w:r>
          </w:p>
        </w:tc>
        <w:tc>
          <w:tcPr>
            <w:tcW w:w="2151" w:type="dxa"/>
          </w:tcPr>
          <w:p>
            <w:pPr>
              <w:spacing w:before="156" w:beforeLines="50"/>
              <w:rPr>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8</w:t>
            </w:r>
          </w:p>
        </w:tc>
        <w:tc>
          <w:tcPr>
            <w:tcW w:w="4320" w:type="dxa"/>
          </w:tcPr>
          <w:p>
            <w:pPr>
              <w:spacing w:before="156" w:beforeLines="50"/>
              <w:rPr>
                <w:b/>
                <w:bCs/>
              </w:rPr>
            </w:pPr>
            <w:r>
              <w:rPr>
                <w:rFonts w:hint="eastAsia"/>
                <w:bCs/>
              </w:rPr>
              <w:t>修改论文，完成第3稿，并交指导教师。</w:t>
            </w:r>
          </w:p>
        </w:tc>
        <w:tc>
          <w:tcPr>
            <w:tcW w:w="2520" w:type="dxa"/>
            <w:vAlign w:val="center"/>
          </w:tcPr>
          <w:p>
            <w:pPr>
              <w:spacing w:before="156" w:beforeLines="50"/>
              <w:rPr>
                <w:b/>
                <w:bCs/>
              </w:rPr>
            </w:pPr>
            <w:r>
              <w:rPr>
                <w:rFonts w:hint="eastAsia"/>
                <w:bCs/>
              </w:rPr>
              <w:t>2017-3-16至2017-4-10</w:t>
            </w:r>
          </w:p>
        </w:tc>
        <w:tc>
          <w:tcPr>
            <w:tcW w:w="2151" w:type="dxa"/>
          </w:tcPr>
          <w:p>
            <w:pPr>
              <w:spacing w:before="156" w:beforeLines="50"/>
              <w:rPr>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9</w:t>
            </w:r>
          </w:p>
        </w:tc>
        <w:tc>
          <w:tcPr>
            <w:tcW w:w="4320" w:type="dxa"/>
          </w:tcPr>
          <w:p>
            <w:pPr>
              <w:spacing w:before="156" w:beforeLines="50"/>
              <w:rPr>
                <w:b/>
                <w:bCs/>
              </w:rPr>
            </w:pPr>
            <w:r>
              <w:rPr>
                <w:rFonts w:hint="eastAsia"/>
                <w:bCs/>
              </w:rPr>
              <w:t>指导教师阅改论文，并返还学生，修改后立即交指导教师。</w:t>
            </w:r>
          </w:p>
        </w:tc>
        <w:tc>
          <w:tcPr>
            <w:tcW w:w="2520" w:type="dxa"/>
            <w:vAlign w:val="center"/>
          </w:tcPr>
          <w:p>
            <w:pPr>
              <w:spacing w:before="156" w:beforeLines="50"/>
              <w:rPr>
                <w:b/>
                <w:bCs/>
              </w:rPr>
            </w:pPr>
            <w:r>
              <w:rPr>
                <w:rFonts w:hint="eastAsia"/>
                <w:bCs/>
              </w:rPr>
              <w:t>2017-4-11至2017-4-30</w:t>
            </w:r>
          </w:p>
        </w:tc>
        <w:tc>
          <w:tcPr>
            <w:tcW w:w="2151" w:type="dxa"/>
          </w:tcPr>
          <w:p>
            <w:pPr>
              <w:spacing w:before="156" w:beforeLines="50"/>
              <w:rPr>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10</w:t>
            </w:r>
          </w:p>
        </w:tc>
        <w:tc>
          <w:tcPr>
            <w:tcW w:w="4320" w:type="dxa"/>
          </w:tcPr>
          <w:p>
            <w:pPr>
              <w:spacing w:before="156" w:beforeLines="50"/>
              <w:rPr>
                <w:b/>
                <w:bCs/>
              </w:rPr>
            </w:pPr>
            <w:r>
              <w:rPr>
                <w:rFonts w:hint="eastAsia"/>
                <w:bCs/>
              </w:rPr>
              <w:t>专家评阅。</w:t>
            </w:r>
          </w:p>
        </w:tc>
        <w:tc>
          <w:tcPr>
            <w:tcW w:w="2520" w:type="dxa"/>
            <w:vAlign w:val="center"/>
          </w:tcPr>
          <w:p>
            <w:pPr>
              <w:spacing w:before="156" w:beforeLines="50"/>
              <w:rPr>
                <w:b/>
                <w:bCs/>
              </w:rPr>
            </w:pPr>
            <w:r>
              <w:rPr>
                <w:rFonts w:hint="eastAsia"/>
                <w:bCs/>
              </w:rPr>
              <w:t>2017-5-1至2017-5-10</w:t>
            </w:r>
          </w:p>
        </w:tc>
        <w:tc>
          <w:tcPr>
            <w:tcW w:w="2151" w:type="dxa"/>
          </w:tcPr>
          <w:p>
            <w:pPr>
              <w:spacing w:before="156" w:beforeLines="50"/>
              <w:rPr>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11</w:t>
            </w:r>
          </w:p>
        </w:tc>
        <w:tc>
          <w:tcPr>
            <w:tcW w:w="4320" w:type="dxa"/>
          </w:tcPr>
          <w:p>
            <w:pPr>
              <w:spacing w:before="156" w:beforeLines="50"/>
              <w:rPr>
                <w:b/>
                <w:bCs/>
              </w:rPr>
            </w:pPr>
            <w:r>
              <w:rPr>
                <w:rFonts w:hint="eastAsia"/>
                <w:bCs/>
              </w:rPr>
              <w:t>毕业论文答辩。</w:t>
            </w:r>
          </w:p>
        </w:tc>
        <w:tc>
          <w:tcPr>
            <w:tcW w:w="2520" w:type="dxa"/>
            <w:vAlign w:val="center"/>
          </w:tcPr>
          <w:p>
            <w:pPr>
              <w:spacing w:before="156" w:beforeLines="50"/>
              <w:rPr>
                <w:b/>
                <w:bCs/>
              </w:rPr>
            </w:pPr>
            <w:r>
              <w:rPr>
                <w:rFonts w:hint="eastAsia"/>
                <w:bCs/>
              </w:rPr>
              <w:t>2017-5-11</w:t>
            </w:r>
            <w:r>
              <w:rPr>
                <w:bCs/>
              </w:rPr>
              <w:t>至</w:t>
            </w:r>
            <w:r>
              <w:rPr>
                <w:rFonts w:hint="eastAsia"/>
                <w:bCs/>
              </w:rPr>
              <w:t>2017-5-24</w:t>
            </w:r>
          </w:p>
        </w:tc>
        <w:tc>
          <w:tcPr>
            <w:tcW w:w="2151" w:type="dxa"/>
          </w:tcPr>
          <w:p>
            <w:pPr>
              <w:spacing w:before="156" w:beforeLines="50"/>
              <w:rPr>
                <w:b/>
                <w:bCs/>
              </w:rPr>
            </w:pPr>
          </w:p>
        </w:tc>
      </w:tr>
      <w:tr>
        <w:tblPrEx>
          <w:tblW w:w="9639" w:type="dxa"/>
          <w:tblInd w:w="0" w:type="dxa"/>
          <w:tblCellMar>
            <w:top w:w="0" w:type="dxa"/>
            <w:left w:w="108" w:type="dxa"/>
            <w:bottom w:w="0" w:type="dxa"/>
            <w:right w:w="108" w:type="dxa"/>
          </w:tblCellMar>
        </w:tblPrEx>
        <w:trPr>
          <w:trHeight w:val="635"/>
        </w:trPr>
        <w:tc>
          <w:tcPr>
            <w:tcW w:w="648" w:type="dxa"/>
            <w:vAlign w:val="center"/>
          </w:tcPr>
          <w:p>
            <w:pPr>
              <w:spacing w:before="156" w:beforeLines="50"/>
              <w:jc w:val="center"/>
              <w:rPr>
                <w:bCs/>
              </w:rPr>
            </w:pPr>
            <w:r>
              <w:rPr>
                <w:rFonts w:hint="eastAsia"/>
                <w:bCs/>
              </w:rPr>
              <w:t>12</w:t>
            </w:r>
          </w:p>
        </w:tc>
        <w:tc>
          <w:tcPr>
            <w:tcW w:w="4320" w:type="dxa"/>
          </w:tcPr>
          <w:p>
            <w:pPr>
              <w:spacing w:before="156" w:beforeLines="50"/>
              <w:rPr>
                <w:b/>
                <w:bCs/>
              </w:rPr>
            </w:pPr>
            <w:r>
              <w:rPr>
                <w:rFonts w:hint="eastAsia"/>
                <w:bCs/>
              </w:rPr>
              <w:t>评定学生最终论文成绩，评出院内优秀论文。</w:t>
            </w:r>
          </w:p>
        </w:tc>
        <w:tc>
          <w:tcPr>
            <w:tcW w:w="2520" w:type="dxa"/>
            <w:vAlign w:val="center"/>
          </w:tcPr>
          <w:p>
            <w:pPr>
              <w:rPr>
                <w:bCs/>
                <w:color w:val="FF0000"/>
              </w:rPr>
            </w:pPr>
            <w:r>
              <w:rPr>
                <w:rFonts w:hint="eastAsia"/>
                <w:bCs/>
              </w:rPr>
              <w:t>2017</w:t>
            </w:r>
            <w:r>
              <w:rPr>
                <w:bCs/>
              </w:rPr>
              <w:t>-5-</w:t>
            </w:r>
            <w:r>
              <w:rPr>
                <w:rFonts w:hint="eastAsia"/>
                <w:bCs/>
              </w:rPr>
              <w:t>25</w:t>
            </w:r>
            <w:r>
              <w:rPr>
                <w:bCs/>
              </w:rPr>
              <w:t>至</w:t>
            </w:r>
            <w:r>
              <w:rPr>
                <w:rFonts w:hint="eastAsia"/>
                <w:bCs/>
              </w:rPr>
              <w:t>2017</w:t>
            </w:r>
            <w:r>
              <w:rPr>
                <w:bCs/>
              </w:rPr>
              <w:t>-5-31</w:t>
            </w:r>
          </w:p>
        </w:tc>
        <w:tc>
          <w:tcPr>
            <w:tcW w:w="2151" w:type="dxa"/>
          </w:tcPr>
          <w:p>
            <w:pPr>
              <w:spacing w:before="156" w:beforeLines="50"/>
              <w:rPr>
                <w:b/>
                <w:bCs/>
              </w:rPr>
            </w:pPr>
          </w:p>
        </w:tc>
      </w:tr>
    </w:tbl>
    <w:p>
      <w:pPr>
        <w:sectPr>
          <w:type w:val="nextPage"/>
          <w:pgSz w:w="11906" w:h="16838"/>
          <w:pgMar w:top="1418" w:right="1134" w:bottom="1418" w:left="1418" w:header="851" w:footer="851" w:gutter="0"/>
          <w:pgNumType w:start="2"/>
          <w:cols w:num="1" w:space="425"/>
          <w:titlePg w:val="0"/>
          <w:docGrid w:type="lines" w:linePitch="312" w:charSpace="0"/>
        </w:sectPr>
      </w:pPr>
    </w:p>
    <w:tbl>
      <w:tblPr>
        <w:tblStyle w:val="TableNormal"/>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639"/>
      </w:tblGrid>
      <w:tr>
        <w:tblPrEx>
          <w:tblW w:w="9639"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639" w:type="dxa"/>
          </w:tcPr>
          <w:p>
            <w:pPr>
              <w:spacing w:before="156" w:beforeLines="50" w:after="156" w:afterLines="50"/>
              <w:rPr>
                <w:rFonts w:ascii="宋体" w:hAnsi="宋体"/>
                <w:b/>
                <w:szCs w:val="28"/>
              </w:rPr>
            </w:pPr>
            <w:r>
              <w:rPr>
                <w:rFonts w:ascii="宋体" w:hAnsi="宋体" w:hint="eastAsia"/>
                <w:b/>
                <w:szCs w:val="28"/>
              </w:rPr>
              <w:t>课题信息：</w:t>
            </w:r>
          </w:p>
          <w:p>
            <w:pPr>
              <w:spacing w:before="156" w:beforeLines="50" w:after="156" w:afterLines="50"/>
              <w:ind w:firstLine="420" w:firstLineChars="200"/>
              <w:rPr>
                <w:rFonts w:ascii="宋体" w:hAnsi="宋体"/>
                <w:szCs w:val="28"/>
              </w:rPr>
            </w:pPr>
            <w:r>
              <w:rPr>
                <w:rFonts w:ascii="宋体" w:hAnsi="宋体" w:hint="eastAsia"/>
                <w:szCs w:val="28"/>
              </w:rPr>
              <w:t>课题性质： 设计</w:t>
            </w:r>
            <w:r>
              <w:rPr>
                <w:rFonts w:ascii="宋体" w:hAnsi="宋体" w:hint="eastAsia"/>
              </w:rPr>
              <w:t>□</w:t>
            </w:r>
            <w:r>
              <w:t xml:space="preserve"> </w:t>
            </w:r>
            <w:r>
              <w:rPr>
                <w:rFonts w:ascii="宋体" w:hAnsi="宋体" w:hint="eastAsia"/>
                <w:szCs w:val="28"/>
              </w:rPr>
              <w:t xml:space="preserve">    论文√</w:t>
            </w:r>
            <w:r>
              <w:rPr>
                <w:color w:val="FF0000"/>
              </w:rPr>
              <w:t xml:space="preserve"> </w:t>
            </w:r>
            <w:r>
              <w:rPr>
                <w:rFonts w:ascii="宋体" w:hAnsi="宋体"/>
                <w:szCs w:val="28"/>
              </w:rPr>
              <w:t></w:t>
            </w:r>
          </w:p>
          <w:p>
            <w:pPr>
              <w:spacing w:before="50" w:after="156" w:afterLines="50"/>
              <w:ind w:firstLine="420" w:firstLineChars="200"/>
              <w:rPr>
                <w:rFonts w:ascii="宋体" w:hAnsi="宋体"/>
                <w:szCs w:val="28"/>
              </w:rPr>
            </w:pPr>
            <w:r>
              <w:rPr>
                <w:rFonts w:ascii="宋体" w:hAnsi="宋体" w:hint="eastAsia"/>
                <w:szCs w:val="28"/>
              </w:rPr>
              <w:t>课题来源： 教学</w:t>
            </w:r>
            <w:r>
              <w:rPr>
                <w:rFonts w:ascii="宋体" w:hAnsi="宋体" w:hint="eastAsia"/>
              </w:rPr>
              <w:t>√</w:t>
            </w:r>
            <w:r>
              <w:rPr>
                <w:color w:val="FF0000"/>
              </w:rPr>
              <w:t xml:space="preserve"> </w:t>
            </w:r>
            <w:r>
              <w:rPr>
                <w:rFonts w:ascii="宋体" w:hAnsi="宋体" w:hint="eastAsia"/>
                <w:szCs w:val="28"/>
              </w:rPr>
              <w:t xml:space="preserve">   科研</w:t>
            </w:r>
            <w:r>
              <w:rPr>
                <w:rFonts w:ascii="宋体" w:hAnsi="宋体" w:hint="eastAsia"/>
              </w:rPr>
              <w:t>□</w:t>
            </w:r>
            <w:r>
              <w:t xml:space="preserve"> </w:t>
            </w:r>
            <w:r>
              <w:rPr>
                <w:rFonts w:ascii="宋体" w:hAnsi="宋体" w:hint="eastAsia"/>
                <w:szCs w:val="28"/>
              </w:rPr>
              <w:t xml:space="preserve">   生产</w:t>
            </w:r>
            <w:r>
              <w:rPr>
                <w:rFonts w:ascii="宋体" w:hAnsi="宋体" w:hint="eastAsia"/>
              </w:rPr>
              <w:t>□</w:t>
            </w:r>
            <w:r>
              <w:t xml:space="preserve"> </w:t>
            </w:r>
            <w:r>
              <w:rPr>
                <w:rFonts w:ascii="宋体" w:hAnsi="宋体" w:hint="eastAsia"/>
                <w:szCs w:val="28"/>
              </w:rPr>
              <w:t xml:space="preserve">   其它</w:t>
            </w:r>
            <w:r>
              <w:rPr>
                <w:rFonts w:ascii="宋体" w:hAnsi="宋体" w:hint="eastAsia"/>
              </w:rPr>
              <w:t>□</w:t>
            </w:r>
          </w:p>
          <w:p>
            <w:pPr>
              <w:spacing w:before="50" w:after="156" w:afterLines="50"/>
              <w:ind w:firstLine="420" w:firstLineChars="200"/>
              <w:rPr>
                <w:u w:val="single"/>
              </w:rPr>
            </w:pPr>
            <w:r>
              <w:rPr>
                <w:rFonts w:hint="eastAsia"/>
              </w:rPr>
              <w:t>发出任务书日期：</w:t>
            </w:r>
            <w:r>
              <w:rPr>
                <w:rFonts w:hint="eastAsia"/>
                <w:u w:val="single"/>
              </w:rPr>
              <w:t xml:space="preserve">    </w:t>
            </w:r>
            <w:r>
              <w:rPr>
                <w:rFonts w:hint="eastAsia"/>
                <w:b/>
                <w:color w:val="000000"/>
                <w:u w:val="single"/>
              </w:rPr>
              <w:t xml:space="preserve">          </w:t>
            </w:r>
            <w:r>
              <w:rPr>
                <w:u w:val="single"/>
              </w:rPr>
              <w:t xml:space="preserve">   </w:t>
            </w:r>
            <w:r>
              <w:rPr>
                <w:rFonts w:hint="eastAsia"/>
                <w:u w:val="single"/>
              </w:rPr>
              <w:t xml:space="preserve">        </w:t>
            </w:r>
          </w:p>
          <w:p>
            <w:pPr>
              <w:spacing w:before="50" w:after="156" w:afterLines="50"/>
              <w:ind w:firstLine="420" w:firstLineChars="200"/>
              <w:rPr>
                <w:u w:val="single"/>
              </w:rPr>
            </w:pPr>
          </w:p>
          <w:p>
            <w:pPr>
              <w:spacing w:before="50" w:after="156" w:afterLines="50"/>
              <w:ind w:firstLine="420" w:firstLineChars="200"/>
              <w:rPr>
                <w:u w:val="single"/>
              </w:rPr>
            </w:pPr>
          </w:p>
          <w:p>
            <w:pPr>
              <w:spacing w:before="50" w:after="156" w:afterLines="50"/>
              <w:ind w:firstLine="420" w:firstLineChars="200"/>
              <w:rPr>
                <w:u w:val="single"/>
              </w:rPr>
            </w:pPr>
          </w:p>
          <w:p>
            <w:pPr>
              <w:spacing w:before="50" w:after="156" w:afterLines="50"/>
              <w:ind w:firstLine="420" w:firstLineChars="200"/>
              <w:rPr>
                <w:u w:val="single"/>
              </w:rPr>
            </w:pPr>
          </w:p>
          <w:p>
            <w:pPr>
              <w:spacing w:before="50" w:after="156" w:afterLines="50"/>
              <w:ind w:firstLine="420" w:firstLineChars="200"/>
              <w:rPr>
                <w:u w:val="single"/>
              </w:rPr>
            </w:pPr>
          </w:p>
          <w:p>
            <w:pPr>
              <w:spacing w:before="50" w:after="156" w:afterLines="50"/>
              <w:ind w:firstLine="420" w:firstLineChars="200"/>
              <w:rPr>
                <w:u w:val="single"/>
              </w:rPr>
            </w:pPr>
          </w:p>
          <w:p>
            <w:pPr>
              <w:spacing w:before="50" w:after="156" w:afterLines="50"/>
              <w:ind w:firstLine="420" w:firstLineChars="200"/>
              <w:rPr>
                <w:rFonts w:ascii="宋体" w:hAnsi="宋体"/>
                <w:bCs/>
                <w:szCs w:val="28"/>
              </w:rPr>
            </w:pPr>
            <w:r>
              <w:t xml:space="preserve">                                             </w:t>
            </w:r>
            <w:r>
              <w:rPr>
                <w:rFonts w:ascii="宋体" w:hAnsi="宋体" w:hint="eastAsia"/>
                <w:szCs w:val="28"/>
              </w:rPr>
              <w:t>指导教师签名：</w:t>
            </w:r>
          </w:p>
          <w:p>
            <w:pPr>
              <w:spacing w:before="156" w:beforeLines="50"/>
              <w:rPr>
                <w:b/>
                <w:bCs/>
              </w:rPr>
            </w:pPr>
            <w:r>
              <w:rPr>
                <w:rFonts w:ascii="宋体" w:hAnsi="宋体" w:hint="eastAsia"/>
                <w:szCs w:val="28"/>
              </w:rPr>
              <w:t xml:space="preserve">                                          </w:t>
            </w:r>
            <w:r>
              <w:rPr>
                <w:rFonts w:ascii="宋体" w:hAnsi="宋体"/>
                <w:szCs w:val="28"/>
              </w:rPr>
              <w:t xml:space="preserve"> </w:t>
            </w:r>
            <w:r>
              <w:rPr>
                <w:rFonts w:ascii="宋体" w:hAnsi="宋体"/>
                <w:b/>
                <w:color w:val="FF0000"/>
                <w:szCs w:val="28"/>
              </w:rPr>
              <w:t xml:space="preserve"> </w:t>
            </w:r>
            <w:r>
              <w:rPr>
                <w:rFonts w:ascii="宋体" w:hAnsi="宋体" w:hint="eastAsia"/>
                <w:b/>
                <w:color w:val="FF0000"/>
                <w:szCs w:val="28"/>
              </w:rPr>
              <w:t xml:space="preserve">     </w:t>
            </w:r>
            <w:r>
              <w:rPr>
                <w:rFonts w:ascii="宋体" w:hAnsi="宋体" w:hint="eastAsia"/>
                <w:szCs w:val="28"/>
              </w:rPr>
              <w:t>年    月</w:t>
            </w:r>
            <w:r>
              <w:rPr>
                <w:rFonts w:hint="eastAsia"/>
                <w:b/>
                <w:color w:val="FF0000"/>
                <w:szCs w:val="28"/>
              </w:rPr>
              <w:t xml:space="preserve">    </w:t>
            </w:r>
            <w:r>
              <w:rPr>
                <w:rFonts w:ascii="宋体" w:hAnsi="宋体" w:hint="eastAsia"/>
                <w:szCs w:val="28"/>
              </w:rPr>
              <w:t>日</w:t>
            </w:r>
          </w:p>
        </w:tc>
      </w:tr>
      <w:tr>
        <w:tblPrEx>
          <w:tblW w:w="9639" w:type="dxa"/>
          <w:tblInd w:w="0" w:type="dxa"/>
          <w:tblCellMar>
            <w:top w:w="0" w:type="dxa"/>
            <w:left w:w="108" w:type="dxa"/>
            <w:bottom w:w="0" w:type="dxa"/>
            <w:right w:w="108" w:type="dxa"/>
          </w:tblCellMar>
        </w:tblPrEx>
        <w:tc>
          <w:tcPr>
            <w:tcW w:w="9639" w:type="dxa"/>
          </w:tcPr>
          <w:p>
            <w:pPr>
              <w:spacing w:before="156" w:beforeLines="50" w:after="156" w:afterLines="50"/>
              <w:rPr>
                <w:rFonts w:ascii="宋体" w:hAnsi="宋体"/>
                <w:b/>
                <w:szCs w:val="28"/>
              </w:rPr>
            </w:pPr>
            <w:r>
              <w:rPr>
                <w:rFonts w:ascii="宋体" w:hAnsi="宋体" w:hint="eastAsia"/>
                <w:b/>
                <w:szCs w:val="28"/>
              </w:rPr>
              <w:t>教研室意见：</w:t>
            </w: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rPr>
                <w:rFonts w:ascii="宋体" w:hAnsi="宋体"/>
                <w:b/>
                <w:szCs w:val="28"/>
              </w:rPr>
            </w:pPr>
          </w:p>
          <w:p>
            <w:pPr>
              <w:spacing w:before="156" w:beforeLines="50" w:after="156" w:afterLines="50"/>
              <w:ind w:left="5775" w:hanging="945" w:leftChars="2300" w:hangingChars="450"/>
            </w:pPr>
            <w:r>
              <w:rPr>
                <w:rFonts w:hint="eastAsia"/>
              </w:rPr>
              <w:t>教研室主任签名：</w:t>
            </w:r>
          </w:p>
          <w:p>
            <w:pPr>
              <w:spacing w:before="156" w:beforeLines="50"/>
              <w:ind w:firstLine="5355" w:firstLineChars="2550"/>
              <w:rPr>
                <w:b/>
                <w:bCs/>
              </w:rPr>
            </w:pPr>
            <w:r>
              <w:rPr>
                <w:rFonts w:ascii="宋体" w:hAnsi="宋体" w:hint="eastAsia"/>
                <w:szCs w:val="28"/>
              </w:rPr>
              <w:t>年    月     日</w:t>
            </w:r>
            <w:r>
              <w:rPr>
                <w:rFonts w:ascii="宋体" w:hAnsi="宋体"/>
                <w:szCs w:val="28"/>
              </w:rPr>
              <w:t xml:space="preserve">   </w:t>
            </w:r>
          </w:p>
        </w:tc>
      </w:tr>
      <w:tr>
        <w:tblPrEx>
          <w:tblW w:w="9639" w:type="dxa"/>
          <w:tblInd w:w="0" w:type="dxa"/>
          <w:tblCellMar>
            <w:top w:w="0" w:type="dxa"/>
            <w:left w:w="108" w:type="dxa"/>
            <w:bottom w:w="0" w:type="dxa"/>
            <w:right w:w="108" w:type="dxa"/>
          </w:tblCellMar>
        </w:tblPrEx>
        <w:tc>
          <w:tcPr>
            <w:tcW w:w="9639" w:type="dxa"/>
          </w:tcPr>
          <w:p>
            <w:pPr>
              <w:spacing w:before="156" w:beforeLines="50" w:after="156" w:afterLines="50"/>
              <w:jc w:val="center"/>
            </w:pPr>
          </w:p>
          <w:p>
            <w:pPr>
              <w:spacing w:before="156" w:beforeLines="50" w:after="156" w:afterLines="50"/>
              <w:jc w:val="center"/>
            </w:pPr>
          </w:p>
          <w:p>
            <w:pPr>
              <w:spacing w:before="156" w:beforeLines="50" w:after="156" w:afterLines="50"/>
              <w:jc w:val="center"/>
            </w:pPr>
          </w:p>
          <w:p>
            <w:pPr>
              <w:spacing w:before="156" w:beforeLines="50" w:after="156" w:afterLines="50"/>
              <w:jc w:val="center"/>
            </w:pPr>
          </w:p>
          <w:p>
            <w:pPr>
              <w:spacing w:before="156" w:beforeLines="50" w:after="156" w:afterLines="50"/>
              <w:jc w:val="center"/>
            </w:pPr>
          </w:p>
          <w:p>
            <w:pPr>
              <w:spacing w:before="156" w:beforeLines="50" w:after="156" w:afterLines="50"/>
              <w:jc w:val="center"/>
            </w:pPr>
          </w:p>
          <w:p>
            <w:pPr>
              <w:spacing w:before="156" w:beforeLines="50" w:after="156" w:afterLines="50"/>
            </w:pPr>
          </w:p>
          <w:p>
            <w:pPr>
              <w:spacing w:before="156" w:beforeLines="50"/>
              <w:ind w:firstLine="5565" w:firstLineChars="2650"/>
              <w:rPr>
                <w:b/>
                <w:bCs/>
              </w:rPr>
            </w:pPr>
            <w:r>
              <w:rPr>
                <w:rFonts w:hint="eastAsia"/>
              </w:rPr>
              <w:t>学生签名：</w:t>
            </w:r>
          </w:p>
        </w:tc>
      </w:tr>
    </w:tbl>
    <w:p/>
    <w:p>
      <w:pPr>
        <w:tabs>
          <w:tab w:val="right" w:leader="dot" w:pos="9344"/>
        </w:tabs>
        <w:spacing w:before="312" w:beforeLines="100" w:after="312" w:afterLines="100" w:line="360" w:lineRule="exact"/>
        <w:jc w:val="center"/>
        <w:rPr>
          <w:rFonts w:ascii="黑体" w:eastAsia="黑体" w:hAnsi="黑体"/>
          <w:sz w:val="32"/>
        </w:rPr>
        <w:sectPr>
          <w:type w:val="nextPage"/>
          <w:pgSz w:w="11906" w:h="16838"/>
          <w:pgMar w:top="1418" w:right="1134" w:bottom="1418" w:left="1418" w:header="851" w:footer="851" w:gutter="0"/>
          <w:pgNumType w:start="3"/>
          <w:cols w:num="1" w:space="425"/>
          <w:titlePg w:val="0"/>
          <w:docGrid w:type="lines" w:linePitch="312" w:charSpace="0"/>
        </w:sectPr>
      </w:pPr>
    </w:p>
    <w:p>
      <w:pPr>
        <w:spacing w:before="156" w:beforeLines="50" w:after="156" w:afterLines="50"/>
        <w:ind w:firstLine="1650" w:firstLineChars="550"/>
        <w:rPr>
          <w:rFonts w:eastAsia="黑体"/>
          <w:sz w:val="15"/>
          <w:szCs w:val="15"/>
        </w:rPr>
      </w:pPr>
      <w:r>
        <w:rPr>
          <w:rFonts w:eastAsia="黑体" w:hint="eastAsia"/>
          <w:sz w:val="30"/>
        </w:rPr>
        <w:t>开题报告</w:t>
      </w:r>
      <w:r>
        <w:rPr>
          <w:rFonts w:eastAsia="黑体" w:hint="eastAsia"/>
          <w:sz w:val="15"/>
          <w:szCs w:val="15"/>
        </w:rPr>
        <w:t xml:space="preserve"> </w:t>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548"/>
        <w:gridCol w:w="1546"/>
        <w:gridCol w:w="974"/>
        <w:gridCol w:w="1620"/>
        <w:gridCol w:w="1080"/>
        <w:gridCol w:w="2518"/>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rPr>
          <w:trHeight w:val="471"/>
        </w:trPr>
        <w:tc>
          <w:tcPr>
            <w:tcW w:w="1548" w:type="dxa"/>
            <w:vAlign w:val="center"/>
          </w:tcPr>
          <w:p>
            <w:pPr>
              <w:jc w:val="center"/>
            </w:pPr>
            <w:r>
              <w:rPr>
                <w:rFonts w:hint="eastAsia"/>
              </w:rPr>
              <w:t>学生姓名</w:t>
            </w:r>
          </w:p>
        </w:tc>
        <w:tc>
          <w:tcPr>
            <w:tcW w:w="1546" w:type="dxa"/>
            <w:vAlign w:val="center"/>
          </w:tcPr>
          <w:p>
            <w:pPr>
              <w:jc w:val="center"/>
            </w:pPr>
          </w:p>
        </w:tc>
        <w:tc>
          <w:tcPr>
            <w:tcW w:w="974" w:type="dxa"/>
            <w:vAlign w:val="center"/>
          </w:tcPr>
          <w:p>
            <w:pPr>
              <w:jc w:val="center"/>
            </w:pPr>
            <w:r>
              <w:rPr>
                <w:rFonts w:hint="eastAsia"/>
              </w:rPr>
              <w:t>学 号</w:t>
            </w:r>
          </w:p>
        </w:tc>
        <w:tc>
          <w:tcPr>
            <w:tcW w:w="1620" w:type="dxa"/>
            <w:vAlign w:val="center"/>
          </w:tcPr>
          <w:p>
            <w:pPr>
              <w:jc w:val="center"/>
              <w:rPr>
                <w:rFonts w:ascii="宋体" w:hAnsi="宋体"/>
              </w:rPr>
            </w:pPr>
          </w:p>
        </w:tc>
        <w:tc>
          <w:tcPr>
            <w:tcW w:w="1080" w:type="dxa"/>
            <w:vAlign w:val="center"/>
          </w:tcPr>
          <w:p>
            <w:pPr>
              <w:jc w:val="center"/>
            </w:pPr>
            <w:r>
              <w:rPr>
                <w:rFonts w:hint="eastAsia"/>
              </w:rPr>
              <w:t>专业班级</w:t>
            </w:r>
          </w:p>
        </w:tc>
        <w:tc>
          <w:tcPr>
            <w:tcW w:w="2518" w:type="dxa"/>
            <w:vAlign w:val="center"/>
          </w:tcPr>
          <w:p>
            <w:pPr>
              <w:jc w:val="center"/>
              <w:rPr>
                <w:color w:val="000000"/>
              </w:rPr>
            </w:pPr>
          </w:p>
        </w:tc>
      </w:tr>
      <w:tr>
        <w:tblPrEx>
          <w:tblW w:w="0" w:type="auto"/>
          <w:tblInd w:w="0" w:type="dxa"/>
          <w:tblCellMar>
            <w:top w:w="0" w:type="dxa"/>
            <w:left w:w="108" w:type="dxa"/>
            <w:bottom w:w="0" w:type="dxa"/>
            <w:right w:w="108" w:type="dxa"/>
          </w:tblCellMar>
        </w:tblPrEx>
        <w:trPr>
          <w:trHeight w:val="441"/>
        </w:trPr>
        <w:tc>
          <w:tcPr>
            <w:tcW w:w="1548" w:type="dxa"/>
            <w:vAlign w:val="center"/>
          </w:tcPr>
          <w:p>
            <w:pPr>
              <w:jc w:val="center"/>
            </w:pPr>
            <w:r>
              <w:rPr>
                <w:rFonts w:hint="eastAsia"/>
              </w:rPr>
              <w:t>指导教师</w:t>
            </w:r>
          </w:p>
        </w:tc>
        <w:tc>
          <w:tcPr>
            <w:tcW w:w="1546" w:type="dxa"/>
            <w:vAlign w:val="center"/>
          </w:tcPr>
          <w:p>
            <w:pPr>
              <w:jc w:val="center"/>
              <w:rPr>
                <w:szCs w:val="21"/>
              </w:rPr>
            </w:pPr>
          </w:p>
        </w:tc>
        <w:tc>
          <w:tcPr>
            <w:tcW w:w="974" w:type="dxa"/>
            <w:vAlign w:val="center"/>
          </w:tcPr>
          <w:p>
            <w:pPr>
              <w:jc w:val="center"/>
            </w:pPr>
            <w:r>
              <w:rPr>
                <w:rFonts w:hint="eastAsia"/>
              </w:rPr>
              <w:t>职 称</w:t>
            </w:r>
          </w:p>
        </w:tc>
        <w:tc>
          <w:tcPr>
            <w:tcW w:w="1620" w:type="dxa"/>
            <w:vAlign w:val="center"/>
          </w:tcPr>
          <w:p>
            <w:pPr>
              <w:jc w:val="center"/>
            </w:pPr>
          </w:p>
        </w:tc>
        <w:tc>
          <w:tcPr>
            <w:tcW w:w="1080" w:type="dxa"/>
            <w:vAlign w:val="center"/>
          </w:tcPr>
          <w:p>
            <w:pPr>
              <w:jc w:val="center"/>
            </w:pPr>
            <w:r>
              <w:rPr>
                <w:rFonts w:hint="eastAsia"/>
              </w:rPr>
              <w:t>单    位</w:t>
            </w:r>
          </w:p>
        </w:tc>
        <w:tc>
          <w:tcPr>
            <w:tcW w:w="2518" w:type="dxa"/>
            <w:vAlign w:val="center"/>
          </w:tcPr>
          <w:p>
            <w:pPr>
              <w:jc w:val="center"/>
              <w:rPr>
                <w:color w:val="000000"/>
              </w:rPr>
            </w:pPr>
          </w:p>
        </w:tc>
      </w:tr>
      <w:tr>
        <w:tblPrEx>
          <w:tblW w:w="0" w:type="auto"/>
          <w:tblInd w:w="0" w:type="dxa"/>
          <w:tblCellMar>
            <w:top w:w="0" w:type="dxa"/>
            <w:left w:w="108" w:type="dxa"/>
            <w:bottom w:w="0" w:type="dxa"/>
            <w:right w:w="108" w:type="dxa"/>
          </w:tblCellMar>
        </w:tblPrEx>
        <w:trPr>
          <w:trHeight w:val="482"/>
        </w:trPr>
        <w:tc>
          <w:tcPr>
            <w:tcW w:w="1548" w:type="dxa"/>
            <w:vAlign w:val="center"/>
          </w:tcPr>
          <w:p>
            <w:pPr>
              <w:jc w:val="center"/>
            </w:pPr>
            <w:r>
              <w:rPr>
                <w:rFonts w:hint="eastAsia"/>
              </w:rPr>
              <w:t>课题性质</w:t>
            </w:r>
          </w:p>
        </w:tc>
        <w:tc>
          <w:tcPr>
            <w:tcW w:w="2520" w:type="dxa"/>
            <w:gridSpan w:val="2"/>
            <w:vAlign w:val="center"/>
          </w:tcPr>
          <w:p>
            <w:pPr>
              <w:jc w:val="center"/>
            </w:pPr>
            <w:r>
              <w:rPr>
                <w:rFonts w:hint="eastAsia"/>
              </w:rPr>
              <w:t>设计</w:t>
            </w:r>
            <w:r>
              <w:rPr>
                <w:rFonts w:ascii="宋体" w:hAnsi="宋体" w:hint="eastAsia"/>
              </w:rPr>
              <w:t>□</w:t>
            </w:r>
            <w:r>
              <w:t xml:space="preserve">   </w:t>
            </w:r>
            <w:r>
              <w:rPr>
                <w:rFonts w:hint="eastAsia"/>
              </w:rPr>
              <w:t>论文√</w:t>
            </w:r>
          </w:p>
        </w:tc>
        <w:tc>
          <w:tcPr>
            <w:tcW w:w="1620" w:type="dxa"/>
            <w:vAlign w:val="center"/>
          </w:tcPr>
          <w:p>
            <w:pPr>
              <w:jc w:val="center"/>
            </w:pPr>
            <w:r>
              <w:rPr>
                <w:rFonts w:hint="eastAsia"/>
              </w:rPr>
              <w:t>课题来源</w:t>
            </w:r>
          </w:p>
        </w:tc>
        <w:tc>
          <w:tcPr>
            <w:tcW w:w="3598" w:type="dxa"/>
            <w:gridSpan w:val="2"/>
            <w:vAlign w:val="center"/>
          </w:tcPr>
          <w:p>
            <w:pPr>
              <w:jc w:val="center"/>
            </w:pPr>
            <w:r>
              <w:rPr>
                <w:rFonts w:hint="eastAsia"/>
              </w:rPr>
              <w:t>科研</w:t>
            </w:r>
            <w:r>
              <w:rPr>
                <w:rFonts w:ascii="宋体" w:hAnsi="宋体" w:hint="eastAsia"/>
              </w:rPr>
              <w:t>□</w:t>
            </w:r>
            <w:r>
              <w:t xml:space="preserve">   </w:t>
            </w:r>
            <w:r>
              <w:rPr>
                <w:rFonts w:hint="eastAsia"/>
              </w:rPr>
              <w:t>教学</w:t>
            </w:r>
            <w:r>
              <w:rPr>
                <w:rFonts w:ascii="宋体" w:hAnsi="宋体" w:hint="eastAsia"/>
              </w:rPr>
              <w:t>√</w:t>
            </w:r>
            <w:r>
              <w:t xml:space="preserve">  </w:t>
            </w:r>
            <w:r>
              <w:rPr>
                <w:rFonts w:hint="eastAsia"/>
              </w:rPr>
              <w:t>生产</w:t>
            </w:r>
            <w:r>
              <w:rPr>
                <w:rFonts w:ascii="宋体" w:hAnsi="宋体" w:hint="eastAsia"/>
              </w:rPr>
              <w:t>□</w:t>
            </w:r>
            <w:r>
              <w:t xml:space="preserve">  </w:t>
            </w:r>
            <w:r>
              <w:rPr>
                <w:rFonts w:hint="eastAsia"/>
              </w:rPr>
              <w:t>其它</w:t>
            </w:r>
            <w:r>
              <w:rPr>
                <w:rFonts w:ascii="宋体" w:hAnsi="宋体" w:hint="eastAsia"/>
              </w:rPr>
              <w:t>□</w:t>
            </w:r>
          </w:p>
        </w:tc>
      </w:tr>
      <w:tr>
        <w:tblPrEx>
          <w:tblW w:w="0" w:type="auto"/>
          <w:tblInd w:w="0" w:type="dxa"/>
          <w:tblCellMar>
            <w:top w:w="0" w:type="dxa"/>
            <w:left w:w="108" w:type="dxa"/>
            <w:bottom w:w="0" w:type="dxa"/>
            <w:right w:w="108" w:type="dxa"/>
          </w:tblCellMar>
        </w:tblPrEx>
        <w:trPr>
          <w:trHeight w:val="561"/>
        </w:trPr>
        <w:tc>
          <w:tcPr>
            <w:tcW w:w="1548" w:type="dxa"/>
            <w:vAlign w:val="center"/>
          </w:tcPr>
          <w:p>
            <w:pPr>
              <w:jc w:val="center"/>
            </w:pPr>
            <w:r>
              <w:rPr>
                <w:rFonts w:hint="eastAsia"/>
              </w:rPr>
              <w:t>毕业论文题目</w:t>
            </w:r>
          </w:p>
        </w:tc>
        <w:tc>
          <w:tcPr>
            <w:tcW w:w="7738" w:type="dxa"/>
            <w:gridSpan w:val="5"/>
            <w:vAlign w:val="center"/>
          </w:tcPr>
          <w:p>
            <w:pPr>
              <w:jc w:val="center"/>
              <w:rPr>
                <w:rFonts w:ascii="宋体" w:hAnsi="宋体"/>
                <w:color w:val="000000"/>
              </w:rPr>
            </w:pPr>
            <w:r>
              <w:rPr>
                <w:rFonts w:ascii="宋体" w:hAnsi="宋体" w:hint="eastAsia"/>
                <w:color w:val="000000"/>
              </w:rPr>
              <w:t>T公司应收账款管理研究</w:t>
            </w:r>
          </w:p>
        </w:tc>
      </w:tr>
      <w:tr>
        <w:tblPrEx>
          <w:tblW w:w="0" w:type="auto"/>
          <w:tblInd w:w="0" w:type="dxa"/>
          <w:tblCellMar>
            <w:top w:w="0" w:type="dxa"/>
            <w:left w:w="108" w:type="dxa"/>
            <w:bottom w:w="0" w:type="dxa"/>
            <w:right w:w="108" w:type="dxa"/>
          </w:tblCellMar>
        </w:tblPrEx>
        <w:tc>
          <w:tcPr>
            <w:tcW w:w="9286" w:type="dxa"/>
            <w:gridSpan w:val="6"/>
          </w:tcPr>
          <w:p>
            <w:pPr>
              <w:spacing w:line="360" w:lineRule="exact"/>
              <w:rPr>
                <w:b/>
                <w:bCs/>
              </w:rPr>
            </w:pPr>
            <w:r>
              <w:rPr>
                <w:rFonts w:hint="eastAsia"/>
                <w:b/>
                <w:bCs/>
              </w:rPr>
              <w:t>开题报告（阐述课题的目的、意义、研究现状、研究内容、研究方案、进度安排、预期结果、参考文献等）</w:t>
            </w:r>
          </w:p>
          <w:p>
            <w:pPr>
              <w:spacing w:line="360" w:lineRule="exact"/>
              <w:rPr>
                <w:b/>
                <w:bCs/>
              </w:rPr>
            </w:pPr>
            <w:r>
              <w:rPr>
                <w:rFonts w:hint="eastAsia"/>
                <w:b/>
                <w:bCs/>
              </w:rPr>
              <w:t>一、论文研究的目的、意义</w:t>
            </w:r>
          </w:p>
          <w:p>
            <w:pPr>
              <w:spacing w:line="360" w:lineRule="exact"/>
              <w:rPr>
                <w:rFonts w:ascii="宋体" w:hAnsi="宋体"/>
                <w:bCs/>
              </w:rPr>
            </w:pPr>
            <w:r>
              <w:rPr>
                <w:rFonts w:hint="eastAsia"/>
                <w:b/>
                <w:bCs/>
              </w:rPr>
              <w:t xml:space="preserve">  </w:t>
            </w:r>
            <w:r>
              <w:rPr>
                <w:bCs/>
              </w:rPr>
              <w:t xml:space="preserve"> </w:t>
            </w:r>
            <w:r>
              <w:rPr>
                <w:rFonts w:hint="eastAsia"/>
                <w:bCs/>
              </w:rPr>
              <w:t xml:space="preserve">  </w:t>
            </w:r>
            <w:r>
              <w:rPr>
                <w:rFonts w:ascii="宋体" w:hAnsi="宋体"/>
                <w:bCs/>
              </w:rPr>
              <w:t>1、</w:t>
            </w:r>
            <w:r>
              <w:rPr>
                <w:rFonts w:ascii="宋体" w:hAnsi="宋体" w:hint="eastAsia"/>
                <w:bCs/>
              </w:rPr>
              <w:t>研究目的：随着经济的不断发展，商业信用的不断加强，企业对收账款管理越来越重要。应收账款对生产经营有很重要的影响，如果管理不善，不仅不能收回应收账款，还会给企业带来经济危机，所以有效的管理应收账款非常重要。文章通过分析公司应收账款管理过程，找出应收账款管理过程中存在的问题，分析问题产生的原因。提出有效提高企业应收账款管理的方法，为企业创造有效利润提供更大的发展空间。</w:t>
            </w:r>
          </w:p>
          <w:p>
            <w:pPr>
              <w:spacing w:line="360" w:lineRule="exact"/>
              <w:rPr>
                <w:rFonts w:ascii="宋体" w:hAnsi="宋体"/>
                <w:bCs/>
              </w:rPr>
            </w:pPr>
            <w:r>
              <w:rPr>
                <w:rFonts w:ascii="宋体" w:hAnsi="宋体" w:hint="eastAsia"/>
                <w:bCs/>
              </w:rPr>
              <w:t xml:space="preserve">  </w:t>
            </w:r>
            <w:r>
              <w:rPr>
                <w:rFonts w:ascii="宋体" w:hAnsi="宋体"/>
                <w:bCs/>
              </w:rPr>
              <w:t xml:space="preserve"> </w:t>
            </w:r>
            <w:r>
              <w:rPr>
                <w:rFonts w:ascii="宋体" w:hAnsi="宋体" w:hint="eastAsia"/>
                <w:bCs/>
              </w:rPr>
              <w:t xml:space="preserve">  </w:t>
            </w:r>
            <w:r>
              <w:rPr>
                <w:rFonts w:ascii="宋体" w:hAnsi="宋体"/>
                <w:bCs/>
              </w:rPr>
              <w:t>2、</w:t>
            </w:r>
            <w:r>
              <w:rPr>
                <w:rFonts w:ascii="宋体" w:hAnsi="宋体" w:hint="eastAsia"/>
                <w:bCs/>
              </w:rPr>
              <w:t>研究意义：</w:t>
            </w:r>
          </w:p>
          <w:p>
            <w:pPr>
              <w:spacing w:line="360" w:lineRule="exact"/>
              <w:ind w:firstLine="420" w:firstLineChars="200"/>
              <w:rPr>
                <w:rFonts w:ascii="宋体" w:hAnsi="宋体"/>
                <w:bCs/>
              </w:rPr>
            </w:pPr>
            <w:r>
              <w:rPr>
                <w:rFonts w:ascii="宋体" w:hAnsi="宋体"/>
                <w:bCs/>
              </w:rPr>
              <w:t>（1）</w:t>
            </w:r>
            <w:r>
              <w:rPr>
                <w:rFonts w:ascii="宋体" w:hAnsi="宋体" w:hint="eastAsia"/>
                <w:bCs/>
              </w:rPr>
              <w:t>理论意义：随着经济的不断发展，企业的安全持续的发展显得尤为重要。在目前，有许多企业因未对应收账款采取有效的控制，导致企业的资金紧张，甚至陷入财务危机。为此，对企业应收账款的管理研究已迫在眉睫。文章以T公司为例的应收账款管理问题的研究，让企业更好的了解到应收账款管理的重要性、提高加强应收账款管理的意识。</w:t>
            </w:r>
          </w:p>
          <w:p>
            <w:pPr>
              <w:spacing w:line="360" w:lineRule="exact"/>
              <w:rPr>
                <w:bCs/>
                <w:color w:val="000000"/>
              </w:rPr>
            </w:pPr>
            <w:r>
              <w:rPr>
                <w:rFonts w:ascii="宋体" w:hAnsi="宋体" w:hint="eastAsia"/>
                <w:bCs/>
              </w:rPr>
              <w:t xml:space="preserve"> </w:t>
            </w:r>
            <w:r>
              <w:rPr>
                <w:rFonts w:ascii="宋体" w:hAnsi="宋体"/>
                <w:bCs/>
              </w:rPr>
              <w:t xml:space="preserve"> </w:t>
            </w:r>
            <w:r>
              <w:rPr>
                <w:rFonts w:ascii="宋体" w:hAnsi="宋体" w:hint="eastAsia"/>
                <w:bCs/>
              </w:rPr>
              <w:t xml:space="preserve">  </w:t>
            </w:r>
            <w:r>
              <w:rPr>
                <w:rFonts w:ascii="宋体" w:hAnsi="宋体"/>
                <w:bCs/>
              </w:rPr>
              <w:t>（2）</w:t>
            </w:r>
            <w:r>
              <w:rPr>
                <w:rFonts w:ascii="宋体" w:hAnsi="宋体" w:hint="eastAsia"/>
                <w:bCs/>
              </w:rPr>
              <w:t>现实意义：许多中国企业在应收账款管理中表现出较多问题，如缺乏相关风险管理意识，缺少系统的信用管理机制，对客户的信用政策了解过浅等。这些问题严重地制约了企业的应收账款管理水平。文章通过分析T公司应收账款管理的现状，找出应收账款管理存在的问题，并提出相应的对策和有价值的意义，合理的加强企业应收账款的日常管理工作。</w:t>
            </w:r>
          </w:p>
          <w:p>
            <w:pPr>
              <w:spacing w:line="360" w:lineRule="exact"/>
              <w:rPr>
                <w:b/>
                <w:bCs/>
              </w:rPr>
            </w:pPr>
            <w:r>
              <w:rPr>
                <w:rFonts w:hint="eastAsia"/>
                <w:b/>
                <w:bCs/>
              </w:rPr>
              <w:t>二、研究现状</w:t>
            </w:r>
          </w:p>
          <w:p>
            <w:pPr>
              <w:spacing w:line="360" w:lineRule="exact"/>
              <w:rPr>
                <w:rFonts w:ascii="宋体" w:hAnsi="宋体"/>
                <w:bCs/>
              </w:rPr>
            </w:pPr>
            <w:r>
              <w:rPr>
                <w:rFonts w:hint="eastAsia"/>
                <w:bCs/>
              </w:rPr>
              <w:t xml:space="preserve"> </w:t>
            </w:r>
            <w:r>
              <w:rPr>
                <w:bCs/>
              </w:rPr>
              <w:t xml:space="preserve">  </w:t>
            </w:r>
            <w:r>
              <w:rPr>
                <w:rFonts w:hint="eastAsia"/>
                <w:bCs/>
              </w:rPr>
              <w:t xml:space="preserve"> </w:t>
            </w:r>
            <w:r>
              <w:rPr>
                <w:rFonts w:ascii="宋体" w:hAnsi="宋体" w:hint="eastAsia"/>
                <w:bCs/>
              </w:rPr>
              <w:t xml:space="preserve"> </w:t>
            </w:r>
            <w:r>
              <w:rPr>
                <w:rFonts w:ascii="宋体" w:hAnsi="宋体"/>
                <w:bCs/>
              </w:rPr>
              <w:t>1、</w:t>
            </w:r>
            <w:r>
              <w:rPr>
                <w:rFonts w:ascii="宋体" w:hAnsi="宋体" w:hint="eastAsia"/>
                <w:bCs/>
              </w:rPr>
              <w:t>国外研究现状：早在100多年前，西方经济学家便开始将企业应收账款管理作为一门研究学科。应收账款来源于赊销，因此加强应收账款管理显得尤为重要。Ferris（1981）认为，企业的赊销与赊购活动通过将货物交易与货币交易分离，可以有效降低因商品交易过程中的不确定性所产生的交易成本；Emery（1987）认为赊销成为了一中需求管理的工具；Shezad L.Mian and Clifford W.Smith,Jr.（1992）研究了信用决策的五个方面；Petersen和Rajan（1994）对企业超过规定付款期支付货款的影响进行分析；Summer和Wilson（2000）评估分析保理融资方式的决定因素；James C.V.Home（2003）认为企业的信贷政策与宏观经济环境是影响企业应收账款管理的主要因素；Horen（2004）提出信用竞争理论；斯蒂芬•A•罗斯（2006）等提出使用机会成本和置换成本来诊断分析公司信用政策并将在特定信用政策下的机会成本和置换成本之和称为“总信用成本”。</w:t>
            </w:r>
          </w:p>
          <w:p>
            <w:pPr>
              <w:spacing w:after="0" w:line="360" w:lineRule="exact"/>
              <w:rPr>
                <w:b/>
                <w:bCs/>
              </w:rPr>
            </w:pPr>
            <w:r>
              <w:rPr>
                <w:rFonts w:ascii="宋体" w:hAnsi="宋体"/>
                <w:bCs/>
              </w:rPr>
              <w:t xml:space="preserve">   </w:t>
            </w:r>
            <w:r>
              <w:rPr>
                <w:rFonts w:ascii="宋体" w:hAnsi="宋体" w:hint="eastAsia"/>
                <w:bCs/>
              </w:rPr>
              <w:t xml:space="preserve">  </w:t>
            </w:r>
            <w:r>
              <w:rPr>
                <w:rFonts w:ascii="宋体" w:hAnsi="宋体"/>
                <w:bCs/>
              </w:rPr>
              <w:t>2、</w:t>
            </w:r>
          </w:p>
        </w:tc>
      </w:tr>
    </w:tbl>
    <w:p>
      <w:pPr>
        <w:sectPr>
          <w:pgSz w:w="11906" w:h="16838"/>
          <w:pgMar w:top="1418" w:right="1134" w:bottom="1418" w:left="1418" w:header="851" w:footer="851" w:gutter="0"/>
          <w:pgNumType w:start="4"/>
          <w:cols w:num="1" w:space="425"/>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28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286" w:type="dxa"/>
          </w:tcPr>
          <w:p>
            <w:pPr>
              <w:spacing w:before="0" w:line="360" w:lineRule="exact"/>
              <w:rPr>
                <w:b/>
                <w:bCs/>
              </w:rPr>
            </w:pPr>
            <w:r>
              <w:rPr>
                <w:rFonts w:ascii="宋体" w:hAnsi="宋体" w:hint="eastAsia"/>
                <w:bCs/>
              </w:rPr>
              <w:t>国内研究现状：国内目前企业应收账款研究的形式一般分为两种：一中是具体的、针对应收账款管理的研究。另一种是对应收账款的全面管理办法进行的系统研究。车宗义（2007）认为大多数企业高层管理人员及会计职能部门并没有高度重视应收账款的内控制度；陈永波（2007）针对商业信用管理指出企业的资信管理部门应该是由总经理或者是董事长直接领导下的独立的管理部门，该部门工作人员的主要职责就是对客户的信用情况进行事前、事中、事后的全程管理；纪峰（2009）认为信用管理有两面性，一方面给予信用，另一方面获得信用；任晓英（2010）指出，应收账款保理业务是指企业把由于赊销形成的应收账款有条件地转让给银行等金融机构，金融机构为企业提供资金并承担财务管理、催收应收账款和坏账担保等业务，企业可以借此回收账款，加快资金周转；张晓建（2012）结合我国开展保理业务的现状，比较了我国保理业务与发达国家的差距，并分析了差距存在的原因。</w:t>
            </w:r>
          </w:p>
          <w:p>
            <w:pPr>
              <w:spacing w:line="360" w:lineRule="exact"/>
              <w:rPr>
                <w:b/>
                <w:bCs/>
              </w:rPr>
            </w:pPr>
            <w:r>
              <w:rPr>
                <w:rFonts w:hint="eastAsia"/>
                <w:b/>
                <w:bCs/>
              </w:rPr>
              <w:t>三、研究内容</w:t>
            </w:r>
          </w:p>
          <w:p>
            <w:pPr>
              <w:spacing w:line="360" w:lineRule="exact"/>
              <w:rPr>
                <w:rFonts w:ascii="宋体" w:hAnsi="宋体"/>
                <w:bCs/>
              </w:rPr>
            </w:pPr>
            <w:r>
              <w:rPr>
                <w:rFonts w:ascii="宋体" w:hAnsi="宋体" w:hint="eastAsia"/>
                <w:bCs/>
              </w:rPr>
              <w:t xml:space="preserve">1 前言 </w:t>
            </w:r>
          </w:p>
          <w:p>
            <w:pPr>
              <w:spacing w:line="360" w:lineRule="exact"/>
              <w:rPr>
                <w:rFonts w:ascii="宋体" w:hAnsi="宋体"/>
                <w:bCs/>
              </w:rPr>
            </w:pPr>
            <w:r>
              <w:rPr>
                <w:rFonts w:ascii="宋体" w:hAnsi="宋体" w:hint="eastAsia"/>
                <w:bCs/>
              </w:rPr>
              <w:t>2 应收账款管理相关理论分析</w:t>
            </w:r>
          </w:p>
          <w:p>
            <w:pPr>
              <w:spacing w:line="360" w:lineRule="exact"/>
              <w:rPr>
                <w:rFonts w:ascii="宋体" w:hAnsi="宋体"/>
                <w:bCs/>
              </w:rPr>
            </w:pPr>
            <w:r>
              <w:rPr>
                <w:rFonts w:ascii="宋体" w:hAnsi="宋体" w:hint="eastAsia"/>
                <w:bCs/>
              </w:rPr>
              <w:t xml:space="preserve">  2.1 应收账款的含义</w:t>
            </w:r>
          </w:p>
          <w:p>
            <w:pPr>
              <w:spacing w:line="360" w:lineRule="exact"/>
              <w:rPr>
                <w:rFonts w:ascii="宋体" w:hAnsi="宋体"/>
                <w:bCs/>
              </w:rPr>
            </w:pPr>
            <w:r>
              <w:rPr>
                <w:rFonts w:ascii="宋体" w:hAnsi="宋体" w:hint="eastAsia"/>
                <w:bCs/>
              </w:rPr>
              <w:t xml:space="preserve">  2.2 应收账款管理的内容</w:t>
            </w:r>
          </w:p>
          <w:p>
            <w:pPr>
              <w:spacing w:line="360" w:lineRule="exact"/>
              <w:rPr>
                <w:rFonts w:ascii="宋体" w:hAnsi="宋体"/>
                <w:bCs/>
              </w:rPr>
            </w:pPr>
            <w:r>
              <w:rPr>
                <w:rFonts w:ascii="宋体" w:hAnsi="宋体" w:hint="eastAsia"/>
                <w:bCs/>
              </w:rPr>
              <w:t xml:space="preserve">  2.3 应收账款管理的制度</w:t>
            </w:r>
          </w:p>
          <w:p>
            <w:pPr>
              <w:spacing w:line="360" w:lineRule="exact"/>
              <w:rPr>
                <w:rFonts w:ascii="宋体" w:hAnsi="宋体"/>
                <w:bCs/>
              </w:rPr>
            </w:pPr>
            <w:r>
              <w:rPr>
                <w:rFonts w:ascii="宋体" w:hAnsi="宋体" w:hint="eastAsia"/>
                <w:bCs/>
              </w:rPr>
              <w:t>3 T公司应收账款管理现状分析</w:t>
            </w:r>
          </w:p>
          <w:p>
            <w:pPr>
              <w:spacing w:line="360" w:lineRule="exact"/>
              <w:rPr>
                <w:rFonts w:ascii="宋体" w:hAnsi="宋体"/>
                <w:bCs/>
              </w:rPr>
            </w:pPr>
            <w:r>
              <w:rPr>
                <w:rFonts w:ascii="宋体" w:hAnsi="宋体" w:hint="eastAsia"/>
                <w:bCs/>
              </w:rPr>
              <w:t xml:space="preserve">  3.1 T公司概况</w:t>
            </w:r>
          </w:p>
          <w:p>
            <w:pPr>
              <w:spacing w:line="360" w:lineRule="exact"/>
              <w:rPr>
                <w:rFonts w:ascii="宋体" w:hAnsi="宋体"/>
                <w:bCs/>
              </w:rPr>
            </w:pPr>
            <w:r>
              <w:rPr>
                <w:rFonts w:ascii="宋体" w:hAnsi="宋体" w:hint="eastAsia"/>
                <w:bCs/>
              </w:rPr>
              <w:t xml:space="preserve">  3.2 T公司应收账款现状</w:t>
            </w:r>
          </w:p>
          <w:p>
            <w:pPr>
              <w:spacing w:line="360" w:lineRule="exact"/>
              <w:rPr>
                <w:rFonts w:ascii="宋体" w:hAnsi="宋体"/>
                <w:bCs/>
              </w:rPr>
            </w:pPr>
            <w:r>
              <w:rPr>
                <w:rFonts w:ascii="宋体" w:hAnsi="宋体" w:hint="eastAsia"/>
                <w:bCs/>
              </w:rPr>
              <w:t xml:space="preserve">  3.3 T公司应收账款管理现状</w:t>
            </w:r>
          </w:p>
          <w:p>
            <w:pPr>
              <w:spacing w:line="360" w:lineRule="exact"/>
              <w:rPr>
                <w:rFonts w:ascii="宋体" w:hAnsi="宋体"/>
                <w:bCs/>
              </w:rPr>
            </w:pPr>
            <w:r>
              <w:rPr>
                <w:rFonts w:ascii="宋体" w:hAnsi="宋体" w:hint="eastAsia"/>
                <w:bCs/>
              </w:rPr>
              <w:t>4 T公司应收账款管理存在的问题</w:t>
            </w:r>
          </w:p>
          <w:p>
            <w:pPr>
              <w:spacing w:line="360" w:lineRule="exact"/>
              <w:rPr>
                <w:rFonts w:ascii="宋体" w:hAnsi="宋体"/>
                <w:bCs/>
              </w:rPr>
            </w:pPr>
            <w:r>
              <w:rPr>
                <w:rFonts w:ascii="宋体" w:hAnsi="宋体" w:hint="eastAsia"/>
                <w:bCs/>
              </w:rPr>
              <w:t xml:space="preserve">  4.1没有建立有效信用管理制度</w:t>
            </w:r>
          </w:p>
          <w:p>
            <w:pPr>
              <w:spacing w:line="360" w:lineRule="exact"/>
              <w:rPr>
                <w:rFonts w:ascii="宋体" w:hAnsi="宋体"/>
                <w:bCs/>
              </w:rPr>
            </w:pPr>
            <w:r>
              <w:rPr>
                <w:rFonts w:ascii="宋体" w:hAnsi="宋体" w:hint="eastAsia"/>
                <w:bCs/>
              </w:rPr>
              <w:t xml:space="preserve">  4.2经营层信用管理意识不强烈</w:t>
            </w:r>
          </w:p>
          <w:p>
            <w:pPr>
              <w:spacing w:line="360" w:lineRule="exact"/>
              <w:rPr>
                <w:rFonts w:ascii="宋体" w:hAnsi="宋体"/>
                <w:bCs/>
              </w:rPr>
            </w:pPr>
            <w:r>
              <w:rPr>
                <w:rFonts w:ascii="宋体" w:hAnsi="宋体" w:hint="eastAsia"/>
                <w:bCs/>
              </w:rPr>
              <w:t xml:space="preserve">  4.3应收账款的日常管理松散</w:t>
            </w:r>
          </w:p>
          <w:p>
            <w:pPr>
              <w:spacing w:line="360" w:lineRule="exact"/>
              <w:rPr>
                <w:rFonts w:ascii="宋体" w:hAnsi="宋体"/>
                <w:bCs/>
              </w:rPr>
            </w:pPr>
            <w:r>
              <w:rPr>
                <w:rFonts w:ascii="宋体" w:hAnsi="宋体" w:hint="eastAsia"/>
                <w:bCs/>
              </w:rPr>
              <w:t>5 T公司应收账款管理的对策及建议</w:t>
            </w:r>
          </w:p>
          <w:p>
            <w:pPr>
              <w:spacing w:line="360" w:lineRule="exact"/>
              <w:rPr>
                <w:rFonts w:ascii="宋体" w:hAnsi="宋体"/>
                <w:bCs/>
              </w:rPr>
            </w:pPr>
            <w:r>
              <w:rPr>
                <w:rFonts w:ascii="宋体" w:hAnsi="宋体" w:hint="eastAsia"/>
                <w:bCs/>
              </w:rPr>
              <w:t xml:space="preserve">  5.1信用政策的制定</w:t>
            </w:r>
          </w:p>
          <w:p>
            <w:pPr>
              <w:spacing w:line="360" w:lineRule="exact"/>
              <w:rPr>
                <w:rFonts w:ascii="宋体" w:hAnsi="宋体"/>
                <w:bCs/>
              </w:rPr>
            </w:pPr>
            <w:r>
              <w:rPr>
                <w:rFonts w:ascii="宋体" w:hAnsi="宋体" w:hint="eastAsia"/>
                <w:bCs/>
              </w:rPr>
              <w:t xml:space="preserve">  5.2 提高管理层对应收账款管理的重视</w:t>
            </w:r>
          </w:p>
          <w:p>
            <w:pPr>
              <w:spacing w:line="360" w:lineRule="exact"/>
              <w:rPr>
                <w:rFonts w:ascii="宋体" w:hAnsi="宋体"/>
                <w:bCs/>
              </w:rPr>
            </w:pPr>
            <w:r>
              <w:rPr>
                <w:rFonts w:ascii="宋体" w:hAnsi="宋体" w:hint="eastAsia"/>
                <w:bCs/>
              </w:rPr>
              <w:t xml:space="preserve">  5.3 加强应收账款的日常管理</w:t>
            </w:r>
          </w:p>
          <w:p>
            <w:pPr>
              <w:spacing w:line="360" w:lineRule="exact"/>
              <w:rPr>
                <w:rFonts w:ascii="宋体" w:hAnsi="宋体"/>
                <w:bCs/>
              </w:rPr>
            </w:pPr>
            <w:r>
              <w:rPr>
                <w:rFonts w:ascii="宋体" w:hAnsi="宋体" w:hint="eastAsia"/>
                <w:bCs/>
              </w:rPr>
              <w:t>6 结论</w:t>
            </w:r>
          </w:p>
          <w:p>
            <w:pPr>
              <w:spacing w:line="360" w:lineRule="exact"/>
              <w:rPr>
                <w:rFonts w:ascii="宋体" w:hAnsi="宋体"/>
                <w:bCs/>
              </w:rPr>
            </w:pPr>
            <w:r>
              <w:rPr>
                <w:rFonts w:ascii="宋体" w:hAnsi="宋体" w:hint="eastAsia"/>
                <w:bCs/>
              </w:rPr>
              <w:t>参考文献</w:t>
            </w:r>
          </w:p>
          <w:p>
            <w:pPr>
              <w:spacing w:line="360" w:lineRule="exact"/>
              <w:rPr>
                <w:rFonts w:ascii="宋体" w:hAnsi="宋体"/>
                <w:bCs/>
              </w:rPr>
            </w:pPr>
            <w:r>
              <w:rPr>
                <w:rFonts w:ascii="宋体" w:hAnsi="宋体" w:hint="eastAsia"/>
                <w:bCs/>
              </w:rPr>
              <w:t>致谢</w:t>
            </w:r>
          </w:p>
          <w:p>
            <w:pPr>
              <w:spacing w:line="360" w:lineRule="exact"/>
              <w:rPr>
                <w:b/>
                <w:bCs/>
              </w:rPr>
            </w:pPr>
            <w:r>
              <w:rPr>
                <w:rFonts w:hint="eastAsia"/>
                <w:b/>
                <w:bCs/>
              </w:rPr>
              <w:t>四、研究方案</w:t>
            </w:r>
          </w:p>
          <w:p>
            <w:pPr>
              <w:spacing w:line="360" w:lineRule="exact"/>
              <w:ind w:firstLine="525" w:firstLineChars="250"/>
              <w:rPr>
                <w:rFonts w:ascii="宋体" w:hAnsi="宋体"/>
              </w:rPr>
            </w:pPr>
            <w:r>
              <w:rPr>
                <w:rFonts w:ascii="宋体" w:hAnsi="宋体" w:hint="eastAsia"/>
                <w:bCs/>
              </w:rPr>
              <w:t>1、利用中国知网、维普、万方等数据库完成与毕业论文相关内容的论文的检索；利用图书馆的图书资源查阅相关的理论内容；充分的利用互联网进行资料的检索收集。</w:t>
            </w:r>
          </w:p>
          <w:p>
            <w:pPr>
              <w:spacing w:line="360" w:lineRule="exact"/>
              <w:ind w:firstLine="523" w:firstLineChars="249"/>
              <w:rPr>
                <w:rFonts w:ascii="宋体" w:hAnsi="宋体"/>
                <w:color w:val="000000"/>
              </w:rPr>
            </w:pPr>
            <w:r>
              <w:rPr>
                <w:rFonts w:ascii="宋体" w:hAnsi="宋体" w:hint="eastAsia"/>
                <w:bCs/>
                <w:color w:val="000000"/>
              </w:rPr>
              <w:t>2、本文通过文献资料法完成。通过调查文献来获取资料，从而全面、正确的了解应收账款管理的问题，并通过这个研究方法了解应收账款管理问题存在的原因。以及进行适度措施和建议。</w:t>
            </w:r>
          </w:p>
          <w:p>
            <w:pPr>
              <w:spacing w:line="360" w:lineRule="exact"/>
              <w:rPr>
                <w:b/>
              </w:rPr>
            </w:pPr>
            <w:r>
              <w:rPr>
                <w:rFonts w:hint="eastAsia"/>
                <w:b/>
              </w:rPr>
              <w:t>五、进度安排</w:t>
            </w:r>
          </w:p>
          <w:p>
            <w:pPr>
              <w:spacing w:line="360" w:lineRule="exact"/>
              <w:rPr>
                <w:rFonts w:ascii="宋体" w:hAnsi="宋体"/>
              </w:rPr>
            </w:pPr>
            <w:r>
              <w:rPr>
                <w:rFonts w:ascii="宋体" w:hAnsi="宋体" w:hint="eastAsia"/>
              </w:rPr>
              <w:t>1、确定毕业论文的选题，收集资料，整理资料，完成论文的任务书。2016-10-15至2016-10-31</w:t>
            </w:r>
          </w:p>
          <w:p>
            <w:pPr>
              <w:spacing w:line="360" w:lineRule="exact"/>
              <w:rPr>
                <w:rFonts w:ascii="宋体" w:hAnsi="宋体"/>
              </w:rPr>
            </w:pPr>
            <w:r>
              <w:rPr>
                <w:rFonts w:ascii="宋体" w:hAnsi="宋体" w:hint="eastAsia"/>
              </w:rPr>
              <w:t>2、编写论文提纲，撰写开题报告，进行开题。2016-11-1至2016-11-20</w:t>
            </w:r>
          </w:p>
          <w:p>
            <w:pPr>
              <w:spacing w:line="360" w:lineRule="exact"/>
              <w:rPr>
                <w:rFonts w:ascii="宋体" w:hAnsi="宋体"/>
              </w:rPr>
            </w:pPr>
            <w:r>
              <w:rPr>
                <w:rFonts w:ascii="宋体" w:hAnsi="宋体" w:hint="eastAsia"/>
              </w:rPr>
              <w:t>3、实习期间进行一步查找资料，作社会调查。2016-11-21至2016-11-30</w:t>
            </w:r>
          </w:p>
          <w:p>
            <w:pPr>
              <w:spacing w:line="360" w:lineRule="exact"/>
              <w:rPr>
                <w:rFonts w:ascii="宋体" w:hAnsi="宋体"/>
              </w:rPr>
            </w:pPr>
            <w:r>
              <w:rPr>
                <w:rFonts w:ascii="宋体" w:hAnsi="宋体" w:hint="eastAsia"/>
              </w:rPr>
              <w:t>4、撰写论文，完成第一稿，并交指导教师。2016-12-1至2017-1-15</w:t>
            </w:r>
          </w:p>
          <w:p>
            <w:pPr>
              <w:spacing w:line="360" w:lineRule="exact"/>
              <w:rPr>
                <w:rFonts w:ascii="宋体" w:hAnsi="宋体"/>
              </w:rPr>
            </w:pPr>
            <w:r>
              <w:rPr>
                <w:rFonts w:ascii="宋体" w:hAnsi="宋体" w:hint="eastAsia"/>
              </w:rPr>
              <w:t>5、指导教师阅改论文。2017-1-16至2017-1-31</w:t>
            </w:r>
          </w:p>
        </w:tc>
      </w:tr>
    </w:tbl>
    <w:p>
      <w:pPr>
        <w:sectPr>
          <w:type w:val="nextPage"/>
          <w:pgSz w:w="11906" w:h="16838"/>
          <w:pgMar w:top="1418" w:right="1134" w:bottom="1418" w:left="1418" w:header="851" w:footer="851" w:gutter="0"/>
          <w:pgNumType w:start="5"/>
          <w:cols w:num="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28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286" w:type="dxa"/>
          </w:tcPr>
          <w:p>
            <w:pPr>
              <w:spacing w:line="360" w:lineRule="exact"/>
              <w:rPr>
                <w:rFonts w:ascii="宋体" w:hAnsi="宋体"/>
              </w:rPr>
            </w:pPr>
            <w:r>
              <w:rPr>
                <w:rFonts w:ascii="宋体" w:hAnsi="宋体" w:hint="eastAsia"/>
              </w:rPr>
              <w:t>6、修改论文，完成第2稿，并交指导教师。2017-2-1至2017-2-29</w:t>
            </w:r>
          </w:p>
          <w:p>
            <w:pPr>
              <w:spacing w:line="360" w:lineRule="exact"/>
              <w:rPr>
                <w:rFonts w:ascii="宋体" w:hAnsi="宋体"/>
              </w:rPr>
            </w:pPr>
            <w:r>
              <w:rPr>
                <w:rFonts w:ascii="宋体" w:hAnsi="宋体" w:hint="eastAsia"/>
              </w:rPr>
              <w:t>7、指导教师阅改论文。2017-3-1至2017-3-15</w:t>
            </w:r>
          </w:p>
          <w:p>
            <w:pPr>
              <w:spacing w:line="360" w:lineRule="exact"/>
              <w:rPr>
                <w:rFonts w:ascii="宋体" w:hAnsi="宋体"/>
              </w:rPr>
            </w:pPr>
            <w:r>
              <w:rPr>
                <w:rFonts w:ascii="宋体" w:hAnsi="宋体" w:hint="eastAsia"/>
              </w:rPr>
              <w:t>8、修改论文，完成第3稿，并交指导教师。2017-3-16至2017-4-10</w:t>
            </w:r>
          </w:p>
          <w:p>
            <w:pPr>
              <w:spacing w:line="360" w:lineRule="exact"/>
              <w:rPr>
                <w:rFonts w:ascii="宋体" w:hAnsi="宋体"/>
              </w:rPr>
            </w:pPr>
            <w:r>
              <w:rPr>
                <w:rFonts w:ascii="宋体" w:hAnsi="宋体" w:hint="eastAsia"/>
              </w:rPr>
              <w:t>9、指导教师阅改论文，并返还学生，修改后立即交指导教师。2017-4-11至2017-4-30</w:t>
            </w:r>
          </w:p>
          <w:p>
            <w:pPr>
              <w:spacing w:line="360" w:lineRule="exact"/>
              <w:rPr>
                <w:rFonts w:ascii="宋体" w:hAnsi="宋体"/>
              </w:rPr>
            </w:pPr>
            <w:r>
              <w:rPr>
                <w:rFonts w:ascii="宋体" w:hAnsi="宋体" w:hint="eastAsia"/>
              </w:rPr>
              <w:t>10、专家评阅。2017-5-1至2017-5-10</w:t>
            </w:r>
          </w:p>
          <w:p>
            <w:pPr>
              <w:spacing w:line="360" w:lineRule="exact"/>
              <w:rPr>
                <w:rFonts w:ascii="宋体" w:hAnsi="宋体"/>
              </w:rPr>
            </w:pPr>
            <w:r>
              <w:rPr>
                <w:rFonts w:ascii="宋体" w:hAnsi="宋体" w:hint="eastAsia"/>
              </w:rPr>
              <w:t>11、毕业论文答辩。2017-5-11至2017-5-24</w:t>
            </w:r>
          </w:p>
          <w:p>
            <w:pPr>
              <w:spacing w:line="360" w:lineRule="exact"/>
              <w:rPr>
                <w:rFonts w:ascii="宋体" w:hAnsi="宋体"/>
              </w:rPr>
            </w:pPr>
            <w:r>
              <w:rPr>
                <w:rFonts w:ascii="宋体" w:hAnsi="宋体" w:hint="eastAsia"/>
              </w:rPr>
              <w:t>12、评定学生最终论文成绩，评出院内优秀论文。2017-5-25至2017-5-31</w:t>
            </w:r>
          </w:p>
          <w:p>
            <w:pPr>
              <w:spacing w:line="360" w:lineRule="exact"/>
              <w:rPr>
                <w:b/>
              </w:rPr>
            </w:pPr>
            <w:r>
              <w:rPr>
                <w:rFonts w:hint="eastAsia"/>
                <w:b/>
              </w:rPr>
              <w:t>六、预期结果</w:t>
            </w:r>
          </w:p>
          <w:p>
            <w:pPr>
              <w:spacing w:line="360" w:lineRule="exact"/>
              <w:ind w:firstLine="412" w:firstLineChars="196"/>
              <w:rPr>
                <w:color w:val="000000"/>
              </w:rPr>
            </w:pPr>
            <w:r>
              <w:rPr>
                <w:rFonts w:hint="eastAsia"/>
                <w:color w:val="000000"/>
              </w:rPr>
              <w:t>通过撰写本篇论文，预期能为我国企业在进行应收账款管理方面提供一些有价值的建议，在结合我国基本国情的基础上，合理的加强企业应收账款的日常管理工作。</w:t>
            </w:r>
          </w:p>
          <w:p>
            <w:pPr>
              <w:spacing w:line="360" w:lineRule="exact"/>
              <w:rPr>
                <w:b/>
              </w:rPr>
            </w:pPr>
            <w:r>
              <w:rPr>
                <w:rFonts w:hint="eastAsia"/>
                <w:b/>
              </w:rPr>
              <w:t>七、参考文献</w:t>
            </w:r>
          </w:p>
          <w:p>
            <w:pPr>
              <w:rPr>
                <w:rFonts w:ascii="宋体" w:hAnsi="宋体"/>
                <w:color w:val="000000"/>
              </w:rPr>
            </w:pPr>
            <w:r>
              <w:rPr>
                <w:rFonts w:ascii="宋体" w:hAnsi="宋体" w:hint="eastAsia"/>
                <w:color w:val="000000"/>
              </w:rPr>
              <w:t>[1]  潘斌.企业应收账款管理现状分析[J].财会通讯,2014,(2):65-68.</w:t>
            </w:r>
          </w:p>
          <w:p>
            <w:pPr>
              <w:rPr>
                <w:rFonts w:ascii="宋体" w:hAnsi="宋体"/>
                <w:color w:val="000000"/>
              </w:rPr>
            </w:pPr>
            <w:r>
              <w:rPr>
                <w:rFonts w:ascii="宋体" w:hAnsi="宋体" w:hint="eastAsia"/>
                <w:color w:val="000000"/>
              </w:rPr>
              <w:t>[2]  刘金燕.基于信用管理的A企业应收账款控制研究[D].青岛理工大学.2015.</w:t>
            </w:r>
          </w:p>
          <w:p>
            <w:pPr>
              <w:rPr>
                <w:rFonts w:ascii="宋体" w:hAnsi="宋体"/>
                <w:color w:val="000000"/>
              </w:rPr>
            </w:pPr>
            <w:r>
              <w:rPr>
                <w:rFonts w:ascii="宋体" w:hAnsi="宋体" w:hint="eastAsia"/>
                <w:color w:val="000000"/>
              </w:rPr>
              <w:t>[3]  李晓兰.S公司应收账款管理研究[D]. 云南大学.2015.</w:t>
            </w:r>
          </w:p>
          <w:p>
            <w:pPr>
              <w:rPr>
                <w:rFonts w:ascii="宋体" w:hAnsi="宋体"/>
                <w:color w:val="000000"/>
              </w:rPr>
            </w:pPr>
            <w:r>
              <w:rPr>
                <w:rFonts w:ascii="宋体" w:hAnsi="宋体" w:hint="eastAsia"/>
                <w:color w:val="000000"/>
              </w:rPr>
              <w:t>[4]  杨晓岚.加强应收账款管理防范企业财务风险[J].中国商论,2015,(25)：033-035.</w:t>
            </w:r>
          </w:p>
          <w:p>
            <w:pPr>
              <w:rPr>
                <w:rFonts w:ascii="宋体" w:hAnsi="宋体"/>
                <w:color w:val="000000"/>
              </w:rPr>
            </w:pPr>
            <w:r>
              <w:rPr>
                <w:rFonts w:ascii="宋体" w:hAnsi="宋体" w:hint="eastAsia"/>
                <w:color w:val="000000"/>
              </w:rPr>
              <w:t>[5]  张童.应收账款管理中的对策研究[J].财会学习,2016,(10):70.</w:t>
            </w:r>
          </w:p>
          <w:p>
            <w:pPr>
              <w:rPr>
                <w:rFonts w:ascii="宋体" w:hAnsi="宋体"/>
                <w:color w:val="000000"/>
              </w:rPr>
            </w:pPr>
            <w:r>
              <w:rPr>
                <w:rFonts w:ascii="宋体" w:hAnsi="宋体" w:hint="eastAsia"/>
                <w:color w:val="000000"/>
              </w:rPr>
              <w:t>[6]  许艺强.浅谈如何加强企业应收账款管理[J].经营者,2015,(11):161-162.</w:t>
            </w:r>
          </w:p>
          <w:p>
            <w:pPr>
              <w:rPr>
                <w:rFonts w:ascii="宋体" w:hAnsi="宋体"/>
                <w:color w:val="000000"/>
              </w:rPr>
            </w:pPr>
            <w:r>
              <w:rPr>
                <w:rFonts w:ascii="宋体" w:hAnsi="宋体" w:hint="eastAsia"/>
                <w:color w:val="000000"/>
              </w:rPr>
              <w:t>[7]  康煊. 应收账款管理研究[D]. 首都经济贸易大学.2014.</w:t>
            </w:r>
          </w:p>
          <w:p>
            <w:pPr>
              <w:rPr>
                <w:rFonts w:ascii="宋体" w:hAnsi="宋体"/>
                <w:color w:val="000000"/>
              </w:rPr>
            </w:pPr>
            <w:r>
              <w:rPr>
                <w:rFonts w:ascii="宋体" w:hAnsi="宋体" w:hint="eastAsia"/>
                <w:color w:val="000000"/>
              </w:rPr>
              <w:t>[8]  王奥.中小企业应收账款管理的问题及对策研究[J].品牌,2015,(1):95-96.</w:t>
            </w:r>
          </w:p>
          <w:p>
            <w:pPr>
              <w:rPr>
                <w:rFonts w:ascii="宋体" w:hAnsi="宋体"/>
                <w:color w:val="000000"/>
              </w:rPr>
            </w:pPr>
            <w:r>
              <w:rPr>
                <w:rFonts w:ascii="宋体" w:hAnsi="宋体" w:hint="eastAsia"/>
                <w:color w:val="000000"/>
              </w:rPr>
              <w:t>[9]  国燕萍,郭黎. 中小企业应收账款管理策略[J].财会月刊,2013,(7):87-88.</w:t>
            </w:r>
          </w:p>
          <w:p>
            <w:pPr>
              <w:rPr>
                <w:rFonts w:ascii="宋体" w:hAnsi="宋体"/>
                <w:color w:val="000000"/>
              </w:rPr>
            </w:pPr>
            <w:r>
              <w:rPr>
                <w:rFonts w:ascii="宋体" w:hAnsi="宋体" w:hint="eastAsia"/>
                <w:color w:val="000000"/>
              </w:rPr>
              <w:t>[10] 王艳红.中小企业如何加强应收账款管理[J].经营者,2015,(2):92-93.</w:t>
            </w:r>
          </w:p>
          <w:p>
            <w:pPr>
              <w:rPr>
                <w:rFonts w:ascii="宋体" w:hAnsi="宋体"/>
                <w:color w:val="000000"/>
              </w:rPr>
            </w:pPr>
            <w:r>
              <w:rPr>
                <w:rFonts w:ascii="宋体" w:hAnsi="宋体" w:hint="eastAsia"/>
                <w:color w:val="000000"/>
              </w:rPr>
              <w:t>[11] 肖迪.海尔应收账款的管理研究[D].云南大学.2015</w:t>
            </w:r>
          </w:p>
          <w:p>
            <w:pPr>
              <w:ind w:left="420" w:hanging="420" w:hangingChars="200"/>
              <w:rPr>
                <w:rFonts w:ascii="宋体" w:hAnsi="宋体"/>
                <w:color w:val="000000"/>
              </w:rPr>
            </w:pPr>
            <w:r>
              <w:rPr>
                <w:rFonts w:ascii="宋体" w:hAnsi="宋体" w:hint="eastAsia"/>
                <w:color w:val="000000"/>
              </w:rPr>
              <w:t>[12] 王阳阳.我国上市公司应收账款管理与控制研究——以XH公司为例[D].财政部财政科学研究所.2014.</w:t>
            </w:r>
          </w:p>
          <w:p>
            <w:pPr>
              <w:rPr>
                <w:rFonts w:ascii="宋体" w:hAnsi="宋体"/>
                <w:color w:val="000000"/>
              </w:rPr>
            </w:pPr>
            <w:r>
              <w:rPr>
                <w:rFonts w:ascii="宋体" w:hAnsi="宋体" w:hint="eastAsia"/>
                <w:color w:val="000000"/>
              </w:rPr>
              <w:t>[13]</w:t>
            </w:r>
            <w:r>
              <w:rPr>
                <w:color w:val="000000"/>
              </w:rPr>
              <w:t xml:space="preserve"> Eleonora Kontuš Economic Thought and Practice.Management of Accounts Receivable in a Company [J].Hrcak.2013</w:t>
            </w:r>
            <w:r>
              <w:rPr>
                <w:rFonts w:hint="eastAsia"/>
                <w:color w:val="000000"/>
              </w:rPr>
              <w:t>,(5):35-36.</w:t>
            </w:r>
          </w:p>
          <w:p>
            <w:pPr>
              <w:rPr>
                <w:color w:val="000000"/>
              </w:rPr>
            </w:pPr>
          </w:p>
          <w:p>
            <w:pPr>
              <w:rPr>
                <w:color w:val="000000"/>
              </w:rPr>
            </w:pPr>
          </w:p>
          <w:p>
            <w:pPr>
              <w:rPr>
                <w:b/>
                <w:color w:val="FF0000"/>
              </w:rPr>
            </w:pPr>
          </w:p>
          <w:p>
            <w:pPr>
              <w:rPr>
                <w:b/>
                <w:color w:val="FF0000"/>
              </w:rPr>
            </w:pPr>
          </w:p>
          <w:p>
            <w:pPr>
              <w:rPr>
                <w:b/>
                <w:color w:val="FF0000"/>
              </w:rPr>
            </w:pPr>
          </w:p>
          <w:p>
            <w:pPr>
              <w:rPr>
                <w:b/>
                <w:color w:val="FF0000"/>
              </w:rPr>
            </w:pPr>
          </w:p>
          <w:p>
            <w:pPr>
              <w:rPr>
                <w:b/>
                <w:color w:val="FF0000"/>
              </w:rPr>
            </w:pPr>
          </w:p>
          <w:p>
            <w:pPr>
              <w:rPr>
                <w:b/>
                <w:color w:val="FF0000"/>
              </w:rPr>
            </w:pPr>
          </w:p>
          <w:p>
            <w:pPr>
              <w:rPr>
                <w:b/>
                <w:color w:val="FF0000"/>
              </w:rPr>
            </w:pPr>
          </w:p>
          <w:p>
            <w:pPr>
              <w:rPr>
                <w:b/>
                <w:color w:val="FF0000"/>
              </w:rPr>
            </w:pPr>
          </w:p>
          <w:p>
            <w:pPr>
              <w:rPr>
                <w:b/>
                <w:color w:val="FF0000"/>
              </w:rPr>
            </w:pPr>
          </w:p>
          <w:p>
            <w:pPr>
              <w:rPr>
                <w:b/>
                <w:color w:val="FF0000"/>
              </w:rPr>
            </w:pPr>
          </w:p>
          <w:p>
            <w:pPr>
              <w:rPr>
                <w:b/>
                <w:color w:val="FF0000"/>
              </w:rPr>
            </w:pPr>
          </w:p>
          <w:p>
            <w:pPr>
              <w:rPr>
                <w:b/>
                <w:color w:val="FF0000"/>
              </w:rPr>
            </w:pPr>
          </w:p>
          <w:p>
            <w:pPr>
              <w:rPr>
                <w:b/>
                <w:color w:val="FF0000"/>
              </w:rPr>
            </w:pPr>
          </w:p>
        </w:tc>
      </w:tr>
      <w:tr>
        <w:tblPrEx>
          <w:tblW w:w="0" w:type="auto"/>
          <w:tblInd w:w="0" w:type="dxa"/>
          <w:tblCellMar>
            <w:top w:w="0" w:type="dxa"/>
            <w:left w:w="108" w:type="dxa"/>
            <w:bottom w:w="0" w:type="dxa"/>
            <w:right w:w="108" w:type="dxa"/>
          </w:tblCellMar>
        </w:tblPrEx>
        <w:tc>
          <w:tcPr>
            <w:tcW w:w="9286" w:type="dxa"/>
          </w:tcPr>
          <w:p>
            <w:pPr>
              <w:tabs>
                <w:tab w:val="left" w:pos="4900"/>
                <w:tab w:val="right" w:pos="7472"/>
              </w:tabs>
              <w:spacing w:before="156" w:beforeLines="50"/>
              <w:rPr>
                <w:rFonts w:ascii="宋体"/>
                <w:b/>
                <w:bCs/>
              </w:rPr>
            </w:pPr>
            <w:r>
              <w:rPr>
                <w:rFonts w:ascii="宋体" w:hint="eastAsia"/>
                <w:b/>
                <w:bCs/>
              </w:rPr>
              <w:t>指导教师意见：</w:t>
            </w:r>
          </w:p>
        </w:tc>
      </w:tr>
    </w:tbl>
    <w:p>
      <w:pPr>
        <w:sectPr>
          <w:type w:val="nextPage"/>
          <w:pgSz w:w="11906" w:h="16838"/>
          <w:pgMar w:top="1418" w:right="1134" w:bottom="1418" w:left="1418" w:header="851" w:footer="851" w:gutter="0"/>
          <w:pgNumType w:start="6"/>
          <w:cols w:num="1" w:space="425"/>
          <w:titlePg w:val="0"/>
          <w:docGrid w:type="lines" w:linePitch="312" w:charSpace="0"/>
        </w:sectPr>
      </w:pP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286"/>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Ex>
        <w:tc>
          <w:tcPr>
            <w:tcW w:w="9286" w:type="dxa"/>
          </w:tcPr>
          <w:p>
            <w:pPr>
              <w:tabs>
                <w:tab w:val="left" w:pos="4900"/>
                <w:tab w:val="right" w:pos="7472"/>
              </w:tabs>
              <w:rPr>
                <w:rFonts w:ascii="宋体"/>
              </w:rPr>
            </w:pPr>
          </w:p>
          <w:p>
            <w:pPr>
              <w:tabs>
                <w:tab w:val="left" w:pos="4900"/>
                <w:tab w:val="right" w:pos="7472"/>
              </w:tabs>
              <w:rPr>
                <w:rFonts w:ascii="宋体"/>
              </w:rPr>
            </w:pPr>
          </w:p>
          <w:p>
            <w:pPr>
              <w:tabs>
                <w:tab w:val="left" w:pos="4900"/>
                <w:tab w:val="right" w:pos="7472"/>
              </w:tabs>
              <w:rPr>
                <w:rFonts w:ascii="宋体"/>
              </w:rPr>
            </w:pPr>
          </w:p>
          <w:p>
            <w:pPr>
              <w:tabs>
                <w:tab w:val="left" w:pos="4900"/>
                <w:tab w:val="right" w:pos="7472"/>
              </w:tabs>
              <w:rPr>
                <w:rFonts w:ascii="宋体"/>
              </w:rPr>
            </w:pPr>
          </w:p>
          <w:p>
            <w:pPr>
              <w:spacing w:before="156" w:beforeLines="50" w:after="156" w:afterLines="50"/>
              <w:ind w:firstLine="4830" w:firstLineChars="2300"/>
              <w:rPr>
                <w:rFonts w:ascii="宋体"/>
              </w:rPr>
            </w:pPr>
          </w:p>
          <w:p>
            <w:pPr>
              <w:spacing w:before="156" w:beforeLines="50" w:after="156" w:afterLines="50"/>
              <w:ind w:firstLine="4830" w:firstLineChars="2300"/>
              <w:rPr>
                <w:rFonts w:ascii="宋体"/>
              </w:rPr>
            </w:pPr>
          </w:p>
          <w:p>
            <w:pPr>
              <w:spacing w:before="156" w:beforeLines="50" w:after="156" w:afterLines="50"/>
              <w:ind w:firstLine="4830" w:firstLineChars="2300"/>
              <w:rPr>
                <w:rFonts w:ascii="宋体"/>
              </w:rPr>
            </w:pPr>
          </w:p>
          <w:p>
            <w:pPr>
              <w:spacing w:before="156" w:beforeLines="50" w:after="156" w:afterLines="50"/>
              <w:ind w:firstLine="4830" w:firstLineChars="2300"/>
              <w:rPr>
                <w:rFonts w:ascii="宋体"/>
              </w:rPr>
            </w:pPr>
          </w:p>
          <w:p>
            <w:pPr>
              <w:spacing w:before="156" w:beforeLines="50" w:after="156" w:afterLines="50"/>
              <w:rPr>
                <w:rFonts w:ascii="宋体"/>
              </w:rPr>
            </w:pPr>
          </w:p>
          <w:p>
            <w:pPr>
              <w:spacing w:before="156" w:beforeLines="50" w:after="156" w:afterLines="50"/>
              <w:rPr>
                <w:rFonts w:ascii="宋体"/>
              </w:rPr>
            </w:pPr>
          </w:p>
          <w:p>
            <w:pPr>
              <w:spacing w:before="156" w:beforeLines="50" w:after="156" w:afterLines="50"/>
              <w:ind w:firstLine="4830" w:firstLineChars="2300"/>
              <w:rPr>
                <w:rFonts w:ascii="宋体"/>
              </w:rPr>
            </w:pPr>
          </w:p>
          <w:p>
            <w:pPr>
              <w:spacing w:before="156" w:beforeLines="50" w:after="156" w:afterLines="50"/>
              <w:rPr>
                <w:rFonts w:ascii="宋体"/>
              </w:rPr>
            </w:pPr>
          </w:p>
          <w:p>
            <w:pPr>
              <w:spacing w:line="360" w:lineRule="auto"/>
              <w:ind w:firstLine="4935" w:firstLineChars="2350"/>
              <w:rPr>
                <w:rFonts w:ascii="宋体" w:hAnsi="宋体"/>
              </w:rPr>
            </w:pPr>
          </w:p>
          <w:p>
            <w:pPr>
              <w:spacing w:line="360" w:lineRule="auto"/>
              <w:ind w:firstLine="4935" w:firstLineChars="2350"/>
              <w:rPr>
                <w:rFonts w:ascii="宋体"/>
                <w:u w:val="single"/>
              </w:rPr>
            </w:pPr>
            <w:r>
              <w:rPr>
                <w:rFonts w:ascii="宋体" w:hAnsi="宋体" w:hint="eastAsia"/>
              </w:rPr>
              <w:t>指导教师签名</w:t>
            </w:r>
            <w:r>
              <w:rPr>
                <w:rFonts w:ascii="宋体" w:hint="eastAsia"/>
              </w:rPr>
              <w:t>：</w:t>
            </w:r>
          </w:p>
          <w:p>
            <w:pPr>
              <w:spacing w:line="360" w:lineRule="exact"/>
              <w:ind w:firstLine="5342" w:firstLineChars="2544"/>
              <w:rPr>
                <w:b/>
                <w:bCs/>
              </w:rPr>
            </w:pPr>
            <w:r>
              <w:rPr>
                <w:rFonts w:ascii="宋体" w:hint="eastAsia"/>
              </w:rPr>
              <w:t>年</w:t>
            </w:r>
            <w:r>
              <w:rPr>
                <w:rFonts w:hint="eastAsia"/>
                <w:b/>
                <w:color w:val="FF0000"/>
              </w:rPr>
              <w:t xml:space="preserve">    </w:t>
            </w:r>
            <w:r>
              <w:rPr>
                <w:rFonts w:ascii="宋体" w:hint="eastAsia"/>
              </w:rPr>
              <w:t>月</w:t>
            </w:r>
            <w:r>
              <w:rPr>
                <w:rFonts w:hint="eastAsia"/>
                <w:b/>
                <w:color w:val="FF0000"/>
              </w:rPr>
              <w:t xml:space="preserve">    </w:t>
            </w:r>
            <w:r>
              <w:rPr>
                <w:rFonts w:ascii="宋体" w:hint="eastAsia"/>
              </w:rPr>
              <w:t>日</w:t>
            </w:r>
          </w:p>
        </w:tc>
      </w:tr>
      <w:tr>
        <w:tblPrEx>
          <w:tblW w:w="0" w:type="auto"/>
          <w:tblInd w:w="0" w:type="dxa"/>
          <w:tblCellMar>
            <w:top w:w="0" w:type="dxa"/>
            <w:left w:w="108" w:type="dxa"/>
            <w:bottom w:w="0" w:type="dxa"/>
            <w:right w:w="108" w:type="dxa"/>
          </w:tblCellMar>
        </w:tblPrEx>
        <w:tc>
          <w:tcPr>
            <w:tcW w:w="9286" w:type="dxa"/>
          </w:tcPr>
          <w:p>
            <w:pPr>
              <w:tabs>
                <w:tab w:val="left" w:pos="4900"/>
                <w:tab w:val="right" w:pos="7472"/>
              </w:tabs>
              <w:spacing w:before="156" w:beforeLines="50"/>
              <w:rPr>
                <w:rFonts w:ascii="宋体"/>
                <w:b/>
                <w:bCs/>
              </w:rPr>
            </w:pPr>
            <w:r>
              <w:rPr>
                <w:rFonts w:ascii="宋体" w:hAnsi="宋体" w:hint="eastAsia"/>
                <w:b/>
              </w:rPr>
              <w:t>教研室意见：</w:t>
            </w:r>
          </w:p>
          <w:p>
            <w:pPr>
              <w:tabs>
                <w:tab w:val="left" w:pos="4900"/>
                <w:tab w:val="right" w:pos="7472"/>
              </w:tabs>
              <w:rPr>
                <w:rFonts w:ascii="宋体"/>
              </w:rPr>
            </w:pPr>
          </w:p>
          <w:p>
            <w:pPr>
              <w:tabs>
                <w:tab w:val="left" w:pos="4900"/>
                <w:tab w:val="right" w:pos="7472"/>
              </w:tabs>
              <w:rPr>
                <w:rFonts w:ascii="宋体"/>
              </w:rPr>
            </w:pPr>
          </w:p>
          <w:p>
            <w:pPr>
              <w:tabs>
                <w:tab w:val="left" w:pos="4900"/>
                <w:tab w:val="right" w:pos="7472"/>
              </w:tabs>
              <w:rPr>
                <w:rFonts w:ascii="宋体"/>
              </w:rPr>
            </w:pPr>
          </w:p>
          <w:p>
            <w:pPr>
              <w:tabs>
                <w:tab w:val="left" w:pos="4900"/>
                <w:tab w:val="right" w:pos="7472"/>
              </w:tabs>
              <w:rPr>
                <w:rFonts w:ascii="宋体"/>
              </w:rPr>
            </w:pPr>
          </w:p>
          <w:p>
            <w:pPr>
              <w:tabs>
                <w:tab w:val="left" w:pos="4900"/>
                <w:tab w:val="right" w:pos="7472"/>
              </w:tabs>
              <w:rPr>
                <w:rFonts w:ascii="宋体"/>
              </w:rPr>
            </w:pPr>
          </w:p>
          <w:p>
            <w:pPr>
              <w:tabs>
                <w:tab w:val="left" w:pos="4900"/>
                <w:tab w:val="right" w:pos="7472"/>
              </w:tabs>
              <w:rPr>
                <w:rFonts w:ascii="宋体"/>
              </w:rPr>
            </w:pPr>
          </w:p>
          <w:p>
            <w:pPr>
              <w:tabs>
                <w:tab w:val="left" w:pos="4900"/>
                <w:tab w:val="right" w:pos="7472"/>
              </w:tabs>
              <w:rPr>
                <w:rFonts w:ascii="宋体"/>
              </w:rPr>
            </w:pPr>
          </w:p>
          <w:p>
            <w:pPr>
              <w:tabs>
                <w:tab w:val="left" w:pos="4900"/>
                <w:tab w:val="right" w:pos="7472"/>
              </w:tabs>
              <w:ind w:firstLine="1890" w:firstLineChars="900"/>
              <w:rPr>
                <w:rFonts w:ascii="宋体" w:hAnsi="宋体"/>
                <w:spacing w:val="80"/>
              </w:rPr>
            </w:pPr>
          </w:p>
          <w:p>
            <w:pPr>
              <w:tabs>
                <w:tab w:val="left" w:pos="4900"/>
                <w:tab w:val="right" w:pos="7472"/>
              </w:tabs>
              <w:ind w:firstLine="1890" w:firstLineChars="900"/>
              <w:rPr>
                <w:rFonts w:ascii="宋体" w:hAnsi="宋体"/>
                <w:spacing w:val="80"/>
              </w:rPr>
            </w:pPr>
          </w:p>
          <w:p>
            <w:pPr>
              <w:tabs>
                <w:tab w:val="left" w:pos="4900"/>
                <w:tab w:val="right" w:pos="7472"/>
              </w:tabs>
              <w:ind w:firstLine="1890" w:firstLineChars="900"/>
              <w:rPr>
                <w:rFonts w:ascii="宋体" w:hAnsi="宋体"/>
                <w:spacing w:val="80"/>
              </w:rPr>
            </w:pPr>
          </w:p>
          <w:p>
            <w:pPr>
              <w:tabs>
                <w:tab w:val="left" w:pos="4900"/>
                <w:tab w:val="right" w:pos="7472"/>
              </w:tabs>
              <w:ind w:firstLine="1890" w:firstLineChars="900"/>
              <w:rPr>
                <w:rFonts w:ascii="宋体" w:hAnsi="宋体"/>
                <w:spacing w:val="80"/>
              </w:rPr>
            </w:pPr>
          </w:p>
          <w:p>
            <w:pPr>
              <w:tabs>
                <w:tab w:val="left" w:pos="4900"/>
                <w:tab w:val="right" w:pos="7472"/>
              </w:tabs>
              <w:ind w:firstLine="1890" w:firstLineChars="900"/>
              <w:rPr>
                <w:rFonts w:ascii="宋体"/>
              </w:rPr>
            </w:pPr>
            <w:r>
              <w:rPr>
                <w:rFonts w:ascii="宋体" w:hAnsi="宋体" w:hint="eastAsia"/>
                <w:spacing w:val="80"/>
              </w:rPr>
              <w:t>审查结</w:t>
            </w:r>
            <w:r>
              <w:rPr>
                <w:rFonts w:ascii="宋体" w:hAnsi="宋体" w:hint="eastAsia"/>
              </w:rPr>
              <w:t>果：  同 意□       不 同 意□</w:t>
            </w:r>
          </w:p>
          <w:p>
            <w:pPr>
              <w:spacing w:before="156" w:beforeLines="50" w:after="156" w:afterLines="50"/>
              <w:ind w:firstLine="4830" w:firstLineChars="2300"/>
              <w:rPr>
                <w:rFonts w:ascii="宋体"/>
              </w:rPr>
            </w:pPr>
          </w:p>
          <w:p>
            <w:pPr>
              <w:tabs>
                <w:tab w:val="left" w:pos="4910"/>
                <w:tab w:val="right" w:pos="7472"/>
              </w:tabs>
              <w:spacing w:after="156" w:afterLines="50"/>
              <w:rPr>
                <w:rFonts w:ascii="宋体" w:hAnsi="宋体"/>
              </w:rPr>
            </w:pPr>
          </w:p>
          <w:p>
            <w:pPr>
              <w:tabs>
                <w:tab w:val="left" w:pos="4910"/>
                <w:tab w:val="right" w:pos="7472"/>
              </w:tabs>
              <w:spacing w:after="156" w:afterLines="50"/>
              <w:ind w:firstLine="5145" w:firstLineChars="2450"/>
              <w:rPr>
                <w:rFonts w:ascii="宋体" w:hAnsi="宋体"/>
              </w:rPr>
            </w:pPr>
            <w:r>
              <w:rPr>
                <w:rFonts w:ascii="宋体" w:hAnsi="宋体" w:hint="eastAsia"/>
              </w:rPr>
              <w:t>教研室主任签名：</w:t>
            </w:r>
          </w:p>
          <w:p>
            <w:pPr>
              <w:tabs>
                <w:tab w:val="left" w:pos="4910"/>
                <w:tab w:val="right" w:pos="7472"/>
              </w:tabs>
              <w:spacing w:after="156" w:afterLines="50"/>
              <w:ind w:firstLine="5040" w:firstLineChars="2400"/>
              <w:rPr>
                <w:rFonts w:ascii="宋体" w:hAnsi="宋体"/>
              </w:rPr>
            </w:pPr>
            <w:r>
              <w:rPr>
                <w:rFonts w:ascii="宋体" w:hAnsi="宋体" w:hint="eastAsia"/>
              </w:rPr>
              <w:t xml:space="preserve">          年    月    日</w:t>
            </w:r>
          </w:p>
          <w:p>
            <w:pPr>
              <w:tabs>
                <w:tab w:val="left" w:pos="4900"/>
                <w:tab w:val="right" w:pos="7472"/>
              </w:tabs>
              <w:spacing w:before="156" w:beforeLines="50"/>
              <w:rPr>
                <w:rFonts w:ascii="宋体"/>
                <w:b/>
                <w:bCs/>
              </w:rPr>
            </w:pPr>
          </w:p>
        </w:tc>
      </w:tr>
    </w:tbl>
    <w:p>
      <w:pPr>
        <w:tabs>
          <w:tab w:val="right" w:leader="dot" w:pos="9344"/>
        </w:tabs>
        <w:spacing w:before="312" w:beforeLines="100" w:after="312" w:afterLines="100" w:line="360" w:lineRule="exact"/>
        <w:jc w:val="center"/>
        <w:rPr>
          <w:rFonts w:ascii="黑体" w:eastAsia="黑体" w:hAnsi="黑体"/>
          <w:sz w:val="32"/>
        </w:rPr>
        <w:sectPr>
          <w:type w:val="nextPage"/>
          <w:pgSz w:w="11906" w:h="16838"/>
          <w:pgMar w:top="1418" w:right="1134" w:bottom="1418" w:left="1418" w:header="851" w:footer="851" w:gutter="0"/>
          <w:pgNumType w:start="7"/>
          <w:cols w:num="1" w:space="425"/>
          <w:titlePg w:val="0"/>
          <w:docGrid w:type="lines" w:linePitch="312" w:charSpace="0"/>
        </w:sectPr>
      </w:pPr>
    </w:p>
    <w:p>
      <w:pPr>
        <w:spacing w:before="156" w:beforeLines="50" w:after="156" w:afterLines="50"/>
        <w:jc w:val="center"/>
        <w:rPr>
          <w:rFonts w:ascii="仿宋_GB2312" w:eastAsia="仿宋_GB2312"/>
          <w:b/>
          <w:spacing w:val="40"/>
          <w:sz w:val="52"/>
          <w:szCs w:val="52"/>
        </w:rPr>
      </w:pPr>
      <w:r>
        <w:rPr>
          <w:rFonts w:ascii="仿宋_GB2312" w:eastAsia="仿宋_GB2312" w:hint="eastAsia"/>
          <w:b/>
          <w:spacing w:val="40"/>
          <w:sz w:val="52"/>
          <w:szCs w:val="52"/>
        </w:rPr>
        <w:t>文献综述</w:t>
      </w:r>
    </w:p>
    <w:p>
      <w:pPr>
        <w:tabs>
          <w:tab w:val="right" w:leader="dot" w:pos="9344"/>
        </w:tabs>
        <w:spacing w:line="360" w:lineRule="exact"/>
        <w:ind w:firstLine="480" w:firstLineChars="200"/>
        <w:rPr>
          <w:rFonts w:asciiTheme="minorEastAsia" w:eastAsiaTheme="minorEastAsia" w:hAnsiTheme="minorEastAsia"/>
          <w:sz w:val="24"/>
          <w:szCs w:val="24"/>
        </w:rPr>
      </w:pPr>
      <w:r>
        <w:rPr>
          <w:rFonts w:asciiTheme="minorEastAsia" w:eastAsiaTheme="minorEastAsia" w:hAnsiTheme="minorEastAsia" w:hint="eastAsia"/>
          <w:sz w:val="24"/>
          <w:szCs w:val="24"/>
        </w:rPr>
        <w:t>James C.Van.Home（2003）教授认为企业的信贷政策与宏观经济环境是对企业应收账款管理影响的主要因素。宏观经济属于不可控因素，而企业信贷政策则可以包含多方面的内容，这是由企业自己规定与管理的，如现金折扣，信用期限的长短，对客户信用状况的审查等等。企业可以通过改变上述变量来调整相关的成本。在收益的方面，正确的评估对于应收账款的利润最大化具有非常重要的意义，只有在评估过程中把应收账款与相关的其它因素进行收益最大化的合理评估，让各个因素之间彼此平衡，应收账款的效益才能最大化的得以实现，只有在各要素的关系平衡中应收账款才能提升其回收率，最大限度的减少企业的损失。它的存在减少了企业的流动资金，它是一项信用资产，不由企业所支配，不确定性比较大，所以需要进行一定程度上的对于应收账款而风险管控，通过与有关的机构签订行之有效的具有一定约束力的协议，以达到降低风险的目的。</w:t>
      </w:r>
    </w:p>
    <w:p>
      <w:pPr>
        <w:tabs>
          <w:tab w:val="right" w:leader="dot" w:pos="9344"/>
        </w:tabs>
        <w:spacing w:line="360" w:lineRule="exact"/>
        <w:ind w:firstLine="480" w:firstLineChars="200"/>
        <w:rPr>
          <w:rFonts w:asciiTheme="minorEastAsia" w:eastAsiaTheme="minorEastAsia" w:hAnsiTheme="minorEastAsia"/>
          <w:sz w:val="24"/>
          <w:szCs w:val="24"/>
        </w:rPr>
      </w:pPr>
      <w:r>
        <w:rPr>
          <w:rFonts w:asciiTheme="minorEastAsia" w:eastAsiaTheme="minorEastAsia" w:hAnsiTheme="minorEastAsia" w:hint="eastAsia"/>
          <w:sz w:val="24"/>
          <w:szCs w:val="24"/>
        </w:rPr>
        <w:t>鲁切尔．沙玛（2008）认为，规避应收账款风险，应该从以下几个方面进行管理，企业应该根据自身情况结合企业特点处置应收账款，将不良账款转化为新资产，从增加现金流。其次，应该对企业内部控制、监督加强，并且及时更新控制监督方法，建立内部审计体系。第三，企业内部对资信评估应动态调整。</w:t>
      </w:r>
    </w:p>
    <w:p>
      <w:pPr>
        <w:tabs>
          <w:tab w:val="right" w:leader="dot" w:pos="9344"/>
        </w:tabs>
        <w:spacing w:line="360" w:lineRule="exact"/>
        <w:ind w:firstLine="480" w:firstLineChars="200"/>
        <w:rPr>
          <w:rFonts w:asciiTheme="minorEastAsia" w:eastAsiaTheme="minorEastAsia" w:hAnsiTheme="minorEastAsia"/>
          <w:sz w:val="24"/>
          <w:szCs w:val="24"/>
        </w:rPr>
      </w:pPr>
      <w:r>
        <w:rPr>
          <w:rFonts w:asciiTheme="minorEastAsia" w:eastAsiaTheme="minorEastAsia" w:hAnsiTheme="minorEastAsia"/>
          <w:sz w:val="24"/>
          <w:szCs w:val="24"/>
        </w:rPr>
        <w:t>Radebaughw(2014)</w:t>
      </w:r>
      <w:r>
        <w:rPr>
          <w:rFonts w:asciiTheme="minorEastAsia" w:eastAsiaTheme="minorEastAsia" w:hAnsiTheme="minorEastAsia" w:hint="eastAsia"/>
          <w:sz w:val="24"/>
          <w:szCs w:val="24"/>
        </w:rPr>
        <w:t>在应收账款形成的过程上，指出“赊销指商品发出后所有权发生了转移，中间商拥有商品的所有权，承担向供货商付款的责任，供货商随即拥有向中间商收款的权利，在供货商的财务账上相应产生了应收账款，在货款未回收前，仅仅产生了债权，销售并未全部完成”。</w:t>
      </w:r>
    </w:p>
    <w:p>
      <w:pPr>
        <w:tabs>
          <w:tab w:val="right" w:leader="dot" w:pos="9344"/>
        </w:tabs>
        <w:spacing w:line="360" w:lineRule="exact"/>
        <w:ind w:firstLine="480" w:firstLineChars="200"/>
        <w:rPr>
          <w:rFonts w:asciiTheme="minorEastAsia" w:eastAsiaTheme="minorEastAsia" w:hAnsiTheme="minorEastAsia"/>
          <w:sz w:val="24"/>
          <w:szCs w:val="24"/>
        </w:rPr>
      </w:pPr>
      <w:r>
        <w:rPr>
          <w:rFonts w:asciiTheme="minorEastAsia" w:eastAsiaTheme="minorEastAsia" w:hAnsiTheme="minorEastAsia" w:hint="eastAsia"/>
          <w:sz w:val="24"/>
          <w:szCs w:val="24"/>
        </w:rPr>
        <w:t>王海波（2006）提出，对客户群进行分类，对不同客户对应设计不同的信用标准，在第一个环节就做好风险控制。利用信用信息删选优质客户，去除劣质客户，对优质客户，给与比竞争对手更优惠的信用政策吸引客户，同时利用现金折扣和信用期吸引客户。加强收账程序的优化。王听、李恩柱等从应收账款方向防范入手，对应收账款风险防范措施分析研究，确保资金安全。</w:t>
      </w:r>
    </w:p>
    <w:p>
      <w:pPr>
        <w:tabs>
          <w:tab w:val="right" w:leader="dot" w:pos="9344"/>
        </w:tabs>
        <w:spacing w:line="360" w:lineRule="exact"/>
        <w:ind w:firstLine="480" w:firstLineChars="200"/>
        <w:rPr>
          <w:rFonts w:asciiTheme="minorEastAsia" w:eastAsiaTheme="minorEastAsia" w:hAnsiTheme="minorEastAsia"/>
          <w:sz w:val="24"/>
          <w:szCs w:val="24"/>
        </w:rPr>
      </w:pPr>
      <w:r>
        <w:rPr>
          <w:rFonts w:asciiTheme="minorEastAsia" w:eastAsiaTheme="minorEastAsia" w:hAnsiTheme="minorEastAsia" w:hint="eastAsia"/>
          <w:sz w:val="24"/>
          <w:szCs w:val="24"/>
        </w:rPr>
        <w:t>肖奎喜(2011)在分析影响应收账款风险不同变量之间的逻辑关系基础上，提出了基于贝叶斯网络的应收账款风险评估模型，期在赊销交易产生前就能估算将来可能产生的风险概率。这种评估方法提供了信用交易的一种有向图描述和推理机制,直观有效地表达了各个诱因与应收账款风险的关系及强弱程度。能够有效地解决应收账款风险观察数据不足的问题，并在此基础上进行预测及决策分析。</w:t>
      </w:r>
    </w:p>
    <w:p>
      <w:pPr>
        <w:tabs>
          <w:tab w:val="right" w:leader="dot" w:pos="9344"/>
        </w:tabs>
        <w:spacing w:line="360" w:lineRule="exact"/>
        <w:ind w:firstLine="480" w:firstLineChars="200"/>
        <w:rPr>
          <w:rFonts w:asciiTheme="minorEastAsia" w:eastAsiaTheme="minorEastAsia" w:hAnsiTheme="minorEastAsia"/>
          <w:sz w:val="24"/>
          <w:szCs w:val="24"/>
        </w:rPr>
        <w:sectPr>
          <w:pgSz w:w="11906" w:h="16838"/>
          <w:pgMar w:top="1418" w:right="1134" w:bottom="1418" w:left="1418" w:header="851" w:footer="851" w:gutter="0"/>
          <w:pgNumType w:start="8"/>
          <w:cols w:num="1" w:space="425"/>
          <w:docGrid w:type="lines" w:linePitch="312" w:charSpace="0"/>
        </w:sectPr>
      </w:pPr>
      <w:r>
        <w:rPr>
          <w:rFonts w:asciiTheme="minorEastAsia" w:eastAsiaTheme="minorEastAsia" w:hAnsiTheme="minorEastAsia" w:hint="eastAsia"/>
          <w:sz w:val="24"/>
          <w:szCs w:val="24"/>
        </w:rPr>
        <w:t>李亮（2011）认为我国企业的信用风险产生的原因是多方面的，外部原因是企业只注重眼前利益，对长远利益忽视。内部原因是企业内部的人员与客户之间的沟通匿乏，使得无法对客户的信用状况及其变化进行准确的判断。但最主要的原因是企业未能建立有效的、科学的、完善的信用管理制度。因此在构建企业的信用管理制度时，要从Ｗ下几点出发：提高信用管理对企业重要性的认识、建立的信用管理组织机构应独立于财务和销售部口、信用管理人才的培养是非常关键的、建立有效的信用政策和科学的信用管理制度，并对信用管理后期程序加强管理。</w:t>
      </w:r>
    </w:p>
    <w:p>
      <w:pPr>
        <w:tabs>
          <w:tab w:val="right" w:leader="dot" w:pos="9344"/>
        </w:tabs>
        <w:spacing w:line="360" w:lineRule="exact"/>
        <w:ind w:firstLine="480" w:firstLineChars="200"/>
        <w:rPr>
          <w:rFonts w:asciiTheme="minorEastAsia" w:eastAsiaTheme="minorEastAsia" w:hAnsiTheme="minorEastAsia"/>
          <w:sz w:val="24"/>
          <w:szCs w:val="24"/>
        </w:rPr>
      </w:pPr>
      <w:r>
        <w:rPr>
          <w:rFonts w:asciiTheme="minorEastAsia" w:eastAsiaTheme="minorEastAsia" w:hAnsiTheme="minorEastAsia" w:hint="eastAsia"/>
          <w:sz w:val="24"/>
          <w:szCs w:val="24"/>
        </w:rPr>
        <w:t>鲁其辉（2012）对供应链应收账款交易、融资进行了研究，特别是对其模型进行的深入的研究，提出并建立了多阶段供应链决策模型，包括供应商、下游厂商与金融机构，Ｗ此模型对企业在包含和不包含融资的情况下的企业决策进行了深入研究。研究发现；企业的供应商出现生产部连续现象的情况是很有可能的，而供应链的应收账款融资可Ｗ确保企业生产的连续；应收账款融资与厂商期望收益之间有着明显的哦关系，如厂商可Ｗ据此得到持续的供应商供货，确保收益的持续增长，因此供应链的应收账款融资不仅对供应商，而且对金融机构、厂商都有着很大的实用价值。</w:t>
      </w:r>
    </w:p>
    <w:p>
      <w:pPr>
        <w:tabs>
          <w:tab w:val="right" w:leader="dot" w:pos="9344"/>
        </w:tabs>
        <w:spacing w:line="360" w:lineRule="exact"/>
        <w:ind w:firstLine="480" w:firstLineChars="200"/>
        <w:rPr>
          <w:rFonts w:asciiTheme="minorEastAsia" w:eastAsiaTheme="minorEastAsia" w:hAnsiTheme="minorEastAsia" w:hint="eastAsia"/>
          <w:sz w:val="24"/>
          <w:szCs w:val="24"/>
        </w:rPr>
      </w:pPr>
      <w:r>
        <w:rPr>
          <w:rFonts w:asciiTheme="minorEastAsia" w:eastAsiaTheme="minorEastAsia" w:hAnsiTheme="minorEastAsia" w:hint="eastAsia"/>
          <w:sz w:val="24"/>
          <w:szCs w:val="24"/>
        </w:rPr>
        <w:t>在对上述文献分析的基础上，本文认为我国企业在应收账款的管理方面确实存在着问题，这些问题的解决不仅要从企业外部环境、管理制度上着手，更应从企业内部自身的管理进行，如内部控制、应收账款的日常管理、信用政策的制定等，从而对企业的应收账款制度不断完善，使信用销售不断的为企业的发展服务。</w:t>
      </w:r>
    </w:p>
    <w:p>
      <w:pPr>
        <w:spacing w:before="312" w:beforeLines="100" w:after="312" w:afterLines="100" w:line="560" w:lineRule="exact"/>
        <w:jc w:val="center"/>
        <w:rPr>
          <w:rFonts w:ascii="黑体" w:eastAsia="黑体" w:hAnsi="黑体" w:hint="eastAsia"/>
          <w:color w:val="000000"/>
          <w:sz w:val="36"/>
          <w:szCs w:val="36"/>
        </w:rPr>
      </w:pPr>
    </w:p>
    <w:p>
      <w:pPr>
        <w:spacing w:before="312" w:beforeLines="100" w:after="312" w:afterLines="100" w:line="560" w:lineRule="exact"/>
        <w:jc w:val="center"/>
        <w:rPr>
          <w:rFonts w:ascii="黑体" w:eastAsia="黑体" w:hAnsi="黑体" w:hint="eastAsia"/>
          <w:color w:val="000000"/>
          <w:sz w:val="36"/>
          <w:szCs w:val="36"/>
        </w:rPr>
      </w:pPr>
    </w:p>
    <w:p>
      <w:pPr>
        <w:spacing w:before="312" w:beforeLines="100" w:after="312" w:afterLines="100" w:line="560" w:lineRule="exact"/>
        <w:jc w:val="center"/>
        <w:rPr>
          <w:rFonts w:ascii="黑体" w:eastAsia="黑体" w:hAnsi="黑体" w:hint="eastAsia"/>
          <w:color w:val="000000"/>
          <w:sz w:val="36"/>
          <w:szCs w:val="36"/>
        </w:rPr>
      </w:pPr>
    </w:p>
    <w:p>
      <w:pPr>
        <w:spacing w:before="312" w:beforeLines="100" w:after="312" w:afterLines="100" w:line="560" w:lineRule="exact"/>
        <w:jc w:val="center"/>
        <w:rPr>
          <w:rFonts w:ascii="黑体" w:eastAsia="黑体" w:hAnsi="黑体"/>
          <w:b/>
          <w:spacing w:val="20"/>
          <w:sz w:val="36"/>
          <w:szCs w:val="36"/>
        </w:rPr>
      </w:pPr>
      <w:r>
        <w:rPr>
          <w:rFonts w:ascii="黑体" w:eastAsia="黑体" w:hAnsi="黑体" w:hint="eastAsia"/>
          <w:color w:val="000000"/>
          <w:sz w:val="36"/>
          <w:szCs w:val="36"/>
        </w:rPr>
        <w:t>T公司应收账款管理研究</w:t>
      </w:r>
    </w:p>
    <w:p>
      <w:pPr>
        <w:spacing w:before="312" w:beforeLines="100" w:after="312" w:afterLines="100"/>
        <w:jc w:val="center"/>
        <w:rPr>
          <w:rFonts w:ascii="黑体" w:eastAsia="黑体" w:hAnsi="黑体"/>
          <w:sz w:val="32"/>
          <w:szCs w:val="32"/>
        </w:rPr>
      </w:pPr>
      <w:r>
        <w:rPr>
          <w:rFonts w:ascii="黑体" w:eastAsia="黑体" w:hAnsi="黑体" w:hint="eastAsia"/>
          <w:sz w:val="32"/>
          <w:szCs w:val="32"/>
        </w:rPr>
        <w:t>摘  要</w:t>
      </w:r>
    </w:p>
    <w:p>
      <w:pPr>
        <w:spacing w:line="360" w:lineRule="exact"/>
        <w:ind w:firstLine="480" w:firstLineChars="200"/>
        <w:jc w:val="left"/>
        <w:rPr>
          <w:rFonts w:ascii="宋体" w:hAnsi="宋体"/>
          <w:b/>
          <w:sz w:val="24"/>
          <w:szCs w:val="24"/>
        </w:rPr>
      </w:pPr>
      <w:r>
        <w:rPr>
          <w:rFonts w:ascii="宋体" w:hAnsi="宋体" w:hint="eastAsia"/>
          <w:sz w:val="24"/>
          <w:szCs w:val="24"/>
        </w:rPr>
        <w:t>应收账款是企业在日常的运营中销售货物、提供劳务等，应当向购买方收取的货款，包含购买方应支付的税费、销售方垫付的各种运杂费等，也就是说，应收账款是一种债权，是企业在经营中形成的。故企业对于应收账款的管理应该加强重视。如果正确、有效的管理应收账款，会相应的扩大企业的经营规模，越来越多的收益也将之生成。而且还能让资金快速的运转、提高风险防御能力等。如果管理不当，会导致资金紧张，甚至导致财务危机也是有可能的，到时，企业将面临破产的危机。因此，如何更好的管理和监控应收账款的发生和面对一些后续问题应如何应对，作为一个想在市场中占据一定地位的企业来说，这已经变成了一个急需重视和解决的问题。本文重点分析应收账款的管理问题，把T公司作为示例，从与应收账款的理论知识、T公司的实际问题出发，分析其成因，并找到与之对应的解决手段。</w:t>
      </w:r>
    </w:p>
    <w:p>
      <w:pPr>
        <w:spacing w:line="360" w:lineRule="exact"/>
        <w:jc w:val="left"/>
        <w:rPr>
          <w:rFonts w:asciiTheme="minorEastAsia" w:eastAsiaTheme="minorEastAsia" w:hAnsiTheme="minorEastAsia"/>
          <w:sz w:val="24"/>
          <w:szCs w:val="24"/>
        </w:rPr>
      </w:pPr>
      <w:r>
        <w:rPr>
          <w:rFonts w:ascii="黑体" w:eastAsia="黑体" w:hAnsi="黑体" w:hint="eastAsia"/>
          <w:sz w:val="24"/>
          <w:szCs w:val="24"/>
        </w:rPr>
        <w:t>关键词</w:t>
      </w:r>
      <w:r>
        <w:rPr>
          <w:rFonts w:asciiTheme="minorEastAsia" w:eastAsiaTheme="minorEastAsia" w:hAnsiTheme="minorEastAsia" w:hint="eastAsia"/>
          <w:sz w:val="24"/>
          <w:szCs w:val="24"/>
        </w:rPr>
        <w:t>：</w:t>
      </w:r>
      <w:r>
        <w:rPr>
          <w:rFonts w:ascii="宋体" w:hAnsi="宋体" w:hint="eastAsia"/>
          <w:sz w:val="24"/>
          <w:szCs w:val="24"/>
        </w:rPr>
        <w:t>应收账款；管理；对策及建议</w:t>
      </w:r>
    </w:p>
    <w:p>
      <w:pPr>
        <w:tabs>
          <w:tab w:val="right" w:leader="dot" w:pos="9344"/>
        </w:tabs>
        <w:spacing w:before="312" w:beforeLines="100" w:after="312" w:afterLines="100" w:line="360" w:lineRule="exact"/>
        <w:jc w:val="center"/>
        <w:rPr>
          <w:rFonts w:ascii="黑体" w:eastAsia="黑体" w:hAnsi="黑体"/>
          <w:sz w:val="32"/>
        </w:rPr>
      </w:pPr>
      <w:r>
        <w:rPr>
          <w:rFonts w:ascii="黑体" w:eastAsia="黑体" w:hAnsi="黑体" w:hint="eastAsia"/>
          <w:sz w:val="32"/>
        </w:rPr>
        <w:t>目  录</w:t>
      </w:r>
    </w:p>
    <w:p>
      <w:pPr>
        <w:tabs>
          <w:tab w:val="right" w:leader="dot" w:pos="9060"/>
        </w:tabs>
        <w:jc w:val="left"/>
        <w:rPr>
          <w:rFonts w:ascii="宋体" w:hAnsi="宋体"/>
          <w:szCs w:val="21"/>
        </w:rPr>
      </w:pPr>
      <w:r>
        <w:rPr>
          <w:rFonts w:ascii="宋体" w:hAnsi="宋体"/>
        </w:rPr>
        <w:fldChar w:fldCharType="begin"/>
      </w:r>
      <w:r>
        <w:rPr>
          <w:rFonts w:ascii="宋体" w:hAnsi="宋体"/>
        </w:rPr>
        <w:instrText xml:space="preserve"> </w:instrText>
      </w:r>
      <w:r>
        <w:rPr>
          <w:rFonts w:ascii="宋体" w:hAnsi="宋体" w:hint="eastAsia"/>
        </w:rPr>
        <w:instrText>TOC \o "1-3" \h \z \u</w:instrText>
      </w:r>
      <w:r>
        <w:rPr>
          <w:rFonts w:ascii="宋体" w:hAnsi="宋体"/>
        </w:rPr>
        <w:instrText xml:space="preserve"> </w:instrText>
      </w:r>
      <w:r>
        <w:rPr>
          <w:rFonts w:ascii="宋体" w:hAnsi="宋体"/>
        </w:rPr>
        <w:fldChar w:fldCharType="separate"/>
      </w:r>
      <w:hyperlink w:anchor="_Toc375870968" w:history="1">
        <w:r>
          <w:rPr>
            <w:szCs w:val="21"/>
          </w:rPr>
          <w:t>1</w:t>
        </w:r>
        <w:r>
          <w:rPr>
            <w:rFonts w:ascii="宋体" w:hAnsi="宋体" w:hint="eastAsia"/>
            <w:szCs w:val="21"/>
          </w:rPr>
          <w:t>前</w:t>
        </w:r>
        <w:r>
          <w:rPr>
            <w:rFonts w:ascii="宋体" w:hAnsi="宋体"/>
            <w:szCs w:val="21"/>
          </w:rPr>
          <w:t xml:space="preserve">  </w:t>
        </w:r>
        <w:r>
          <w:rPr>
            <w:rFonts w:ascii="宋体" w:hAnsi="宋体" w:hint="eastAsia"/>
            <w:szCs w:val="21"/>
          </w:rPr>
          <w:t>言</w:t>
        </w:r>
        <w:r>
          <w:rPr>
            <w:rFonts w:ascii="宋体" w:hAnsi="宋体"/>
            <w:szCs w:val="21"/>
          </w:rPr>
          <w:tab/>
        </w:r>
        <w:r>
          <w:rPr>
            <w:szCs w:val="21"/>
          </w:rPr>
          <w:fldChar w:fldCharType="begin"/>
        </w:r>
        <w:r>
          <w:rPr>
            <w:szCs w:val="21"/>
          </w:rPr>
          <w:instrText xml:space="preserve"> PAGEREF _Toc375870968 \h </w:instrText>
        </w:r>
        <w:r>
          <w:rPr>
            <w:szCs w:val="21"/>
          </w:rPr>
          <w:fldChar w:fldCharType="separate"/>
        </w:r>
        <w:r>
          <w:rPr>
            <w:szCs w:val="21"/>
          </w:rPr>
          <w:t>1</w:t>
        </w:r>
        <w:r>
          <w:rPr>
            <w:szCs w:val="21"/>
          </w:rPr>
          <w:fldChar w:fldCharType="end"/>
        </w:r>
      </w:hyperlink>
      <w:r>
        <w:rPr>
          <w:rFonts w:ascii="宋体" w:hAnsi="宋体"/>
        </w:rPr>
        <w:fldChar w:fldCharType="end"/>
      </w:r>
      <w:r>
        <w:rPr>
          <w:rFonts w:ascii="宋体" w:hAnsi="宋体"/>
          <w:szCs w:val="21"/>
        </w:rPr>
        <w:br/>
      </w:r>
      <w:r>
        <w:rPr>
          <w:rFonts w:ascii="宋体" w:hAnsi="宋体"/>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https://d.book118.com/128131125045006025</w:t>
        </w:r>
      </w:hyperlink>
    </w:p>
    <w:p>
      <w:pPr>
        <w:tabs>
          <w:tab w:val="right" w:leader="dot" w:pos="9060"/>
        </w:tabs>
        <w:jc w:val="left"/>
        <w:rPr>
          <w:rFonts w:ascii="宋体" w:hAnsi="宋体"/>
          <w:szCs w:val="21"/>
        </w:rPr>
      </w:pPr>
    </w:p>
    <w:sectPr>
      <w:type w:val="nextPage"/>
      <w:pgSz w:w="11906" w:h="16838"/>
      <w:pgMar w:top="1418" w:right="1134" w:bottom="1418" w:left="1418" w:header="851" w:footer="851"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简体">
    <w:altName w:val="黑体"/>
    <w:panose1 w:val="00000000000000000000"/>
    <w:charset w:val="86"/>
    <w:family w:val="modern"/>
    <w:pitch w:val="default"/>
    <w:sig w:usb0="00000000" w:usb1="00000000" w:usb2="00000010" w:usb3="00000000" w:csb0="00040000" w:csb1="00000000"/>
  </w:font>
  <w:font w:name="楷体_GB2312">
    <w:panose1 w:val="02010609030101010101"/>
    <w:charset w:val="86"/>
    <w:family w:val="modern"/>
    <w:pitch w:val="default"/>
    <w:sig w:usb0="00000001" w:usb1="080E0000" w:usb2="00000000" w:usb3="00000000" w:csb0="00040000" w:csb1="00000000"/>
  </w:font>
  <w:font w:name="PMingLiU">
    <w:panose1 w:val="02020500000000000000"/>
    <w:charset w:val="88"/>
    <w:family w:val="auto"/>
    <w:pitch w:val="default"/>
    <w:sig w:usb0="A00002FF" w:usb1="28CFFCFA" w:usb2="00000016" w:usb3="00000000" w:csb0="001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797D0E88"/>
    <w:multiLevelType w:val="multilevel"/>
    <w:tmpl w:val="797D0E88"/>
    <w:lvl w:ilvl="0">
      <w:start w:val="1"/>
      <w:numFmt w:val="decimal"/>
      <w:lvlText w:val="%1．"/>
      <w:lvlJc w:val="left"/>
      <w:pPr>
        <w:tabs>
          <w:tab w:val="left" w:pos="360"/>
        </w:tabs>
        <w:ind w:left="360" w:hanging="360"/>
      </w:pPr>
      <w:rPr>
        <w:rFonts w:hint="default"/>
        <w:b w:val="0"/>
        <w:color w:val="auto"/>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2D78"/>
    <w:rsid w:val="000041C6"/>
    <w:rsid w:val="00005F97"/>
    <w:rsid w:val="00007ED3"/>
    <w:rsid w:val="00011FA9"/>
    <w:rsid w:val="00012E04"/>
    <w:rsid w:val="0004061A"/>
    <w:rsid w:val="000569C3"/>
    <w:rsid w:val="00063124"/>
    <w:rsid w:val="00066C24"/>
    <w:rsid w:val="00074033"/>
    <w:rsid w:val="00083601"/>
    <w:rsid w:val="0008439A"/>
    <w:rsid w:val="00086C3C"/>
    <w:rsid w:val="000874DE"/>
    <w:rsid w:val="00091A17"/>
    <w:rsid w:val="00093308"/>
    <w:rsid w:val="000A207C"/>
    <w:rsid w:val="000B214D"/>
    <w:rsid w:val="000B671A"/>
    <w:rsid w:val="000C2FC2"/>
    <w:rsid w:val="000E0FF6"/>
    <w:rsid w:val="000E3126"/>
    <w:rsid w:val="000E3350"/>
    <w:rsid w:val="000E570D"/>
    <w:rsid w:val="000F27CA"/>
    <w:rsid w:val="000F6AB7"/>
    <w:rsid w:val="001012DB"/>
    <w:rsid w:val="00117F10"/>
    <w:rsid w:val="0012120A"/>
    <w:rsid w:val="00130983"/>
    <w:rsid w:val="00133655"/>
    <w:rsid w:val="001354BA"/>
    <w:rsid w:val="00136EEE"/>
    <w:rsid w:val="0014018C"/>
    <w:rsid w:val="00141CDD"/>
    <w:rsid w:val="00141E43"/>
    <w:rsid w:val="00143AD6"/>
    <w:rsid w:val="00143F4F"/>
    <w:rsid w:val="00156F63"/>
    <w:rsid w:val="00161042"/>
    <w:rsid w:val="001809AF"/>
    <w:rsid w:val="00182A1F"/>
    <w:rsid w:val="00186C85"/>
    <w:rsid w:val="00195B0D"/>
    <w:rsid w:val="001A2930"/>
    <w:rsid w:val="001A4887"/>
    <w:rsid w:val="001C6587"/>
    <w:rsid w:val="001D09C1"/>
    <w:rsid w:val="001F2059"/>
    <w:rsid w:val="001F3564"/>
    <w:rsid w:val="001F7ADA"/>
    <w:rsid w:val="002169B1"/>
    <w:rsid w:val="002179AF"/>
    <w:rsid w:val="00224943"/>
    <w:rsid w:val="00224E19"/>
    <w:rsid w:val="00232A17"/>
    <w:rsid w:val="00235933"/>
    <w:rsid w:val="00237A25"/>
    <w:rsid w:val="0024093A"/>
    <w:rsid w:val="00252F31"/>
    <w:rsid w:val="00254177"/>
    <w:rsid w:val="0025422F"/>
    <w:rsid w:val="00255D7B"/>
    <w:rsid w:val="00256E8E"/>
    <w:rsid w:val="0027736E"/>
    <w:rsid w:val="00282EC4"/>
    <w:rsid w:val="002948AF"/>
    <w:rsid w:val="00294CF9"/>
    <w:rsid w:val="00296207"/>
    <w:rsid w:val="002A06FF"/>
    <w:rsid w:val="002A4946"/>
    <w:rsid w:val="002B3AA8"/>
    <w:rsid w:val="002D62E6"/>
    <w:rsid w:val="002E1D39"/>
    <w:rsid w:val="003014FB"/>
    <w:rsid w:val="0030475A"/>
    <w:rsid w:val="0030690B"/>
    <w:rsid w:val="00316CA4"/>
    <w:rsid w:val="00332DE4"/>
    <w:rsid w:val="00350107"/>
    <w:rsid w:val="003536FC"/>
    <w:rsid w:val="00366DCF"/>
    <w:rsid w:val="003710B9"/>
    <w:rsid w:val="00376568"/>
    <w:rsid w:val="00381EA7"/>
    <w:rsid w:val="003A2048"/>
    <w:rsid w:val="003A699B"/>
    <w:rsid w:val="003B29FC"/>
    <w:rsid w:val="003B2F06"/>
    <w:rsid w:val="003B51F0"/>
    <w:rsid w:val="003B62E4"/>
    <w:rsid w:val="003C174C"/>
    <w:rsid w:val="003C2E3F"/>
    <w:rsid w:val="003C4086"/>
    <w:rsid w:val="003C57A0"/>
    <w:rsid w:val="003D1223"/>
    <w:rsid w:val="003D1FA2"/>
    <w:rsid w:val="003E6305"/>
    <w:rsid w:val="003E6463"/>
    <w:rsid w:val="003F00D0"/>
    <w:rsid w:val="003F02F6"/>
    <w:rsid w:val="004079E5"/>
    <w:rsid w:val="00410706"/>
    <w:rsid w:val="0042764B"/>
    <w:rsid w:val="004278D6"/>
    <w:rsid w:val="00435F1D"/>
    <w:rsid w:val="00436625"/>
    <w:rsid w:val="00442ECD"/>
    <w:rsid w:val="00447CE1"/>
    <w:rsid w:val="0045361B"/>
    <w:rsid w:val="004579A9"/>
    <w:rsid w:val="0049099E"/>
    <w:rsid w:val="004B7E10"/>
    <w:rsid w:val="004C001E"/>
    <w:rsid w:val="004E3EE1"/>
    <w:rsid w:val="004E50B1"/>
    <w:rsid w:val="004F1A06"/>
    <w:rsid w:val="004F1ABE"/>
    <w:rsid w:val="004F22B0"/>
    <w:rsid w:val="004F2F0E"/>
    <w:rsid w:val="004F5D38"/>
    <w:rsid w:val="0052538B"/>
    <w:rsid w:val="005300B5"/>
    <w:rsid w:val="00531D39"/>
    <w:rsid w:val="00532ED6"/>
    <w:rsid w:val="005347F9"/>
    <w:rsid w:val="00536C06"/>
    <w:rsid w:val="00537226"/>
    <w:rsid w:val="00553FEC"/>
    <w:rsid w:val="00554BBC"/>
    <w:rsid w:val="00554CBD"/>
    <w:rsid w:val="005640B2"/>
    <w:rsid w:val="00570879"/>
    <w:rsid w:val="005732F8"/>
    <w:rsid w:val="00574710"/>
    <w:rsid w:val="00587A66"/>
    <w:rsid w:val="00596D97"/>
    <w:rsid w:val="005A6C3A"/>
    <w:rsid w:val="005C532A"/>
    <w:rsid w:val="005D1AF2"/>
    <w:rsid w:val="005D7002"/>
    <w:rsid w:val="005E26D4"/>
    <w:rsid w:val="005E67C6"/>
    <w:rsid w:val="005F1EEF"/>
    <w:rsid w:val="005F46BA"/>
    <w:rsid w:val="005F6C40"/>
    <w:rsid w:val="005F6D62"/>
    <w:rsid w:val="006023AD"/>
    <w:rsid w:val="006223F6"/>
    <w:rsid w:val="00640460"/>
    <w:rsid w:val="006508D8"/>
    <w:rsid w:val="006524F5"/>
    <w:rsid w:val="006566F3"/>
    <w:rsid w:val="0066591F"/>
    <w:rsid w:val="00671AF6"/>
    <w:rsid w:val="00674209"/>
    <w:rsid w:val="00674FD3"/>
    <w:rsid w:val="00690EAF"/>
    <w:rsid w:val="00691CDB"/>
    <w:rsid w:val="006A033A"/>
    <w:rsid w:val="006B139C"/>
    <w:rsid w:val="006B27A1"/>
    <w:rsid w:val="006B4BC7"/>
    <w:rsid w:val="006B75F6"/>
    <w:rsid w:val="006B7D9D"/>
    <w:rsid w:val="006C0810"/>
    <w:rsid w:val="006D32FF"/>
    <w:rsid w:val="006E2743"/>
    <w:rsid w:val="006E3D7C"/>
    <w:rsid w:val="006E4BBC"/>
    <w:rsid w:val="006E70E4"/>
    <w:rsid w:val="006F5C00"/>
    <w:rsid w:val="0070131A"/>
    <w:rsid w:val="0070527E"/>
    <w:rsid w:val="00707815"/>
    <w:rsid w:val="00713EDA"/>
    <w:rsid w:val="0072173A"/>
    <w:rsid w:val="00725945"/>
    <w:rsid w:val="00730BB1"/>
    <w:rsid w:val="0073342B"/>
    <w:rsid w:val="007449C7"/>
    <w:rsid w:val="00754B5A"/>
    <w:rsid w:val="00756066"/>
    <w:rsid w:val="00776316"/>
    <w:rsid w:val="00791DDB"/>
    <w:rsid w:val="007936CF"/>
    <w:rsid w:val="007A145B"/>
    <w:rsid w:val="007B4A6F"/>
    <w:rsid w:val="007B7668"/>
    <w:rsid w:val="007B7AA0"/>
    <w:rsid w:val="007C0412"/>
    <w:rsid w:val="007C0796"/>
    <w:rsid w:val="007C376E"/>
    <w:rsid w:val="007C46BB"/>
    <w:rsid w:val="007D11A2"/>
    <w:rsid w:val="007D2A51"/>
    <w:rsid w:val="007D397D"/>
    <w:rsid w:val="007E1335"/>
    <w:rsid w:val="007F38E7"/>
    <w:rsid w:val="007F6F3D"/>
    <w:rsid w:val="008107F1"/>
    <w:rsid w:val="00810A82"/>
    <w:rsid w:val="00812E01"/>
    <w:rsid w:val="008165AF"/>
    <w:rsid w:val="0082211B"/>
    <w:rsid w:val="00824B97"/>
    <w:rsid w:val="008258B5"/>
    <w:rsid w:val="00827932"/>
    <w:rsid w:val="00831A84"/>
    <w:rsid w:val="00831B3C"/>
    <w:rsid w:val="00834E7F"/>
    <w:rsid w:val="008450BC"/>
    <w:rsid w:val="008461AA"/>
    <w:rsid w:val="00853092"/>
    <w:rsid w:val="008651FF"/>
    <w:rsid w:val="0086664F"/>
    <w:rsid w:val="00874238"/>
    <w:rsid w:val="0087433F"/>
    <w:rsid w:val="008900F1"/>
    <w:rsid w:val="00894AA0"/>
    <w:rsid w:val="008A4DBB"/>
    <w:rsid w:val="008A5014"/>
    <w:rsid w:val="008B391B"/>
    <w:rsid w:val="008C4064"/>
    <w:rsid w:val="008D2035"/>
    <w:rsid w:val="008F044F"/>
    <w:rsid w:val="00905191"/>
    <w:rsid w:val="0090665D"/>
    <w:rsid w:val="00907A45"/>
    <w:rsid w:val="00912D78"/>
    <w:rsid w:val="00923CE2"/>
    <w:rsid w:val="009312F1"/>
    <w:rsid w:val="009471A1"/>
    <w:rsid w:val="0094760B"/>
    <w:rsid w:val="009548F4"/>
    <w:rsid w:val="00964F5F"/>
    <w:rsid w:val="009724F3"/>
    <w:rsid w:val="00975775"/>
    <w:rsid w:val="00975FFF"/>
    <w:rsid w:val="0097710A"/>
    <w:rsid w:val="00980825"/>
    <w:rsid w:val="00983787"/>
    <w:rsid w:val="00986BD2"/>
    <w:rsid w:val="00995C50"/>
    <w:rsid w:val="009A624B"/>
    <w:rsid w:val="009A6828"/>
    <w:rsid w:val="009B1812"/>
    <w:rsid w:val="009B1AEE"/>
    <w:rsid w:val="009B71E5"/>
    <w:rsid w:val="009C2FB9"/>
    <w:rsid w:val="009D0A8A"/>
    <w:rsid w:val="009D2A60"/>
    <w:rsid w:val="009F2485"/>
    <w:rsid w:val="009F7281"/>
    <w:rsid w:val="00A1089E"/>
    <w:rsid w:val="00A11087"/>
    <w:rsid w:val="00A12319"/>
    <w:rsid w:val="00A174AD"/>
    <w:rsid w:val="00A210B9"/>
    <w:rsid w:val="00A30C10"/>
    <w:rsid w:val="00A320BD"/>
    <w:rsid w:val="00A32339"/>
    <w:rsid w:val="00A3241B"/>
    <w:rsid w:val="00A3551C"/>
    <w:rsid w:val="00A44DFA"/>
    <w:rsid w:val="00A4619B"/>
    <w:rsid w:val="00A52C06"/>
    <w:rsid w:val="00A555F3"/>
    <w:rsid w:val="00A55A0A"/>
    <w:rsid w:val="00A6145E"/>
    <w:rsid w:val="00A63790"/>
    <w:rsid w:val="00A77B18"/>
    <w:rsid w:val="00A77C3F"/>
    <w:rsid w:val="00A92482"/>
    <w:rsid w:val="00A93758"/>
    <w:rsid w:val="00A95A67"/>
    <w:rsid w:val="00A965FC"/>
    <w:rsid w:val="00AA594F"/>
    <w:rsid w:val="00AB388A"/>
    <w:rsid w:val="00AC01CF"/>
    <w:rsid w:val="00AC42CE"/>
    <w:rsid w:val="00AC5B8D"/>
    <w:rsid w:val="00AD092A"/>
    <w:rsid w:val="00AD1027"/>
    <w:rsid w:val="00AE160D"/>
    <w:rsid w:val="00AE48E8"/>
    <w:rsid w:val="00AE508F"/>
    <w:rsid w:val="00AF0816"/>
    <w:rsid w:val="00AF19F2"/>
    <w:rsid w:val="00AF51A0"/>
    <w:rsid w:val="00B0331F"/>
    <w:rsid w:val="00B126B0"/>
    <w:rsid w:val="00B407B2"/>
    <w:rsid w:val="00B430DD"/>
    <w:rsid w:val="00B475CA"/>
    <w:rsid w:val="00B6562C"/>
    <w:rsid w:val="00B65F9A"/>
    <w:rsid w:val="00B80E3D"/>
    <w:rsid w:val="00B9331D"/>
    <w:rsid w:val="00BA2B69"/>
    <w:rsid w:val="00BB1366"/>
    <w:rsid w:val="00BD1C60"/>
    <w:rsid w:val="00BD73BC"/>
    <w:rsid w:val="00BE233B"/>
    <w:rsid w:val="00BE3B4F"/>
    <w:rsid w:val="00BE6C31"/>
    <w:rsid w:val="00BF1B51"/>
    <w:rsid w:val="00BF4A99"/>
    <w:rsid w:val="00BF561B"/>
    <w:rsid w:val="00BF6DBC"/>
    <w:rsid w:val="00C01EA4"/>
    <w:rsid w:val="00C020A7"/>
    <w:rsid w:val="00C20EBF"/>
    <w:rsid w:val="00C33215"/>
    <w:rsid w:val="00C33B7E"/>
    <w:rsid w:val="00C35B72"/>
    <w:rsid w:val="00C37E7B"/>
    <w:rsid w:val="00C4099F"/>
    <w:rsid w:val="00C419E6"/>
    <w:rsid w:val="00C47E46"/>
    <w:rsid w:val="00C538C4"/>
    <w:rsid w:val="00C57DE7"/>
    <w:rsid w:val="00C601AF"/>
    <w:rsid w:val="00C72C62"/>
    <w:rsid w:val="00C76D7C"/>
    <w:rsid w:val="00C837C9"/>
    <w:rsid w:val="00C8795B"/>
    <w:rsid w:val="00C9397D"/>
    <w:rsid w:val="00C94247"/>
    <w:rsid w:val="00CA359E"/>
    <w:rsid w:val="00CA6C6B"/>
    <w:rsid w:val="00CB6C60"/>
    <w:rsid w:val="00CD2233"/>
    <w:rsid w:val="00CD4435"/>
    <w:rsid w:val="00CE0DF8"/>
    <w:rsid w:val="00CE348A"/>
    <w:rsid w:val="00CE5B61"/>
    <w:rsid w:val="00CE6C92"/>
    <w:rsid w:val="00CE75B5"/>
    <w:rsid w:val="00CF3DF6"/>
    <w:rsid w:val="00D03E65"/>
    <w:rsid w:val="00D07A2E"/>
    <w:rsid w:val="00D11922"/>
    <w:rsid w:val="00D15D63"/>
    <w:rsid w:val="00D278D7"/>
    <w:rsid w:val="00D34160"/>
    <w:rsid w:val="00D34F42"/>
    <w:rsid w:val="00D43B05"/>
    <w:rsid w:val="00D44613"/>
    <w:rsid w:val="00D4497F"/>
    <w:rsid w:val="00D50748"/>
    <w:rsid w:val="00D6112D"/>
    <w:rsid w:val="00D62A2E"/>
    <w:rsid w:val="00D730FB"/>
    <w:rsid w:val="00D80760"/>
    <w:rsid w:val="00D917C5"/>
    <w:rsid w:val="00D97439"/>
    <w:rsid w:val="00DA3469"/>
    <w:rsid w:val="00DB0275"/>
    <w:rsid w:val="00DB4886"/>
    <w:rsid w:val="00DB575C"/>
    <w:rsid w:val="00DC19DA"/>
    <w:rsid w:val="00DC2C56"/>
    <w:rsid w:val="00DC32AC"/>
    <w:rsid w:val="00DD094C"/>
    <w:rsid w:val="00DD415A"/>
    <w:rsid w:val="00DD4845"/>
    <w:rsid w:val="00DE5F1C"/>
    <w:rsid w:val="00DE6DDB"/>
    <w:rsid w:val="00DF1417"/>
    <w:rsid w:val="00DF5EFE"/>
    <w:rsid w:val="00E16AB9"/>
    <w:rsid w:val="00E30FD7"/>
    <w:rsid w:val="00E311F4"/>
    <w:rsid w:val="00E34C9D"/>
    <w:rsid w:val="00E40802"/>
    <w:rsid w:val="00E40C90"/>
    <w:rsid w:val="00E42F24"/>
    <w:rsid w:val="00E43A21"/>
    <w:rsid w:val="00E44434"/>
    <w:rsid w:val="00E44E66"/>
    <w:rsid w:val="00E50B2E"/>
    <w:rsid w:val="00E52D3A"/>
    <w:rsid w:val="00E62950"/>
    <w:rsid w:val="00E66190"/>
    <w:rsid w:val="00E7772D"/>
    <w:rsid w:val="00E86B37"/>
    <w:rsid w:val="00EA6F8A"/>
    <w:rsid w:val="00EB1C36"/>
    <w:rsid w:val="00EC2FA2"/>
    <w:rsid w:val="00ED6D7C"/>
    <w:rsid w:val="00EF1FF9"/>
    <w:rsid w:val="00EF677D"/>
    <w:rsid w:val="00EF72E8"/>
    <w:rsid w:val="00F017FE"/>
    <w:rsid w:val="00F019C7"/>
    <w:rsid w:val="00F02CEA"/>
    <w:rsid w:val="00F14FFF"/>
    <w:rsid w:val="00F23721"/>
    <w:rsid w:val="00F330FA"/>
    <w:rsid w:val="00F43C03"/>
    <w:rsid w:val="00F47561"/>
    <w:rsid w:val="00F535C0"/>
    <w:rsid w:val="00F60884"/>
    <w:rsid w:val="00F64C7A"/>
    <w:rsid w:val="00F7064C"/>
    <w:rsid w:val="00F70661"/>
    <w:rsid w:val="00F74AE5"/>
    <w:rsid w:val="00F852FD"/>
    <w:rsid w:val="00F901B7"/>
    <w:rsid w:val="00F9538C"/>
    <w:rsid w:val="00F97778"/>
    <w:rsid w:val="00FA37A6"/>
    <w:rsid w:val="00FB4B89"/>
    <w:rsid w:val="00FD7A0F"/>
    <w:rsid w:val="00FE1CA7"/>
    <w:rsid w:val="00FF5E16"/>
    <w:rsid w:val="600626B4"/>
  </w:rsids>
  <w:docVars>
    <w:docVar w:name="commondata" w:val="eyJoZGlkIjoiYTUwZmRjNTQ4NzIyYTMxYWRjZmVhZjk5NjZiOGY1ZD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59" w:unhideWhenUsed="0"/>
    <w:lsdException w:name="Table Theme"/>
    <w:lsdException w:name="Light Shading" w:semiHidden="0" w:uiPriority="60" w:unhideWhenUsed="0" w:qFormat="1"/>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qFormat="1"/>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Times New Roman"/>
      <w:kern w:val="2"/>
      <w:sz w:val="21"/>
      <w:szCs w:val="20"/>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b/>
      <w:bCs/>
      <w:kern w:val="44"/>
      <w:sz w:val="44"/>
      <w:szCs w:val="44"/>
    </w:rPr>
  </w:style>
  <w:style w:type="paragraph" w:styleId="Heading3">
    <w:name w:val="heading 3"/>
    <w:basedOn w:val="Normal"/>
    <w:next w:val="Normal"/>
    <w:link w:val="3Char"/>
    <w:uiPriority w:val="9"/>
    <w:semiHidden/>
    <w:unhideWhenUsed/>
    <w:qFormat/>
    <w:pPr>
      <w:keepNext/>
      <w:keepLines/>
      <w:spacing w:before="260" w:after="260" w:line="416" w:lineRule="auto"/>
      <w:outlineLvl w:val="2"/>
    </w:pPr>
    <w:rPr>
      <w:b/>
      <w:bCs/>
      <w:sz w:val="32"/>
      <w:szCs w:val="32"/>
    </w:rPr>
  </w:style>
  <w:style w:type="character" w:default="1" w:styleId="DefaultParagraphFont">
    <w:name w:val="Default Paragraph Font"/>
    <w:autoRedefine/>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TOC3">
    <w:name w:val="toc 3"/>
    <w:basedOn w:val="Normal"/>
    <w:next w:val="Normal"/>
    <w:autoRedefine/>
    <w:uiPriority w:val="39"/>
    <w:semiHidden/>
    <w:unhideWhenUsed/>
    <w:qFormat/>
    <w:pPr>
      <w:widowControl/>
      <w:spacing w:after="100" w:line="276" w:lineRule="auto"/>
      <w:ind w:left="440"/>
      <w:jc w:val="left"/>
    </w:pPr>
    <w:rPr>
      <w:rFonts w:asciiTheme="minorHAnsi" w:eastAsiaTheme="minorEastAsia" w:hAnsiTheme="minorHAnsi" w:cstheme="minorBidi"/>
      <w:kern w:val="0"/>
      <w:sz w:val="22"/>
      <w:szCs w:val="22"/>
    </w:rPr>
  </w:style>
  <w:style w:type="paragraph" w:styleId="BalloonText">
    <w:name w:val="Balloon Text"/>
    <w:basedOn w:val="Normal"/>
    <w:link w:val="Char1"/>
    <w:uiPriority w:val="99"/>
    <w:semiHidden/>
    <w:unhideWhenUsed/>
    <w:rPr>
      <w:sz w:val="18"/>
      <w:szCs w:val="18"/>
    </w:rPr>
  </w:style>
  <w:style w:type="paragraph" w:styleId="Footer">
    <w:name w:val="footer"/>
    <w:basedOn w:val="Normal"/>
    <w:link w:val="Char0"/>
    <w:uiPriority w:val="99"/>
    <w:unhideWhenUsed/>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autoRedefine/>
    <w:uiPriority w:val="39"/>
    <w:unhideWhenUsed/>
    <w:qFormat/>
  </w:style>
  <w:style w:type="paragraph" w:styleId="TOC2">
    <w:name w:val="toc 2"/>
    <w:basedOn w:val="Normal"/>
    <w:next w:val="Normal"/>
    <w:autoRedefine/>
    <w:uiPriority w:val="39"/>
    <w:semiHidden/>
    <w:unhideWhenUsed/>
    <w:qFormat/>
    <w:pPr>
      <w:widowControl/>
      <w:spacing w:after="100" w:line="276" w:lineRule="auto"/>
      <w:ind w:left="220"/>
      <w:jc w:val="left"/>
    </w:pPr>
    <w:rPr>
      <w:rFonts w:asciiTheme="minorHAnsi" w:eastAsiaTheme="minorEastAsia" w:hAnsiTheme="minorHAnsi" w:cstheme="minorBidi"/>
      <w:kern w:val="0"/>
      <w:sz w:val="22"/>
      <w:szCs w:val="22"/>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autoRedefine/>
    <w:uiPriority w:val="60"/>
    <w:qFormat/>
    <w:rPr>
      <w:color w:val="000000" w:themeColor="text1" w:themeShade="BF"/>
    </w:rPr>
    <w:tblPr>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LightShadingAccent4">
    <w:name w:val="Light Shading Accent 4"/>
    <w:basedOn w:val="TableNormal"/>
    <w:autoRedefine/>
    <w:uiPriority w:val="60"/>
    <w:qFormat/>
    <w:rPr>
      <w:color w:val="604A7B" w:themeColor="accent4" w:themeShade="BF"/>
    </w:rPr>
    <w:tblPr>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character" w:styleId="Hyperlink">
    <w:name w:val="Hyperlink"/>
    <w:basedOn w:val="DefaultParagraphFont"/>
    <w:autoRedefine/>
    <w:uiPriority w:val="99"/>
    <w:unhideWhenUsed/>
    <w:qFormat/>
    <w:rPr>
      <w:color w:val="0000FF" w:themeColor="hyperlink"/>
      <w:u w:val="single"/>
      <w14:textFill>
        <w14:solidFill>
          <w14:schemeClr w14:val="hlink"/>
        </w14:solidFill>
      </w14:textFill>
    </w:rPr>
  </w:style>
  <w:style w:type="character" w:customStyle="1" w:styleId="Char">
    <w:name w:val="页眉 Char"/>
    <w:basedOn w:val="DefaultParagraphFont"/>
    <w:link w:val="Header"/>
    <w:uiPriority w:val="99"/>
    <w:rPr>
      <w:rFonts w:ascii="Times New Roman" w:eastAsia="宋体" w:hAnsi="Times New Roman" w:cs="Times New Roman"/>
      <w:sz w:val="18"/>
      <w:szCs w:val="18"/>
    </w:rPr>
  </w:style>
  <w:style w:type="character" w:customStyle="1" w:styleId="Char0">
    <w:name w:val="页脚 Char"/>
    <w:basedOn w:val="DefaultParagraphFont"/>
    <w:link w:val="Footer"/>
    <w:uiPriority w:val="99"/>
    <w:rPr>
      <w:rFonts w:ascii="Times New Roman" w:eastAsia="宋体" w:hAnsi="Times New Roman" w:cs="Times New Roman"/>
      <w:sz w:val="18"/>
      <w:szCs w:val="18"/>
    </w:rPr>
  </w:style>
  <w:style w:type="paragraph" w:styleId="ListParagraph">
    <w:name w:val="List Paragraph"/>
    <w:basedOn w:val="Normal"/>
    <w:uiPriority w:val="34"/>
    <w:qFormat/>
    <w:pPr>
      <w:ind w:firstLine="420" w:firstLineChars="200"/>
    </w:pPr>
  </w:style>
  <w:style w:type="character" w:customStyle="1" w:styleId="Char1">
    <w:name w:val="批注框文本 Char"/>
    <w:basedOn w:val="DefaultParagraphFont"/>
    <w:link w:val="BalloonText"/>
    <w:uiPriority w:val="99"/>
    <w:semiHidden/>
    <w:rPr>
      <w:rFonts w:ascii="Times New Roman" w:eastAsia="宋体" w:hAnsi="Times New Roman" w:cs="Times New Roman"/>
      <w:sz w:val="18"/>
      <w:szCs w:val="18"/>
    </w:rPr>
  </w:style>
  <w:style w:type="character" w:customStyle="1" w:styleId="1Char">
    <w:name w:val="标题 1 Char"/>
    <w:basedOn w:val="DefaultParagraphFont"/>
    <w:link w:val="Heading1"/>
    <w:autoRedefine/>
    <w:uiPriority w:val="9"/>
    <w:qFormat/>
    <w:rPr>
      <w:rFonts w:ascii="Times New Roman" w:eastAsia="宋体" w:hAnsi="Times New Roman" w:cs="Times New Roman"/>
      <w:b/>
      <w:bCs/>
      <w:kern w:val="44"/>
      <w:sz w:val="44"/>
      <w:szCs w:val="44"/>
    </w:rPr>
  </w:style>
  <w:style w:type="paragraph" w:customStyle="1" w:styleId="TOCHeading">
    <w:name w:val="TOC Heading"/>
    <w:basedOn w:val="Heading1"/>
    <w:next w:val="Normal"/>
    <w:autoRedefine/>
    <w:uiPriority w:val="39"/>
    <w:unhideWhenUsed/>
    <w:qFormat/>
    <w:pPr>
      <w:widowControl/>
      <w:spacing w:before="480" w:after="0" w:line="276" w:lineRule="auto"/>
      <w:jc w:val="left"/>
      <w:outlineLvl w:val="9"/>
    </w:pPr>
    <w:rPr>
      <w:rFonts w:asciiTheme="majorHAnsi" w:eastAsiaTheme="majorEastAsia" w:hAnsiTheme="majorHAnsi" w:cstheme="majorBidi"/>
      <w:color w:val="376092" w:themeColor="accent1" w:themeShade="BF"/>
      <w:kern w:val="0"/>
      <w:sz w:val="28"/>
      <w:szCs w:val="28"/>
    </w:rPr>
  </w:style>
  <w:style w:type="character" w:customStyle="1" w:styleId="3Char">
    <w:name w:val="标题 3 Char"/>
    <w:basedOn w:val="DefaultParagraphFont"/>
    <w:link w:val="Heading3"/>
    <w:autoRedefine/>
    <w:uiPriority w:val="9"/>
    <w:semiHidden/>
    <w:qFormat/>
    <w:rPr>
      <w:rFonts w:ascii="Times New Roman" w:eastAsia="宋体" w:hAnsi="Times New Roman" w:cs="Times New Roman"/>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yperlink" Target="https://d.book118.com/128131125045006025" TargetMode="External" /><Relationship Id="rId7" Type="http://schemas.openxmlformats.org/officeDocument/2006/relationships/theme" Target="theme/theme1.xml" /><Relationship Id="rId8" Type="http://schemas.openxmlformats.org/officeDocument/2006/relationships/numbering" Target="numbering.xml" /><Relationship Id="rId9"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7F19B56D-1E20-4919-BA47-7ED209BA5EA5}">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3776</TotalTime>
  <Pages>10</Pages>
  <Words>4977</Words>
  <Characters>28372</Characters>
  <Application>Microsoft Office Word</Application>
  <DocSecurity>0</DocSecurity>
  <Lines>236</Lines>
  <Paragraphs>66</Paragraphs>
  <ScaleCrop>false</ScaleCrop>
  <Company>china</Company>
  <LinksUpToDate>false</LinksUpToDate>
  <CharactersWithSpaces>33283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ABEEL</cp:lastModifiedBy>
  <cp:revision>219</cp:revision>
  <dcterms:created xsi:type="dcterms:W3CDTF">2017-02-21T02:12:00Z</dcterms:created>
  <dcterms:modified xsi:type="dcterms:W3CDTF">2024-01-11T06:48:52Z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90C45F8337744CCDBCC6919D59D42395_13</vt:lpwstr>
  </property>
  <property fmtid="{D5CDD505-2E9C-101B-9397-08002B2CF9AE}" pid="3" name="KSOProductBuildVer">
    <vt:lpwstr>2052-12.1.0.16120</vt:lpwstr>
  </property>
</Properties>
</file>