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91" w:line="236" w:lineRule="auto"/>
        <w:ind w:left="2659" w:right="1700" w:hanging="976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高静水压下20</w:t>
      </w:r>
      <w:r>
        <w:rPr>
          <w:rFonts w:ascii="SimHei" w:eastAsia="SimHei" w:hAnsi="SimHei" w:cs="SimHei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Hz</w:t>
      </w:r>
      <w:r>
        <w:rPr>
          <w:b/>
          <w:bCs/>
          <w:spacing w:val="3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3.15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kHz</w:t>
      </w:r>
      <w:r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标准水听器</w:t>
      </w:r>
      <w:r>
        <w:rPr>
          <w:rFonts w:ascii="SimHei" w:eastAsia="SimHei" w:hAnsi="SimHei" w:cs="SimHei"/>
          <w:spacing w:val="10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(耦合腔互易法)</w:t>
      </w:r>
      <w:r>
        <w:rPr>
          <w:spacing w:val="-28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10"/>
          <w:sz w:val="28"/>
          <w:szCs w:val="28"/>
        </w:rPr>
        <w:t>检定规程</w:t>
      </w:r>
    </w:p>
    <w:p>
      <w:pPr>
        <w:pStyle w:val="BodyText"/>
        <w:spacing w:before="255" w:line="219" w:lineRule="auto"/>
        <w:ind w:left="439"/>
      </w:pPr>
      <w:r>
        <w:rPr>
          <w:spacing w:val="2"/>
        </w:rPr>
        <w:t>本规程参考采用国际电工委员会</w:t>
      </w:r>
      <w:r>
        <w:t>IEC</w:t>
      </w:r>
      <w:r>
        <w:rPr>
          <w:spacing w:val="66"/>
        </w:rPr>
        <w:t xml:space="preserve"> </w:t>
      </w:r>
      <w:r>
        <w:rPr>
          <w:spacing w:val="2"/>
        </w:rPr>
        <w:t>60565</w:t>
      </w:r>
      <w:r>
        <w:rPr>
          <w:spacing w:val="63"/>
        </w:rPr>
        <w:t xml:space="preserve"> </w:t>
      </w:r>
      <w:r>
        <w:t>Ed</w:t>
      </w:r>
      <w:r>
        <w:rPr>
          <w:spacing w:val="2"/>
        </w:rPr>
        <w:t>.2:2006</w:t>
      </w:r>
      <w:r>
        <w:rPr>
          <w:spacing w:val="1"/>
        </w:rPr>
        <w:t xml:space="preserve">《水声  水听器  0.01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1"/>
        </w:rPr>
        <w:t>~</w:t>
      </w:r>
    </w:p>
    <w:p>
      <w:pPr>
        <w:pStyle w:val="BodyText"/>
        <w:spacing w:before="90" w:line="219" w:lineRule="auto"/>
      </w:pPr>
      <w:r>
        <w:rPr>
          <w:rFonts w:ascii="Times New Roman" w:eastAsia="Times New Roman" w:hAnsi="Times New Roman" w:cs="Times New Roman"/>
          <w:spacing w:val="2"/>
        </w:rPr>
        <w:t>1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频率范围的校准》中的耦合腔互易法校准。</w:t>
      </w:r>
    </w:p>
    <w:p>
      <w:pPr>
        <w:spacing w:before="216" w:line="223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10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范围</w:t>
      </w:r>
    </w:p>
    <w:p>
      <w:pPr>
        <w:pStyle w:val="BodyText"/>
        <w:spacing w:before="216" w:line="256" w:lineRule="auto"/>
        <w:ind w:right="111" w:firstLine="439"/>
      </w:pPr>
      <w:r>
        <w:rPr>
          <w:spacing w:val="4"/>
        </w:rPr>
        <w:t xml:space="preserve">本规程适用于静水压0.1 </w:t>
      </w:r>
      <w:r>
        <w:rPr>
          <w:rFonts w:ascii="Times New Roman" w:eastAsia="Times New Roman" w:hAnsi="Times New Roman" w:cs="Times New Roman"/>
        </w:rPr>
        <w:t>MPa</w:t>
      </w:r>
      <w:r>
        <w:rPr>
          <w:spacing w:val="4"/>
        </w:rPr>
        <w:t>～</w:t>
      </w:r>
      <w:r>
        <w:rPr>
          <w:rFonts w:ascii="Times New Roman" w:eastAsia="Times New Roman" w:hAnsi="Times New Roman" w:cs="Times New Roman"/>
          <w:spacing w:val="4"/>
        </w:rPr>
        <w:t xml:space="preserve">10   </w:t>
      </w:r>
      <w:r>
        <w:rPr>
          <w:rFonts w:ascii="Times New Roman" w:eastAsia="Times New Roman" w:hAnsi="Times New Roman" w:cs="Times New Roman"/>
        </w:rPr>
        <w:t>MPa</w:t>
      </w:r>
      <w:r>
        <w:rPr>
          <w:spacing w:val="4"/>
        </w:rPr>
        <w:t xml:space="preserve">、频率20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4"/>
        </w:rPr>
        <w:t>～</w:t>
      </w:r>
      <w:r>
        <w:rPr>
          <w:rFonts w:ascii="Times New Roman" w:eastAsia="Times New Roman" w:hAnsi="Times New Roman" w:cs="Times New Roman"/>
          <w:spacing w:val="4"/>
        </w:rPr>
        <w:t xml:space="preserve">3.15   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spacing w:val="4"/>
        </w:rPr>
        <w:t>范围内使用的耐</w:t>
      </w:r>
      <w:r>
        <w:t xml:space="preserve"> </w:t>
      </w:r>
      <w:r>
        <w:rPr>
          <w:spacing w:val="9"/>
        </w:rPr>
        <w:t>高静水压标准水听器(以下简称标准水听器)的首次检定、后续检定和使用中的检验。</w:t>
      </w:r>
    </w:p>
    <w:p>
      <w:pPr>
        <w:spacing w:before="205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2</w:t>
      </w:r>
      <w:r>
        <w:rPr>
          <w:rFonts w:ascii="SimHei" w:eastAsia="SimHei" w:hAnsi="SimHei" w:cs="SimHei"/>
          <w:spacing w:val="10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引用文献</w:t>
      </w:r>
    </w:p>
    <w:p>
      <w:pPr>
        <w:pStyle w:val="BodyText"/>
        <w:spacing w:before="239" w:line="219" w:lineRule="auto"/>
        <w:ind w:left="439"/>
      </w:pPr>
      <w:r>
        <w:t>本规程引用下列文献：</w:t>
      </w:r>
    </w:p>
    <w:p>
      <w:pPr>
        <w:pStyle w:val="BodyText"/>
        <w:spacing w:before="71" w:line="220" w:lineRule="auto"/>
        <w:ind w:left="439"/>
      </w:pPr>
      <w:r>
        <w:t>GB</w:t>
      </w:r>
      <w:r>
        <w:rPr>
          <w:spacing w:val="1"/>
        </w:rPr>
        <w:t>/T  3102.7—1993  声学的量和单位</w:t>
      </w:r>
    </w:p>
    <w:p>
      <w:pPr>
        <w:pStyle w:val="BodyText"/>
        <w:spacing w:before="77" w:line="219" w:lineRule="auto"/>
        <w:ind w:left="439"/>
      </w:pPr>
      <w:r>
        <w:t>GB</w:t>
      </w:r>
      <w:r>
        <w:rPr>
          <w:spacing w:val="1"/>
        </w:rPr>
        <w:t>/T  3947—1996  声学名词术语</w:t>
      </w:r>
    </w:p>
    <w:p>
      <w:pPr>
        <w:pStyle w:val="BodyText"/>
        <w:spacing w:before="79" w:line="219" w:lineRule="auto"/>
        <w:ind w:left="439"/>
      </w:pPr>
      <w:r>
        <w:t>GB</w:t>
      </w:r>
      <w:r>
        <w:rPr>
          <w:spacing w:val="3"/>
        </w:rPr>
        <w:t>/T  4128—1995  声学  标</w:t>
      </w:r>
      <w:r>
        <w:rPr>
          <w:spacing w:val="2"/>
        </w:rPr>
        <w:t>准水听器</w:t>
      </w:r>
    </w:p>
    <w:p>
      <w:pPr>
        <w:pStyle w:val="BodyText"/>
        <w:spacing w:before="47" w:line="218" w:lineRule="auto"/>
        <w:ind w:left="439"/>
      </w:pPr>
      <w:r>
        <w:t>GJB</w:t>
      </w:r>
      <w:r>
        <w:rPr>
          <w:spacing w:val="3"/>
        </w:rPr>
        <w:t>1726—1993</w:t>
      </w:r>
      <w:r>
        <w:rPr>
          <w:spacing w:val="22"/>
        </w:rPr>
        <w:t xml:space="preserve">   </w:t>
      </w:r>
      <w:r>
        <w:rPr>
          <w:spacing w:val="3"/>
        </w:rPr>
        <w:t>高静压下低频一级标准水听器检定规程</w:t>
      </w:r>
    </w:p>
    <w:p>
      <w:pPr>
        <w:pStyle w:val="BodyText"/>
        <w:spacing w:before="71" w:line="218" w:lineRule="auto"/>
        <w:ind w:left="439"/>
      </w:pPr>
      <w:r>
        <w:t>JJF</w:t>
      </w:r>
      <w:r>
        <w:rPr>
          <w:spacing w:val="1"/>
        </w:rPr>
        <w:t xml:space="preserve"> 1001—1998  通用计量术语及定义</w:t>
      </w:r>
    </w:p>
    <w:p>
      <w:pPr>
        <w:pStyle w:val="BodyText"/>
        <w:spacing w:before="70" w:line="330" w:lineRule="exact"/>
        <w:ind w:left="439"/>
      </w:pPr>
      <w:r>
        <w:rPr>
          <w:position w:val="8"/>
        </w:rPr>
        <w:t>JJF</w:t>
      </w:r>
      <w:r>
        <w:rPr>
          <w:spacing w:val="3"/>
          <w:position w:val="8"/>
        </w:rPr>
        <w:t xml:space="preserve"> 1034—2005</w:t>
      </w:r>
      <w:r>
        <w:rPr>
          <w:spacing w:val="87"/>
          <w:position w:val="8"/>
        </w:rPr>
        <w:t xml:space="preserve"> </w:t>
      </w:r>
      <w:r>
        <w:rPr>
          <w:spacing w:val="3"/>
          <w:position w:val="8"/>
        </w:rPr>
        <w:t>声学计量名词术语及定义</w:t>
      </w:r>
    </w:p>
    <w:p>
      <w:pPr>
        <w:pStyle w:val="BodyText"/>
        <w:spacing w:before="1" w:line="217" w:lineRule="auto"/>
        <w:ind w:left="439"/>
      </w:pPr>
      <w:r>
        <w:t>JJF</w:t>
      </w:r>
      <w:r>
        <w:rPr>
          <w:spacing w:val="1"/>
        </w:rPr>
        <w:t xml:space="preserve">  1059-1999  测量不确定度评定与表示</w:t>
      </w:r>
    </w:p>
    <w:p>
      <w:pPr>
        <w:pStyle w:val="BodyText"/>
        <w:spacing w:before="98" w:line="251" w:lineRule="auto"/>
        <w:ind w:right="72" w:firstLine="439"/>
        <w:jc w:val="both"/>
      </w:pPr>
      <w:r>
        <w:t xml:space="preserve">IEC  60565  Ed.2:2006  </w:t>
      </w:r>
      <w:r>
        <w:rPr>
          <w:rFonts w:ascii="Times New Roman" w:eastAsia="Times New Roman" w:hAnsi="Times New Roman" w:cs="Times New Roman"/>
        </w:rPr>
        <w:t>Underwater    acoustics—Hydrophones—C</w:t>
      </w:r>
      <w:r>
        <w:rPr>
          <w:rFonts w:ascii="Times New Roman" w:eastAsia="Times New Roman" w:hAnsi="Times New Roman" w:cs="Times New Roman"/>
          <w:spacing w:val="-1"/>
        </w:rPr>
        <w:t>alibration</w:t>
      </w:r>
      <w:r>
        <w:rPr>
          <w:rFonts w:ascii="Times New Roman" w:eastAsia="Times New Roman" w:hAnsi="Times New Roman" w:cs="Times New Roman"/>
          <w:spacing w:val="1"/>
        </w:rPr>
        <w:t xml:space="preserve">    </w:t>
      </w:r>
      <w:r>
        <w:rPr>
          <w:rFonts w:ascii="Times New Roman" w:eastAsia="Times New Roman" w:hAnsi="Times New Roman" w:cs="Times New Roman"/>
          <w:spacing w:val="-1"/>
        </w:rPr>
        <w:t>in</w:t>
      </w:r>
      <w:r>
        <w:rPr>
          <w:rFonts w:ascii="Times New Roman" w:eastAsia="Times New Roman" w:hAnsi="Times New Roman" w:cs="Times New Roman"/>
          <w:spacing w:val="1"/>
        </w:rPr>
        <w:t xml:space="preserve">    </w:t>
      </w:r>
      <w:r>
        <w:rPr>
          <w:rFonts w:ascii="Times New Roman" w:eastAsia="Times New Roman" w:hAnsi="Times New Roman" w:cs="Times New Roman"/>
          <w:spacing w:val="-1"/>
        </w:rPr>
        <w:t>the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</w:rPr>
        <w:t>frequency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</w:rPr>
        <w:t>range</w:t>
      </w:r>
      <w:r>
        <w:rPr>
          <w:rFonts w:ascii="Times New Roman" w:eastAsia="Times New Roman" w:hAnsi="Times New Roman" w:cs="Times New Roman"/>
          <w:spacing w:val="4"/>
        </w:rPr>
        <w:t xml:space="preserve">  0.01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4"/>
        </w:rPr>
        <w:t xml:space="preserve">   1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spacing w:val="4"/>
        </w:rPr>
        <w:t>(水声</w:t>
      </w:r>
      <w:r>
        <w:rPr>
          <w:spacing w:val="27"/>
        </w:rPr>
        <w:t xml:space="preserve">  </w:t>
      </w:r>
      <w:r>
        <w:rPr>
          <w:spacing w:val="4"/>
        </w:rPr>
        <w:t>水听器</w:t>
      </w:r>
      <w:r>
        <w:rPr>
          <w:spacing w:val="21"/>
        </w:rPr>
        <w:t xml:space="preserve">  </w:t>
      </w:r>
      <w:r>
        <w:rPr>
          <w:spacing w:val="4"/>
        </w:rPr>
        <w:t>0.01</w:t>
      </w:r>
      <w:r>
        <w:rPr>
          <w:spacing w:val="40"/>
        </w:rPr>
        <w:t xml:space="preserve"> </w:t>
      </w:r>
      <w:r>
        <w:rPr>
          <w:rFonts w:ascii="Times New Roman" w:eastAsia="Times New Roman" w:hAnsi="Times New Roman" w:cs="Times New Roman"/>
        </w:rPr>
        <w:t>Hz</w:t>
      </w:r>
      <w:r>
        <w:rPr>
          <w:spacing w:val="4"/>
        </w:rPr>
        <w:t>～</w:t>
      </w:r>
      <w:r>
        <w:rPr>
          <w:rFonts w:ascii="Times New Roman" w:eastAsia="Times New Roman" w:hAnsi="Times New Roman" w:cs="Times New Roman"/>
          <w:spacing w:val="4"/>
        </w:rPr>
        <w:t xml:space="preserve">1   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spacing w:val="4"/>
        </w:rPr>
        <w:t>频率范围的</w:t>
      </w:r>
      <w:r>
        <w:t xml:space="preserve"> </w:t>
      </w:r>
      <w:r>
        <w:rPr>
          <w:spacing w:val="9"/>
        </w:rPr>
        <w:t>校准)</w:t>
      </w:r>
    </w:p>
    <w:p>
      <w:pPr>
        <w:pStyle w:val="BodyText"/>
        <w:spacing w:before="75" w:line="219" w:lineRule="auto"/>
        <w:ind w:left="439"/>
      </w:pPr>
      <w:r>
        <w:rPr>
          <w:spacing w:val="3"/>
        </w:rPr>
        <w:t>使用本规程时，应注意使用上述引用文献的现行有效版本。</w:t>
      </w:r>
    </w:p>
    <w:p>
      <w:pPr>
        <w:spacing w:before="218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3</w:t>
      </w:r>
      <w:r>
        <w:rPr>
          <w:rFonts w:ascii="SimHei" w:eastAsia="SimHei" w:hAnsi="SimHei" w:cs="SimHei"/>
          <w:spacing w:val="11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术语和计量单位</w:t>
      </w:r>
    </w:p>
    <w:p>
      <w:pPr>
        <w:pStyle w:val="BodyText"/>
        <w:spacing w:before="224" w:line="257" w:lineRule="auto"/>
        <w:ind w:left="439" w:right="2849" w:hanging="439"/>
      </w:pPr>
      <w:r>
        <w:t>3.1</w:t>
      </w:r>
      <w:r>
        <w:rPr>
          <w:spacing w:val="112"/>
        </w:rPr>
        <w:t xml:space="preserve"> </w:t>
      </w:r>
      <w:r>
        <w:t xml:space="preserve">水听器开路电压  </w:t>
      </w:r>
      <w:r>
        <w:rPr>
          <w:rFonts w:ascii="Times New Roman" w:eastAsia="Times New Roman" w:hAnsi="Times New Roman" w:cs="Times New Roman"/>
        </w:rPr>
        <w:t>open-circuit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rFonts w:ascii="Times New Roman" w:eastAsia="Times New Roman" w:hAnsi="Times New Roman" w:cs="Times New Roman"/>
        </w:rPr>
        <w:t>voltage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hydrophone  </w:t>
      </w:r>
      <w:r>
        <w:rPr>
          <w:spacing w:val="1"/>
        </w:rPr>
        <w:t>当水听器输出端没有电流通过时，在该端呈现的电压。</w:t>
      </w:r>
      <w:r>
        <w:rPr>
          <w:spacing w:val="14"/>
        </w:rPr>
        <w:t xml:space="preserve"> </w:t>
      </w:r>
      <w:r>
        <w:rPr>
          <w:spacing w:val="16"/>
        </w:rPr>
        <w:t>单位：伏[特],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16"/>
        </w:rPr>
        <w:t>V</w:t>
      </w:r>
      <w:r>
        <w:rPr>
          <w:spacing w:val="16"/>
        </w:rPr>
        <w:t>。</w:t>
      </w:r>
    </w:p>
    <w:p>
      <w:pPr>
        <w:pStyle w:val="BodyText"/>
        <w:spacing w:before="60" w:line="212" w:lineRule="auto"/>
        <w:rPr>
          <w:rFonts w:ascii="Times New Roman" w:eastAsia="Times New Roman" w:hAnsi="Times New Roman" w:cs="Times New Roman"/>
        </w:rPr>
      </w:pPr>
      <w:r>
        <w:rPr>
          <w:spacing w:val="2"/>
        </w:rPr>
        <w:t xml:space="preserve">3.2  水听器声压灵敏度  </w:t>
      </w:r>
      <w:r>
        <w:rPr>
          <w:rFonts w:ascii="Times New Roman" w:eastAsia="Times New Roman" w:hAnsi="Times New Roman" w:cs="Times New Roman"/>
        </w:rPr>
        <w:t>pressure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rFonts w:ascii="Times New Roman" w:eastAsia="Times New Roman" w:hAnsi="Times New Roman" w:cs="Times New Roman"/>
        </w:rPr>
        <w:t>sensitivity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Times New Roman" w:eastAsia="Times New Roman" w:hAnsi="Times New Roman" w:cs="Times New Roman"/>
        </w:rPr>
        <w:t>hydrophone</w:t>
      </w:r>
    </w:p>
    <w:p>
      <w:pPr>
        <w:pStyle w:val="BodyText"/>
        <w:spacing w:before="93" w:line="305" w:lineRule="exact"/>
        <w:ind w:left="439"/>
      </w:pPr>
      <w:r>
        <w:rPr>
          <w:spacing w:val="3"/>
          <w:position w:val="6"/>
        </w:rPr>
        <w:t>水听器的输出电压与作用在水听器接收面上的实际声压的比值。</w:t>
      </w:r>
    </w:p>
    <w:p>
      <w:pPr>
        <w:pStyle w:val="BodyText"/>
        <w:spacing w:line="212" w:lineRule="auto"/>
        <w:ind w:left="439"/>
        <w:rPr>
          <w:rFonts w:ascii="Times New Roman" w:eastAsia="Times New Roman" w:hAnsi="Times New Roman" w:cs="Times New Roman"/>
        </w:rPr>
        <w:sectPr>
          <w:headerReference w:type="default" r:id="rId4"/>
          <w:footerReference w:type="default" r:id="rId5"/>
          <w:pgSz w:w="10040" w:h="14660"/>
          <w:pgMar w:top="1279" w:right="690" w:bottom="1065" w:left="740" w:header="967" w:footer="916" w:gutter="0"/>
          <w:cols w:space="708"/>
        </w:sectPr>
      </w:pPr>
      <w:r>
        <w:rPr>
          <w:spacing w:val="-14"/>
        </w:rPr>
        <w:t>符号：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M,</w:t>
      </w:r>
    </w:p>
    <w:p>
      <w:pPr>
        <w:pStyle w:val="BodyText"/>
        <w:spacing w:before="81" w:line="219" w:lineRule="auto"/>
        <w:ind w:left="439"/>
      </w:pPr>
      <w:r>
        <w:rPr>
          <w:spacing w:val="-6"/>
        </w:rPr>
        <w:t>单位：伏每帕，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V/Pa</w:t>
      </w:r>
      <w:r>
        <w:rPr>
          <w:spacing w:val="-6"/>
        </w:rPr>
        <w:t>。</w:t>
      </w:r>
    </w:p>
    <w:p>
      <w:pPr>
        <w:pStyle w:val="BodyText"/>
        <w:spacing w:before="75" w:line="212" w:lineRule="auto"/>
        <w:rPr>
          <w:rFonts w:ascii="Times New Roman" w:eastAsia="Times New Roman" w:hAnsi="Times New Roman" w:cs="Times New Roman"/>
        </w:rPr>
      </w:pPr>
      <w:r>
        <w:rPr>
          <w:spacing w:val="1"/>
        </w:rPr>
        <w:t xml:space="preserve">3.3  声压灵敏度级  </w:t>
      </w:r>
      <w:r>
        <w:rPr>
          <w:rFonts w:ascii="Times New Roman" w:eastAsia="Times New Roman" w:hAnsi="Times New Roman" w:cs="Times New Roman"/>
        </w:rPr>
        <w:t>pressure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rFonts w:ascii="Times New Roman" w:eastAsia="Times New Roman" w:hAnsi="Times New Roman" w:cs="Times New Roman"/>
        </w:rPr>
        <w:t>sensitivity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rFonts w:ascii="Times New Roman" w:eastAsia="Times New Roman" w:hAnsi="Times New Roman" w:cs="Times New Roman"/>
        </w:rPr>
        <w:t>level</w:t>
      </w:r>
    </w:p>
    <w:p>
      <w:pPr>
        <w:pStyle w:val="BodyText"/>
        <w:spacing w:before="102" w:line="249" w:lineRule="auto"/>
        <w:ind w:right="80" w:firstLine="439"/>
      </w:pPr>
      <w:r>
        <w:rPr>
          <w:spacing w:val="7"/>
        </w:rPr>
        <w:t>水听器声压灵敏度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M</w:t>
      </w:r>
      <w:r>
        <w:rPr>
          <w:spacing w:val="7"/>
        </w:rPr>
        <w:t>。的平方与参考声压灵敏度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</w:rPr>
        <w:t>Mw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的平方之比的以10</w:t>
      </w:r>
      <w:r>
        <w:rPr>
          <w:spacing w:val="-21"/>
        </w:rPr>
        <w:t xml:space="preserve"> </w:t>
      </w:r>
      <w:r>
        <w:rPr>
          <w:spacing w:val="7"/>
        </w:rPr>
        <w:t>为底对数</w:t>
      </w:r>
      <w:r>
        <w:t xml:space="preserve"> </w:t>
      </w:r>
      <w:r>
        <w:rPr>
          <w:spacing w:val="3"/>
        </w:rPr>
        <w:t>乘以10。</w:t>
      </w:r>
    </w:p>
    <w:p>
      <w:pPr>
        <w:pStyle w:val="BodyText"/>
        <w:spacing w:before="67" w:line="219" w:lineRule="auto"/>
        <w:ind w:left="439"/>
      </w:pPr>
      <w:r>
        <w:rPr>
          <w:spacing w:val="-17"/>
        </w:rPr>
        <w:t>符号：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M</w:t>
      </w:r>
      <w:r>
        <w:rPr>
          <w:spacing w:val="-17"/>
        </w:rPr>
        <w:t>。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10040" w:h="14660"/>
          <w:pgMar w:top="1279" w:right="690" w:bottom="1065" w:left="740" w:header="967" w:footer="916" w:gutter="0"/>
          <w:pgNumType w:start="2"/>
          <w:cols w:space="708"/>
          <w:titlePg w:val="0"/>
        </w:sectPr>
      </w:pPr>
    </w:p>
    <w:p>
      <w:pPr>
        <w:pStyle w:val="BodyText"/>
        <w:spacing w:before="209" w:line="220" w:lineRule="auto"/>
        <w:ind w:left="449"/>
      </w:pPr>
      <w:r>
        <w:rPr>
          <w:spacing w:val="-1"/>
        </w:rPr>
        <w:t>单位：分贝，</w:t>
      </w:r>
      <w:r>
        <w:rPr>
          <w:rFonts w:ascii="Times New Roman" w:eastAsia="Times New Roman" w:hAnsi="Times New Roman" w:cs="Times New Roman"/>
          <w:spacing w:val="-1"/>
        </w:rPr>
        <w:t>dB</w:t>
      </w:r>
      <w:r>
        <w:rPr>
          <w:spacing w:val="-1"/>
        </w:rPr>
        <w:t>。</w:t>
      </w:r>
    </w:p>
    <w:p>
      <w:pPr>
        <w:pStyle w:val="BodyText"/>
        <w:spacing w:before="78" w:line="224" w:lineRule="auto"/>
        <w:ind w:left="439"/>
        <w:rPr>
          <w:sz w:val="17"/>
          <w:szCs w:val="17"/>
        </w:rPr>
      </w:pPr>
      <w:r>
        <w:rPr>
          <w:spacing w:val="-4"/>
          <w:sz w:val="17"/>
          <w:szCs w:val="17"/>
        </w:rPr>
        <w:t>注</w:t>
      </w:r>
      <w:r>
        <w:rPr>
          <w:spacing w:val="-34"/>
          <w:sz w:val="17"/>
          <w:szCs w:val="17"/>
        </w:rPr>
        <w:t xml:space="preserve"> </w:t>
      </w:r>
      <w:r>
        <w:rPr>
          <w:spacing w:val="-4"/>
          <w:sz w:val="17"/>
          <w:szCs w:val="17"/>
        </w:rPr>
        <w:t>：</w:t>
      </w:r>
    </w:p>
    <w:p>
      <w:pPr>
        <w:pStyle w:val="BodyText"/>
        <w:spacing w:before="27" w:line="212" w:lineRule="auto"/>
        <w:ind w:left="449"/>
      </w:pPr>
      <w:r>
        <w:rPr>
          <w:rFonts w:ascii="FangSong" w:eastAsia="FangSong" w:hAnsi="FangSong" w:cs="FangSong"/>
        </w:rPr>
        <w:t>1.通常</w:t>
      </w:r>
      <w:r>
        <w:rPr>
          <w:rFonts w:ascii="Times New Roman" w:eastAsia="Times New Roman" w:hAnsi="Times New Roman" w:cs="Times New Roman"/>
        </w:rPr>
        <w:t>M=1V/μPa</w:t>
      </w:r>
      <w:r>
        <w:t>。</w:t>
      </w:r>
    </w:p>
    <w:p>
      <w:pPr>
        <w:pStyle w:val="BodyText"/>
        <w:spacing w:before="83" w:line="238" w:lineRule="auto"/>
        <w:ind w:right="269" w:firstLine="429"/>
        <w:rPr>
          <w:rFonts w:ascii="Times New Roman" w:eastAsia="Times New Roman" w:hAnsi="Times New Roman" w:cs="Times New Roman"/>
        </w:rPr>
      </w:pPr>
      <w:r>
        <w:rPr>
          <w:spacing w:val="-18"/>
        </w:rPr>
        <w:t>2.</w:t>
      </w:r>
      <w:r>
        <w:rPr>
          <w:spacing w:val="-43"/>
        </w:rPr>
        <w:t xml:space="preserve"> </w:t>
      </w:r>
      <w:r>
        <w:rPr>
          <w:spacing w:val="-18"/>
        </w:rPr>
        <w:t>在远离标准水听器谐振频率的低频，声压灵敏度级近似等于其自由场[电压]灵敏度级。</w:t>
      </w:r>
      <w:r>
        <w:t xml:space="preserve"> </w:t>
      </w:r>
      <w:r>
        <w:rPr>
          <w:spacing w:val="11"/>
        </w:rPr>
        <w:t>3.4</w:t>
      </w:r>
      <w:r>
        <w:rPr>
          <w:spacing w:val="7"/>
        </w:rPr>
        <w:t xml:space="preserve">   </w:t>
      </w:r>
      <w:r>
        <w:rPr>
          <w:spacing w:val="11"/>
        </w:rPr>
        <w:t>[声]耦合腔</w:t>
      </w:r>
      <w:r>
        <w:rPr>
          <w:spacing w:val="49"/>
        </w:rPr>
        <w:t xml:space="preserve">  </w:t>
      </w:r>
      <w:r>
        <w:rPr>
          <w:rFonts w:ascii="Times New Roman" w:eastAsia="Times New Roman" w:hAnsi="Times New Roman" w:cs="Times New Roman"/>
          <w:spacing w:val="11"/>
        </w:rPr>
        <w:t>[</w:t>
      </w:r>
      <w:r>
        <w:rPr>
          <w:rFonts w:ascii="Times New Roman" w:eastAsia="Times New Roman" w:hAnsi="Times New Roman" w:cs="Times New Roman"/>
        </w:rPr>
        <w:t>acoustic</w:t>
      </w:r>
      <w:r>
        <w:rPr>
          <w:rFonts w:ascii="Times New Roman" w:eastAsia="Times New Roman" w:hAnsi="Times New Roman" w:cs="Times New Roman"/>
          <w:spacing w:val="11"/>
        </w:rPr>
        <w:t>]</w:t>
      </w:r>
      <w:r>
        <w:rPr>
          <w:rFonts w:ascii="Times New Roman" w:eastAsia="Times New Roman" w:hAnsi="Times New Roman" w:cs="Times New Roman"/>
        </w:rPr>
        <w:t>coupler</w:t>
      </w:r>
    </w:p>
    <w:p>
      <w:pPr>
        <w:pStyle w:val="BodyText"/>
        <w:spacing w:before="90" w:line="219" w:lineRule="auto"/>
        <w:ind w:left="449"/>
      </w:pPr>
      <w:r>
        <w:rPr>
          <w:spacing w:val="3"/>
        </w:rPr>
        <w:t>能够插入换能器和水听器的密闭、充液、刚性、小尺寸的腔体。</w:t>
      </w:r>
    </w:p>
    <w:p>
      <w:pPr>
        <w:spacing w:before="215" w:line="221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4</w:t>
      </w:r>
      <w:r>
        <w:rPr>
          <w:rFonts w:ascii="SimHei" w:eastAsia="SimHei" w:hAnsi="SimHei" w:cs="SimHei"/>
          <w:spacing w:val="-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概述</w:t>
      </w:r>
    </w:p>
    <w:p>
      <w:pPr>
        <w:pStyle w:val="BodyText"/>
        <w:spacing w:before="231" w:line="258" w:lineRule="auto"/>
        <w:ind w:right="86" w:firstLine="449"/>
        <w:jc w:val="both"/>
      </w:pPr>
      <w:r>
        <w:rPr>
          <w:spacing w:val="4"/>
        </w:rPr>
        <w:t>标准水听器用于检定测量水听器并测量水中声压。标准水听器由压电或其他换能材</w:t>
      </w:r>
      <w:r>
        <w:rPr>
          <w:spacing w:val="2"/>
        </w:rPr>
        <w:t xml:space="preserve"> </w:t>
      </w:r>
      <w:r>
        <w:rPr>
          <w:spacing w:val="4"/>
        </w:rPr>
        <w:t>料的敏感元件及相应结构、前置放大器等组成，在声波作用下能产生与作用声压值成正</w:t>
      </w:r>
      <w:r>
        <w:rPr>
          <w:spacing w:val="10"/>
        </w:rPr>
        <w:t xml:space="preserve"> </w:t>
      </w:r>
      <w:r>
        <w:rPr>
          <w:spacing w:val="-5"/>
        </w:rPr>
        <w:t>比的开路电压值。</w:t>
      </w:r>
    </w:p>
    <w:p>
      <w:pPr>
        <w:spacing w:before="225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5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2"/>
          <w:szCs w:val="22"/>
        </w:rPr>
        <w:t>计量性能要求</w:t>
      </w:r>
    </w:p>
    <w:p>
      <w:pPr>
        <w:pStyle w:val="BodyText"/>
        <w:spacing w:before="250" w:line="220" w:lineRule="auto"/>
      </w:pPr>
      <w:r>
        <w:rPr>
          <w:spacing w:val="1"/>
        </w:rPr>
        <w:t>5.1</w:t>
      </w:r>
      <w:r>
        <w:rPr>
          <w:spacing w:val="109"/>
        </w:rPr>
        <w:t xml:space="preserve"> </w:t>
      </w:r>
      <w:r>
        <w:rPr>
          <w:spacing w:val="1"/>
        </w:rPr>
        <w:t>工作正常性</w:t>
      </w:r>
    </w:p>
    <w:p>
      <w:pPr>
        <w:pStyle w:val="BodyText"/>
        <w:spacing w:before="57" w:line="234" w:lineRule="auto"/>
        <w:ind w:right="64"/>
      </w:pPr>
      <w:r>
        <w:rPr>
          <w:spacing w:val="14"/>
        </w:rPr>
        <w:t xml:space="preserve">5.1.1  对不带前置放大器的标准水听器，在电缆端测得的绝缘电阻应大于100 </w:t>
      </w:r>
      <w:r>
        <w:rPr>
          <w:rFonts w:ascii="Times New Roman" w:eastAsia="Times New Roman" w:hAnsi="Times New Roman" w:cs="Times New Roman"/>
          <w:spacing w:val="14"/>
        </w:rPr>
        <w:t>MΩ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6"/>
        </w:rPr>
        <w:t xml:space="preserve">(测试电压100 </w:t>
      </w:r>
      <w:r>
        <w:rPr>
          <w:rFonts w:ascii="Times New Roman" w:eastAsia="Times New Roman" w:hAnsi="Times New Roman" w:cs="Times New Roman"/>
          <w:spacing w:val="6"/>
        </w:rPr>
        <w:t>V),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 </w:t>
      </w:r>
      <w:r>
        <w:rPr>
          <w:spacing w:val="6"/>
        </w:rPr>
        <w:t>测得的电容值与使用说明书中提供的数值相差不应超过±20%。</w:t>
      </w:r>
    </w:p>
    <w:p>
      <w:pPr>
        <w:pStyle w:val="BodyText"/>
        <w:spacing w:before="111"/>
        <w:ind w:right="88"/>
      </w:pPr>
      <w:r>
        <w:rPr>
          <w:spacing w:val="7"/>
        </w:rPr>
        <w:t>5.1.2  对带前置放大器的标准水听器，当振动</w:t>
      </w:r>
      <w:r>
        <w:rPr>
          <w:spacing w:val="6"/>
        </w:rPr>
        <w:t>信号作用到水听器敏感元件时，电缆端</w:t>
      </w:r>
      <w:r>
        <w:t xml:space="preserve"> </w:t>
      </w:r>
      <w:r>
        <w:rPr>
          <w:spacing w:val="-1"/>
        </w:rPr>
        <w:t>应有相应的电压输出。</w:t>
      </w:r>
    </w:p>
    <w:p>
      <w:pPr>
        <w:pStyle w:val="BodyText"/>
        <w:spacing w:before="79" w:line="219" w:lineRule="auto"/>
      </w:pPr>
      <w:r>
        <w:t>5.2  声压灵敏度级</w:t>
      </w:r>
    </w:p>
    <w:p>
      <w:pPr>
        <w:pStyle w:val="BodyText"/>
        <w:spacing w:before="45" w:line="258" w:lineRule="auto"/>
        <w:ind w:right="91" w:firstLine="449"/>
      </w:pPr>
      <w:r>
        <w:rPr>
          <w:spacing w:val="4"/>
        </w:rPr>
        <w:t>在参考频率1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</w:rPr>
        <w:t>kHz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4"/>
        </w:rPr>
        <w:t xml:space="preserve">时，标准水听器的声压灵敏度级应不低于—210.0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4"/>
        </w:rPr>
        <w:t>,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4"/>
        </w:rPr>
        <w:t>与标称值</w:t>
      </w:r>
      <w:r>
        <w:rPr>
          <w:spacing w:val="1"/>
        </w:rPr>
        <w:t xml:space="preserve"> </w:t>
      </w:r>
      <w:r>
        <w:rPr>
          <w:spacing w:val="-2"/>
        </w:rPr>
        <w:t>的最大允许误差不应超过士2.0 dB。 (参考值：1</w:t>
      </w:r>
      <w:r>
        <w:rPr>
          <w:spacing w:val="-33"/>
        </w:rPr>
        <w:t xml:space="preserve"> </w:t>
      </w:r>
      <w:r>
        <w:rPr>
          <w:spacing w:val="-2"/>
        </w:rPr>
        <w:t>V/μPa)。</w:t>
      </w:r>
    </w:p>
    <w:p>
      <w:pPr>
        <w:pStyle w:val="BodyText"/>
        <w:spacing w:before="68" w:line="219" w:lineRule="auto"/>
      </w:pPr>
      <w:r>
        <w:rPr>
          <w:spacing w:val="4"/>
        </w:rPr>
        <w:t>5.2.1  声压灵敏度级随频率变化的响应起伏</w:t>
      </w:r>
    </w:p>
    <w:p>
      <w:pPr>
        <w:pStyle w:val="BodyText"/>
        <w:spacing w:before="50" w:line="248" w:lineRule="auto"/>
        <w:ind w:right="81" w:firstLine="449"/>
      </w:pPr>
      <w:r>
        <w:rPr>
          <w:spacing w:val="7"/>
        </w:rPr>
        <w:t>在给定静水压下，标准水听器检定频率范围内的声压灵敏度级起伏(最大值和最小</w:t>
      </w:r>
      <w:r>
        <w:rPr>
          <w:spacing w:val="15"/>
        </w:rPr>
        <w:t xml:space="preserve"> </w:t>
      </w:r>
      <w:r>
        <w:rPr>
          <w:spacing w:val="12"/>
        </w:rPr>
        <w:t xml:space="preserve">值之差)不应超过4.0 </w:t>
      </w:r>
      <w:r>
        <w:rPr>
          <w:rFonts w:ascii="Times New Roman" w:eastAsia="Times New Roman" w:hAnsi="Times New Roman" w:cs="Times New Roman"/>
        </w:rPr>
        <w:t>dB</w:t>
      </w:r>
      <w:r>
        <w:rPr>
          <w:spacing w:val="12"/>
        </w:rPr>
        <w:t>。</w:t>
      </w:r>
    </w:p>
    <w:p>
      <w:pPr>
        <w:spacing w:before="45" w:line="220" w:lineRule="auto"/>
        <w:ind w:left="449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20"/>
          <w:sz w:val="22"/>
          <w:szCs w:val="22"/>
        </w:rPr>
        <w:t>注：检定频率一般按1/3倍频程选取。</w:t>
      </w:r>
    </w:p>
    <w:p>
      <w:pPr>
        <w:pStyle w:val="BodyText"/>
        <w:spacing w:before="61" w:line="219" w:lineRule="auto"/>
      </w:pPr>
      <w:r>
        <w:rPr>
          <w:spacing w:val="4"/>
        </w:rPr>
        <w:t>5.2.2  声压灵敏度级随静水压力变化的响应起伏</w:t>
      </w:r>
    </w:p>
    <w:p>
      <w:pPr>
        <w:pStyle w:val="BodyText"/>
        <w:spacing w:before="78" w:line="253" w:lineRule="auto"/>
        <w:ind w:right="81" w:firstLine="449"/>
      </w:pPr>
      <w:r>
        <w:rPr>
          <w:spacing w:val="7"/>
        </w:rPr>
        <w:t>在给定频率下，标准水听器检定静水压范围内的声压灵敏度级起伏(最大值和最小</w:t>
      </w:r>
      <w:r>
        <w:rPr>
          <w:spacing w:val="15"/>
        </w:rPr>
        <w:t xml:space="preserve"> </w:t>
      </w:r>
      <w:r>
        <w:rPr>
          <w:spacing w:val="12"/>
        </w:rPr>
        <w:t xml:space="preserve">值之差)不应超过4.0 </w:t>
      </w:r>
      <w:r>
        <w:rPr>
          <w:rFonts w:ascii="Times New Roman" w:eastAsia="Times New Roman" w:hAnsi="Times New Roman" w:cs="Times New Roman"/>
        </w:rPr>
        <w:t>dB</w:t>
      </w:r>
      <w:r>
        <w:rPr>
          <w:spacing w:val="12"/>
        </w:rPr>
        <w:t>。</w:t>
      </w:r>
    </w:p>
    <w:p>
      <w:pPr>
        <w:spacing w:before="216" w:line="222" w:lineRule="auto"/>
        <w:ind w:left="2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6</w:t>
      </w:r>
      <w:r>
        <w:rPr>
          <w:rFonts w:ascii="SimHei" w:eastAsia="SimHei" w:hAnsi="SimHei" w:cs="SimHei"/>
          <w:spacing w:val="-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通用技术要求</w:t>
      </w:r>
    </w:p>
    <w:p>
      <w:pPr>
        <w:pStyle w:val="BodyText"/>
        <w:spacing w:before="220" w:line="221" w:lineRule="auto"/>
        <w:sectPr>
          <w:headerReference w:type="default" r:id="rId8"/>
          <w:footerReference w:type="default" r:id="rId9"/>
          <w:pgSz w:w="10040" w:h="14660"/>
          <w:pgMar w:top="1260" w:right="640" w:bottom="1085" w:left="790" w:header="938" w:footer="936" w:gutter="0"/>
          <w:pgNumType w:start="3"/>
          <w:cols w:space="708"/>
        </w:sectPr>
      </w:pPr>
      <w:r>
        <w:rPr>
          <w:spacing w:val="-2"/>
        </w:rPr>
        <w:t>6.1  通用要求</w:t>
      </w:r>
    </w:p>
    <w:p>
      <w:pPr>
        <w:pStyle w:val="BodyText"/>
        <w:spacing w:before="85" w:line="244" w:lineRule="auto"/>
        <w:ind w:right="101"/>
      </w:pPr>
      <w:r>
        <w:rPr>
          <w:spacing w:val="19"/>
        </w:rPr>
        <w:t>6.1.1</w:t>
      </w:r>
      <w:r>
        <w:rPr>
          <w:spacing w:val="8"/>
        </w:rPr>
        <w:t xml:space="preserve">  </w:t>
      </w:r>
      <w:r>
        <w:rPr>
          <w:spacing w:val="19"/>
        </w:rPr>
        <w:t>标准水听器的特性和构造应适合于在液体媒质温度5℃~30</w:t>
      </w:r>
      <w:r>
        <w:rPr>
          <w:spacing w:val="69"/>
        </w:rPr>
        <w:t xml:space="preserve"> </w:t>
      </w:r>
      <w:r>
        <w:rPr>
          <w:spacing w:val="19"/>
        </w:rPr>
        <w:t>℃、静水压力</w:t>
      </w:r>
      <w:r>
        <w:t xml:space="preserve"> </w:t>
      </w:r>
      <w:r>
        <w:rPr>
          <w:rFonts w:ascii="Times New Roman" w:eastAsia="Times New Roman" w:hAnsi="Times New Roman" w:cs="Times New Roman"/>
        </w:rPr>
        <w:t>0.1</w:t>
      </w:r>
      <w:r>
        <w:rPr>
          <w:rFonts w:ascii="Times New Roman" w:eastAsia="Times New Roman" w:hAnsi="Times New Roman" w:cs="Times New Roman"/>
          <w:spacing w:val="24"/>
        </w:rPr>
        <w:t xml:space="preserve">  </w:t>
      </w:r>
      <w:r>
        <w:rPr>
          <w:rFonts w:ascii="Times New Roman" w:eastAsia="Times New Roman" w:hAnsi="Times New Roman" w:cs="Times New Roman"/>
        </w:rPr>
        <w:t>MPa</w:t>
      </w:r>
      <w:r>
        <w:t>～</w:t>
      </w:r>
      <w:r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45"/>
          <w:w w:val="101"/>
        </w:rPr>
        <w:t xml:space="preserve"> </w:t>
      </w:r>
      <w:r>
        <w:t>的环境条件下进行测量。</w:t>
      </w:r>
    </w:p>
    <w:p>
      <w:pPr>
        <w:pStyle w:val="BodyText"/>
        <w:spacing w:before="59" w:line="219" w:lineRule="auto"/>
      </w:pPr>
      <w:r>
        <w:rPr>
          <w:spacing w:val="4"/>
        </w:rPr>
        <w:t>6.1.2</w:t>
      </w:r>
      <w:r>
        <w:t xml:space="preserve">  </w:t>
      </w:r>
      <w:r>
        <w:rPr>
          <w:spacing w:val="4"/>
        </w:rPr>
        <w:t>标准水听器的表面应是光滑的、非多孔</w:t>
      </w:r>
      <w:r>
        <w:rPr>
          <w:spacing w:val="3"/>
        </w:rPr>
        <w:t>性的和能被水浸润的。</w:t>
      </w:r>
    </w:p>
    <w:p>
      <w:pPr>
        <w:pStyle w:val="BodyText"/>
        <w:spacing w:before="89" w:line="219" w:lineRule="auto"/>
        <w:ind w:left="3"/>
      </w:pPr>
      <w:r>
        <w:rPr>
          <w:b/>
          <w:bCs/>
          <w:spacing w:val="7"/>
        </w:rPr>
        <w:t>6.1.3</w:t>
      </w:r>
      <w:r>
        <w:rPr>
          <w:spacing w:val="3"/>
        </w:rPr>
        <w:t xml:space="preserve">  </w:t>
      </w:r>
      <w:r>
        <w:rPr>
          <w:spacing w:val="7"/>
        </w:rPr>
        <w:t>标准水听器应具有足够的声刚性(即</w:t>
      </w:r>
      <w:r>
        <w:rPr>
          <w:spacing w:val="6"/>
        </w:rPr>
        <w:t>具有很高的声阻抗)。</w:t>
      </w:r>
    </w:p>
    <w:p>
      <w:pPr>
        <w:pStyle w:val="BodyText"/>
        <w:spacing w:before="57" w:line="219" w:lineRule="auto"/>
      </w:pPr>
      <w:r>
        <w:rPr>
          <w:spacing w:val="1"/>
        </w:rPr>
        <w:t>6.2</w:t>
      </w:r>
      <w:r>
        <w:rPr>
          <w:spacing w:val="2"/>
        </w:rPr>
        <w:t xml:space="preserve">  </w:t>
      </w:r>
      <w:r>
        <w:rPr>
          <w:spacing w:val="1"/>
        </w:rPr>
        <w:t>材料和结构</w:t>
      </w:r>
    </w:p>
    <w:p>
      <w:pPr>
        <w:pStyle w:val="BodyText"/>
        <w:spacing w:before="59" w:line="219" w:lineRule="auto"/>
        <w:ind w:left="3"/>
      </w:pPr>
      <w:r>
        <w:rPr>
          <w:b/>
          <w:bCs/>
          <w:spacing w:val="7"/>
        </w:rPr>
        <w:t>6.2.1</w:t>
      </w:r>
      <w:r>
        <w:rPr>
          <w:spacing w:val="97"/>
        </w:rPr>
        <w:t xml:space="preserve"> </w:t>
      </w:r>
      <w:r>
        <w:rPr>
          <w:spacing w:val="7"/>
        </w:rPr>
        <w:t>标准水听器暴露于水中的所有部件均应采用耐腐蚀的材料制作，其材料和</w:t>
      </w:r>
      <w:r>
        <w:rPr>
          <w:spacing w:val="6"/>
        </w:rPr>
        <w:t>结构</w:t>
      </w:r>
    </w:p>
    <w:p>
      <w:pPr>
        <w:spacing w:line="219" w:lineRule="auto"/>
        <w:sectPr>
          <w:headerReference w:type="default" r:id="rId10"/>
          <w:footerReference w:type="default" r:id="rId11"/>
          <w:type w:val="nextPage"/>
          <w:pgSz w:w="10040" w:h="14660"/>
          <w:pgMar w:top="1260" w:right="640" w:bottom="1085" w:left="790" w:header="938" w:footer="936" w:gutter="0"/>
          <w:pgNumType w:start="4"/>
          <w:cols w:space="708"/>
          <w:titlePg w:val="0"/>
        </w:sectPr>
      </w:pPr>
    </w:p>
    <w:p>
      <w:pPr>
        <w:pStyle w:val="BodyText"/>
        <w:spacing w:before="189" w:line="219" w:lineRule="auto"/>
        <w:ind w:left="9"/>
      </w:pPr>
      <w:r>
        <w:rPr>
          <w:spacing w:val="-1"/>
        </w:rPr>
        <w:t>应保证具有长期的使用稳定性。</w:t>
      </w:r>
    </w:p>
    <w:p>
      <w:pPr>
        <w:pStyle w:val="BodyText"/>
        <w:spacing w:before="69" w:line="252" w:lineRule="auto"/>
        <w:ind w:left="9" w:right="64"/>
      </w:pPr>
      <w:r>
        <w:rPr>
          <w:spacing w:val="7"/>
        </w:rPr>
        <w:t>6.2.2</w:t>
      </w:r>
      <w:r>
        <w:t xml:space="preserve">  </w:t>
      </w:r>
      <w:r>
        <w:rPr>
          <w:spacing w:val="7"/>
        </w:rPr>
        <w:t>高阻抗的敏感元件应有静电屏蔽，静电屏蔽应与电</w:t>
      </w:r>
      <w:r>
        <w:rPr>
          <w:spacing w:val="6"/>
        </w:rPr>
        <w:t>缆的屏蔽连接，并与暴露于</w:t>
      </w:r>
      <w:r>
        <w:rPr>
          <w:spacing w:val="1"/>
        </w:rPr>
        <w:t xml:space="preserve"> </w:t>
      </w:r>
      <w:r>
        <w:rPr>
          <w:spacing w:val="4"/>
        </w:rPr>
        <w:t>水中的金属外壳绝缘；带前置放大器的标准水听器暴露于水中的金属外壳应与电缆的屏</w:t>
      </w:r>
      <w:r>
        <w:rPr>
          <w:spacing w:val="2"/>
        </w:rPr>
        <w:t xml:space="preserve"> </w:t>
      </w:r>
      <w:r>
        <w:rPr>
          <w:spacing w:val="-9"/>
        </w:rPr>
        <w:t>蔽连接。</w:t>
      </w:r>
    </w:p>
    <w:p>
      <w:pPr>
        <w:pStyle w:val="BodyText"/>
        <w:spacing w:before="79" w:line="220" w:lineRule="auto"/>
        <w:ind w:left="9"/>
      </w:pPr>
      <w:r>
        <w:rPr>
          <w:spacing w:val="1"/>
        </w:rPr>
        <w:t>6.3</w:t>
      </w:r>
      <w:r>
        <w:rPr>
          <w:spacing w:val="96"/>
        </w:rPr>
        <w:t xml:space="preserve"> </w:t>
      </w:r>
      <w:r>
        <w:rPr>
          <w:spacing w:val="1"/>
        </w:rPr>
        <w:t>标志和出厂资料</w:t>
      </w:r>
    </w:p>
    <w:p>
      <w:pPr>
        <w:pStyle w:val="BodyText"/>
        <w:spacing w:before="56" w:line="249" w:lineRule="auto"/>
        <w:ind w:left="449" w:right="3579" w:hanging="440"/>
      </w:pPr>
      <w:r>
        <w:rPr>
          <w:spacing w:val="2"/>
        </w:rPr>
        <w:t>6.3.1</w:t>
      </w:r>
      <w:r>
        <w:t xml:space="preserve">  </w:t>
      </w:r>
      <w:r>
        <w:rPr>
          <w:spacing w:val="2"/>
        </w:rPr>
        <w:t>标准水听器应具有以下清晰而耐久的标志：</w:t>
      </w:r>
      <w:r>
        <w:rPr>
          <w:spacing w:val="1"/>
        </w:rPr>
        <w:t xml:space="preserve"> </w:t>
      </w:r>
      <w:r>
        <w:rPr>
          <w:spacing w:val="2"/>
        </w:rPr>
        <w:t>1)制造商的名称；</w:t>
      </w:r>
    </w:p>
    <w:p>
      <w:pPr>
        <w:pStyle w:val="BodyText"/>
        <w:spacing w:before="68" w:line="221" w:lineRule="auto"/>
        <w:ind w:left="449"/>
      </w:pPr>
      <w:r>
        <w:rPr>
          <w:spacing w:val="8"/>
        </w:rPr>
        <w:t>2)型号和序列号。</w:t>
      </w:r>
    </w:p>
    <w:p>
      <w:pPr>
        <w:pStyle w:val="BodyText"/>
        <w:spacing w:before="64" w:line="252" w:lineRule="auto"/>
        <w:ind w:left="9" w:right="71"/>
      </w:pPr>
      <w:r>
        <w:rPr>
          <w:spacing w:val="7"/>
        </w:rPr>
        <w:t>6.3.2</w:t>
      </w:r>
      <w:r>
        <w:t xml:space="preserve">  </w:t>
      </w:r>
      <w:r>
        <w:rPr>
          <w:spacing w:val="7"/>
        </w:rPr>
        <w:t>每只标准水听器应附有单独的出厂资料</w:t>
      </w:r>
      <w:r>
        <w:rPr>
          <w:spacing w:val="6"/>
        </w:rPr>
        <w:t>。出厂资料应包括标准水听器最大耐静</w:t>
      </w:r>
      <w:r>
        <w:t xml:space="preserve"> </w:t>
      </w:r>
      <w:r>
        <w:rPr>
          <w:spacing w:val="4"/>
        </w:rPr>
        <w:t>水压值、声压灵敏度级频率响应以及信号线、地线和屏蔽线的说明。带前置</w:t>
      </w:r>
      <w:r>
        <w:rPr>
          <w:spacing w:val="3"/>
        </w:rPr>
        <w:t>放大器的标</w:t>
      </w:r>
      <w:r>
        <w:t xml:space="preserve"> </w:t>
      </w:r>
      <w:r>
        <w:rPr>
          <w:spacing w:val="1"/>
        </w:rPr>
        <w:t>准水听器还应有供电线的标记，并说明供电电压值。</w:t>
      </w:r>
    </w:p>
    <w:p>
      <w:pPr>
        <w:pStyle w:val="BodyText"/>
        <w:spacing w:before="69" w:line="245" w:lineRule="auto"/>
        <w:ind w:left="9" w:right="99"/>
      </w:pPr>
      <w:r>
        <w:rPr>
          <w:spacing w:val="6"/>
        </w:rPr>
        <w:t>6.3.3</w:t>
      </w:r>
      <w:r>
        <w:rPr>
          <w:spacing w:val="105"/>
        </w:rPr>
        <w:t xml:space="preserve"> </w:t>
      </w:r>
      <w:r>
        <w:rPr>
          <w:spacing w:val="6"/>
        </w:rPr>
        <w:t>非供操作者使用的部件，应采用密封或标记的方法加以保护，以免影响标准水</w:t>
      </w:r>
      <w:r>
        <w:t xml:space="preserve"> </w:t>
      </w:r>
      <w:r>
        <w:rPr>
          <w:spacing w:val="-7"/>
        </w:rPr>
        <w:t>听器的准确度。</w:t>
      </w:r>
    </w:p>
    <w:p>
      <w:pPr>
        <w:spacing w:before="234" w:line="223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7</w:t>
      </w:r>
      <w:r>
        <w:rPr>
          <w:rFonts w:ascii="SimHei" w:eastAsia="SimHei" w:hAnsi="SimHei" w:cs="SimHei"/>
          <w:spacing w:val="9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2"/>
          <w:szCs w:val="22"/>
        </w:rPr>
        <w:t>计量器具控制</w:t>
      </w:r>
    </w:p>
    <w:p>
      <w:pPr>
        <w:pStyle w:val="BodyText"/>
        <w:spacing w:before="237" w:line="219" w:lineRule="auto"/>
        <w:ind w:left="449"/>
      </w:pPr>
      <w:r>
        <w:rPr>
          <w:spacing w:val="2"/>
        </w:rPr>
        <w:t>计量器具控制包括首次检定、后续检定和使用中的检验。</w:t>
      </w:r>
    </w:p>
    <w:p>
      <w:pPr>
        <w:pStyle w:val="BodyText"/>
        <w:spacing w:before="49" w:line="219" w:lineRule="auto"/>
        <w:ind w:left="9"/>
      </w:pPr>
      <w:r>
        <w:rPr>
          <w:spacing w:val="-6"/>
        </w:rPr>
        <w:t>7.1</w:t>
      </w:r>
      <w:r>
        <w:rPr>
          <w:spacing w:val="18"/>
        </w:rPr>
        <w:t xml:space="preserve">  </w:t>
      </w:r>
      <w:r>
        <w:rPr>
          <w:spacing w:val="-6"/>
        </w:rPr>
        <w:t>检定条件</w:t>
      </w:r>
    </w:p>
    <w:p>
      <w:pPr>
        <w:pStyle w:val="BodyText"/>
        <w:spacing w:before="59" w:line="219" w:lineRule="auto"/>
        <w:ind w:left="9"/>
      </w:pPr>
      <w:r>
        <w:rPr>
          <w:spacing w:val="-3"/>
        </w:rPr>
        <w:t>7.1.1</w:t>
      </w:r>
      <w:r>
        <w:rPr>
          <w:spacing w:val="9"/>
        </w:rPr>
        <w:t xml:space="preserve">  </w:t>
      </w:r>
      <w:r>
        <w:rPr>
          <w:spacing w:val="-3"/>
        </w:rPr>
        <w:t>环境条件</w:t>
      </w:r>
    </w:p>
    <w:p>
      <w:pPr>
        <w:pStyle w:val="BodyText"/>
        <w:spacing w:before="82" w:line="221" w:lineRule="auto"/>
        <w:ind w:left="449"/>
      </w:pPr>
      <w:r>
        <w:rPr>
          <w:spacing w:val="12"/>
        </w:rPr>
        <w:t>室温：10℃~30</w:t>
      </w:r>
      <w:r>
        <w:rPr>
          <w:spacing w:val="39"/>
        </w:rPr>
        <w:t xml:space="preserve"> </w:t>
      </w:r>
      <w:r>
        <w:rPr>
          <w:spacing w:val="12"/>
        </w:rPr>
        <w:t>℃;</w:t>
      </w:r>
    </w:p>
    <w:p>
      <w:pPr>
        <w:pStyle w:val="BodyText"/>
        <w:spacing w:before="63" w:line="296" w:lineRule="exact"/>
        <w:ind w:left="449"/>
      </w:pPr>
      <w:r>
        <w:rPr>
          <w:spacing w:val="9"/>
          <w:position w:val="5"/>
        </w:rPr>
        <w:t>耦合腔内液体媒质温度：5℃~30</w:t>
      </w:r>
      <w:r>
        <w:rPr>
          <w:spacing w:val="49"/>
          <w:position w:val="5"/>
        </w:rPr>
        <w:t xml:space="preserve"> </w:t>
      </w:r>
      <w:r>
        <w:rPr>
          <w:spacing w:val="9"/>
          <w:position w:val="5"/>
        </w:rPr>
        <w:t>℃;</w:t>
      </w:r>
    </w:p>
    <w:p>
      <w:pPr>
        <w:pStyle w:val="BodyText"/>
        <w:spacing w:before="1" w:line="212" w:lineRule="auto"/>
        <w:ind w:left="449"/>
        <w:rPr>
          <w:rFonts w:ascii="Times New Roman" w:eastAsia="Times New Roman" w:hAnsi="Times New Roman" w:cs="Times New Roman"/>
        </w:rPr>
      </w:pPr>
      <w:r>
        <w:t>相对湿度：</w:t>
      </w:r>
      <w:r>
        <w:rPr>
          <w:rFonts w:ascii="Times New Roman" w:eastAsia="Times New Roman" w:hAnsi="Times New Roman" w:cs="Times New Roman"/>
        </w:rPr>
        <w:t>30%</w:t>
      </w:r>
      <w:r>
        <w:t>～</w:t>
      </w:r>
      <w:r>
        <w:rPr>
          <w:rFonts w:ascii="Times New Roman" w:eastAsia="Times New Roman" w:hAnsi="Times New Roman" w:cs="Times New Roman"/>
        </w:rPr>
        <w:t>90%;</w:t>
      </w:r>
    </w:p>
    <w:p>
      <w:pPr>
        <w:pStyle w:val="BodyText"/>
        <w:spacing w:before="100" w:line="219" w:lineRule="auto"/>
        <w:ind w:left="449"/>
      </w:pPr>
      <w:r>
        <w:rPr>
          <w:spacing w:val="-2"/>
        </w:rPr>
        <w:t xml:space="preserve">静水压力：0.1 </w:t>
      </w:r>
      <w:r>
        <w:rPr>
          <w:rFonts w:ascii="Times New Roman" w:eastAsia="Times New Roman" w:hAnsi="Times New Roman" w:cs="Times New Roman"/>
          <w:spacing w:val="-2"/>
        </w:rPr>
        <w:t>MPa</w:t>
      </w:r>
      <w:r>
        <w:rPr>
          <w:spacing w:val="-2"/>
        </w:rPr>
        <w:t>～</w:t>
      </w:r>
      <w:r>
        <w:rPr>
          <w:rFonts w:ascii="Times New Roman" w:eastAsia="Times New Roman" w:hAnsi="Times New Roman" w:cs="Times New Roman"/>
          <w:spacing w:val="-2"/>
        </w:rPr>
        <w:t>10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 </w:t>
      </w:r>
      <w:r>
        <w:rPr>
          <w:rFonts w:ascii="Times New Roman" w:eastAsia="Times New Roman" w:hAnsi="Times New Roman" w:cs="Times New Roman"/>
          <w:spacing w:val="-2"/>
        </w:rPr>
        <w:t>MPa</w:t>
      </w:r>
      <w:r>
        <w:rPr>
          <w:spacing w:val="-2"/>
        </w:rPr>
        <w:t>。</w:t>
      </w:r>
    </w:p>
    <w:p>
      <w:pPr>
        <w:pStyle w:val="BodyText"/>
        <w:spacing w:before="81" w:line="220" w:lineRule="auto"/>
        <w:ind w:left="13"/>
      </w:pPr>
      <w:r>
        <w:rPr>
          <w:b/>
          <w:bCs/>
          <w:spacing w:val="1"/>
        </w:rPr>
        <w:t>7.1.2</w:t>
      </w:r>
      <w:r>
        <w:rPr>
          <w:spacing w:val="1"/>
        </w:rPr>
        <w:t xml:space="preserve">  计量标准器及主要配套设备</w:t>
      </w:r>
    </w:p>
    <w:p>
      <w:pPr>
        <w:pStyle w:val="BodyText"/>
        <w:spacing w:before="38" w:line="220" w:lineRule="auto"/>
        <w:ind w:left="13"/>
      </w:pPr>
      <w:hyperlink r:id="rId12" w:history="1">
        <w:r>
          <w:rPr>
            <w:b/>
            <w:bCs/>
            <w:spacing w:val="-4"/>
          </w:rPr>
          <w:t>7.1.2.1</w:t>
        </w:r>
      </w:hyperlink>
      <w:r>
        <w:rPr>
          <w:spacing w:val="20"/>
        </w:rPr>
        <w:t xml:space="preserve">  </w:t>
      </w:r>
      <w:r>
        <w:rPr>
          <w:spacing w:val="-4"/>
        </w:rPr>
        <w:t>计量标准器</w:t>
      </w:r>
    </w:p>
    <w:p>
      <w:pPr>
        <w:pStyle w:val="BodyText"/>
        <w:spacing w:before="76" w:line="219" w:lineRule="auto"/>
        <w:ind w:left="449"/>
      </w:pPr>
      <w:r>
        <w:rPr>
          <w:spacing w:val="2"/>
        </w:rPr>
        <w:t>在本规程规定的工作频率内，计量标准器的功能、性能要求如下：</w:t>
      </w:r>
    </w:p>
    <w:p>
      <w:pPr>
        <w:pStyle w:val="BodyText"/>
        <w:spacing w:before="59" w:line="265" w:lineRule="auto"/>
        <w:ind w:left="9" w:right="70" w:firstLine="440"/>
        <w:rPr>
          <w:rFonts w:ascii="YouYuan" w:eastAsia="YouYuan" w:hAnsi="YouYuan" w:cs="YouYuan"/>
        </w:rPr>
      </w:pPr>
      <w:r>
        <w:rPr>
          <w:spacing w:val="10"/>
        </w:rPr>
        <w:t>1)信号发生器：应具有频率、幅度都可以独立调节的正弦信号输出通道；频率示</w:t>
      </w:r>
      <w:r>
        <w:rPr>
          <w:spacing w:val="8"/>
        </w:rPr>
        <w:t xml:space="preserve"> </w:t>
      </w:r>
      <w:r>
        <w:rPr>
          <w:spacing w:val="19"/>
        </w:rPr>
        <w:t xml:space="preserve">值误差不应超过±0.5%;最大输出电压不低于10 </w:t>
      </w:r>
      <w:r>
        <w:rPr>
          <w:rFonts w:ascii="Times New Roman" w:eastAsia="Times New Roman" w:hAnsi="Times New Roman" w:cs="Times New Roman"/>
          <w:spacing w:val="19"/>
        </w:rPr>
        <w:t>V</w:t>
      </w:r>
      <w:r>
        <w:rPr>
          <w:rFonts w:ascii="Times New Roman" w:eastAsia="Times New Roman" w:hAnsi="Times New Roman" w:cs="Times New Roman"/>
          <w:spacing w:val="42"/>
          <w:w w:val="101"/>
        </w:rPr>
        <w:t xml:space="preserve"> </w:t>
      </w:r>
      <w:r>
        <w:rPr>
          <w:spacing w:val="19"/>
        </w:rPr>
        <w:t>峰值，电压示值误差不应超过</w:t>
      </w:r>
      <w:r>
        <w:t xml:space="preserve"> </w:t>
      </w:r>
      <w:r>
        <w:rPr>
          <w:rFonts w:ascii="YouYuan" w:eastAsia="YouYuan" w:hAnsi="YouYuan" w:cs="YouYuan"/>
          <w:spacing w:val="24"/>
        </w:rPr>
        <w:t>士1%;</w:t>
      </w:r>
    </w:p>
    <w:p>
      <w:pPr>
        <w:pStyle w:val="BodyText"/>
        <w:spacing w:before="44" w:line="219" w:lineRule="auto"/>
        <w:ind w:left="449"/>
      </w:pPr>
      <w:r>
        <w:rPr>
          <w:spacing w:val="11"/>
        </w:rPr>
        <w:t>2)电流取样器：电流取样值的最大允许误差不应超过±2%;</w:t>
      </w:r>
    </w:p>
    <w:p>
      <w:pPr>
        <w:pStyle w:val="BodyText"/>
        <w:spacing w:before="70" w:line="232" w:lineRule="auto"/>
        <w:ind w:left="9" w:right="71" w:firstLine="440"/>
        <w:rPr>
          <w:rFonts w:ascii="Times New Roman" w:eastAsia="Times New Roman" w:hAnsi="Times New Roman" w:cs="Times New Roman"/>
        </w:rPr>
        <w:sectPr>
          <w:headerReference w:type="default" r:id="rId13"/>
          <w:footerReference w:type="default" r:id="rId14"/>
          <w:pgSz w:w="10040" w:h="14660"/>
          <w:pgMar w:top="1479" w:right="539" w:bottom="865" w:left="910" w:header="1158" w:footer="716" w:gutter="0"/>
          <w:pgNumType w:start="5"/>
          <w:cols w:space="708"/>
        </w:sectPr>
      </w:pPr>
      <w:r>
        <w:rPr>
          <w:spacing w:val="13"/>
        </w:rPr>
        <w:t>3)前置放大器：输入阻抗应大于标准水听器电阻抗的100倍，增益误差</w:t>
      </w:r>
      <w:r>
        <w:rPr>
          <w:spacing w:val="12"/>
        </w:rPr>
        <w:t>不应超过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</w:rPr>
        <w:t>±0.1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rFonts w:ascii="Times New Roman" w:eastAsia="Times New Roman" w:hAnsi="Times New Roman" w:cs="Times New Roman"/>
          <w:spacing w:val="-2"/>
        </w:rPr>
        <w:t>dB;</w:t>
      </w:r>
    </w:p>
    <w:p>
      <w:pPr>
        <w:pStyle w:val="BodyText"/>
        <w:spacing w:before="113" w:line="212" w:lineRule="auto"/>
        <w:ind w:left="449"/>
        <w:rPr>
          <w:rFonts w:ascii="Times New Roman" w:eastAsia="Times New Roman" w:hAnsi="Times New Roman" w:cs="Times New Roman"/>
        </w:rPr>
      </w:pPr>
      <w:r>
        <w:rPr>
          <w:spacing w:val="8"/>
        </w:rPr>
        <w:t>4)滤波器：带通滤波，带外衰减斜度不应小于48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8"/>
        </w:rPr>
        <w:t>/</w:t>
      </w:r>
      <w:r>
        <w:rPr>
          <w:rFonts w:ascii="Times New Roman" w:eastAsia="Times New Roman" w:hAnsi="Times New Roman" w:cs="Times New Roman"/>
        </w:rPr>
        <w:t>oct</w:t>
      </w:r>
      <w:r>
        <w:rPr>
          <w:rFonts w:ascii="Times New Roman" w:eastAsia="Times New Roman" w:hAnsi="Times New Roman" w:cs="Times New Roman"/>
          <w:spacing w:val="8"/>
        </w:rPr>
        <w:t>;</w:t>
      </w:r>
    </w:p>
    <w:p>
      <w:pPr>
        <w:pStyle w:val="BodyText"/>
        <w:spacing w:before="82" w:line="219" w:lineRule="auto"/>
        <w:ind w:left="449"/>
      </w:pPr>
      <w:r>
        <w:rPr>
          <w:spacing w:val="11"/>
        </w:rPr>
        <w:t>5)数字电压表：交流电压测量最大允许误差不应超过±</w:t>
      </w:r>
      <w:r>
        <w:rPr>
          <w:spacing w:val="10"/>
        </w:rPr>
        <w:t>0.1%;</w:t>
      </w:r>
    </w:p>
    <w:p>
      <w:pPr>
        <w:pStyle w:val="BodyText"/>
        <w:spacing w:before="45" w:line="212" w:lineRule="auto"/>
        <w:ind w:left="449"/>
      </w:pPr>
      <w:r>
        <w:rPr>
          <w:spacing w:val="8"/>
        </w:rPr>
        <w:t>6)测量放大器：放大倍数不低于40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8"/>
        </w:rPr>
        <w:t xml:space="preserve">,   </w:t>
      </w:r>
      <w:r>
        <w:rPr>
          <w:spacing w:val="8"/>
        </w:rPr>
        <w:t xml:space="preserve">放大倍数的非线性不应超过±0.1 </w:t>
      </w:r>
      <w:r>
        <w:rPr>
          <w:rFonts w:ascii="Times New Roman" w:eastAsia="Times New Roman" w:hAnsi="Times New Roman" w:cs="Times New Roman"/>
        </w:rPr>
        <w:t>dB</w:t>
      </w:r>
      <w:r>
        <w:rPr>
          <w:spacing w:val="8"/>
        </w:rPr>
        <w:t>。</w:t>
      </w:r>
    </w:p>
    <w:p>
      <w:pPr>
        <w:pStyle w:val="BodyText"/>
        <w:spacing w:before="96" w:line="251" w:lineRule="auto"/>
        <w:ind w:left="9" w:right="919" w:firstLine="440"/>
      </w:pPr>
      <w:r>
        <w:rPr>
          <w:spacing w:val="8"/>
        </w:rPr>
        <w:t xml:space="preserve">7)量筒：容积500 </w:t>
      </w:r>
      <w:r>
        <w:rPr>
          <w:rFonts w:ascii="Times New Roman" w:eastAsia="Times New Roman" w:hAnsi="Times New Roman" w:cs="Times New Roman"/>
        </w:rPr>
        <w:t>mL</w:t>
      </w:r>
      <w:r>
        <w:rPr>
          <w:rFonts w:ascii="Times New Roman" w:eastAsia="Times New Roman" w:hAnsi="Times New Roman" w:cs="Times New Roman"/>
          <w:spacing w:val="8"/>
        </w:rPr>
        <w:t xml:space="preserve">,   </w:t>
      </w:r>
      <w:r>
        <w:rPr>
          <w:spacing w:val="8"/>
        </w:rPr>
        <w:t>容积测量最大允许误差不应超过满量程的±1%。</w:t>
      </w:r>
      <w:r>
        <w:rPr>
          <w:spacing w:val="17"/>
        </w:rPr>
        <w:t xml:space="preserve"> </w:t>
      </w:r>
      <w:hyperlink r:id="rId15" w:history="1">
        <w:r>
          <w:rPr>
            <w:spacing w:val="-2"/>
          </w:rPr>
          <w:t>7.1.2.2</w:t>
        </w:r>
      </w:hyperlink>
      <w:r>
        <w:rPr>
          <w:spacing w:val="13"/>
        </w:rPr>
        <w:t xml:space="preserve">  </w:t>
      </w:r>
      <w:r>
        <w:rPr>
          <w:spacing w:val="-2"/>
        </w:rPr>
        <w:t>主要配套设备</w:t>
      </w:r>
    </w:p>
    <w:p>
      <w:pPr>
        <w:pStyle w:val="BodyText"/>
        <w:spacing w:before="66" w:line="219" w:lineRule="auto"/>
        <w:ind w:left="449"/>
      </w:pPr>
      <w:r>
        <w:rPr>
          <w:spacing w:val="4"/>
        </w:rPr>
        <w:t>在本规程规定的工作频率内，主要配套设备的功能、性能要求如下</w:t>
      </w:r>
    </w:p>
    <w:p>
      <w:pPr>
        <w:spacing w:line="219" w:lineRule="auto"/>
        <w:sectPr>
          <w:headerReference w:type="default" r:id="rId16"/>
          <w:footerReference w:type="default" r:id="rId17"/>
          <w:type w:val="nextPage"/>
          <w:pgSz w:w="10040" w:h="14660"/>
          <w:pgMar w:top="1479" w:right="539" w:bottom="865" w:left="910" w:header="1158" w:footer="716" w:gutter="0"/>
          <w:pgNumType w:start="6"/>
          <w:cols w:space="708"/>
          <w:titlePg w:val="0"/>
        </w:sectPr>
      </w:pPr>
    </w:p>
    <w:p>
      <w:pPr>
        <w:pStyle w:val="BodyText"/>
        <w:spacing w:before="196" w:line="252" w:lineRule="auto"/>
        <w:ind w:firstLine="439"/>
      </w:pPr>
      <w:r>
        <w:rPr>
          <w:spacing w:val="8"/>
        </w:rPr>
        <w:t xml:space="preserve">1)辅助换能器：包括发射换能器和互易换能器，辅助换能器应耐10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8"/>
        </w:rPr>
        <w:t>静水压、</w:t>
      </w:r>
      <w:r>
        <w:t xml:space="preserve"> </w:t>
      </w:r>
      <w:r>
        <w:rPr>
          <w:spacing w:val="5"/>
        </w:rPr>
        <w:t>具有声刚性、压力稳定性和线性特性，在检定频率范围内，辅助换能器可以在耦合</w:t>
      </w:r>
      <w:r>
        <w:rPr>
          <w:spacing w:val="4"/>
        </w:rPr>
        <w:t>腔内</w:t>
      </w:r>
      <w:r>
        <w:t xml:space="preserve"> </w:t>
      </w:r>
      <w:r>
        <w:rPr>
          <w:spacing w:val="16"/>
        </w:rPr>
        <w:t xml:space="preserve">建立信噪比不低于30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35"/>
          <w:w w:val="101"/>
        </w:rPr>
        <w:t xml:space="preserve"> </w:t>
      </w:r>
      <w:r>
        <w:rPr>
          <w:spacing w:val="16"/>
        </w:rPr>
        <w:t>的声场；在工作的动态范围内，其发射线性</w:t>
      </w:r>
      <w:r>
        <w:rPr>
          <w:spacing w:val="15"/>
        </w:rPr>
        <w:t>误差不应超过</w:t>
      </w:r>
      <w:r>
        <w:t xml:space="preserve">  </w:t>
      </w:r>
      <w:r>
        <w:rPr>
          <w:rFonts w:ascii="Times New Roman" w:eastAsia="Times New Roman" w:hAnsi="Times New Roman" w:cs="Times New Roman"/>
          <w:spacing w:val="4"/>
        </w:rPr>
        <w:t xml:space="preserve">±0.1   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4"/>
        </w:rPr>
        <w:t>,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4"/>
        </w:rPr>
        <w:t>互易换能器的互易性误差不应超过±</w:t>
      </w:r>
      <w:r>
        <w:rPr>
          <w:spacing w:val="3"/>
        </w:rPr>
        <w:t xml:space="preserve">0.1 </w:t>
      </w:r>
      <w:r>
        <w:rPr>
          <w:rFonts w:ascii="Times New Roman" w:eastAsia="Times New Roman" w:hAnsi="Times New Roman" w:cs="Times New Roman"/>
        </w:rPr>
        <w:t>dB</w:t>
      </w:r>
      <w:r>
        <w:rPr>
          <w:spacing w:val="3"/>
        </w:rPr>
        <w:t>。</w:t>
      </w:r>
    </w:p>
    <w:p>
      <w:pPr>
        <w:pStyle w:val="BodyText"/>
        <w:spacing w:before="67" w:line="264" w:lineRule="auto"/>
        <w:ind w:right="337" w:firstLine="439"/>
      </w:pPr>
      <w:r>
        <w:rPr>
          <w:spacing w:val="7"/>
        </w:rPr>
        <w:t>2)功率放大器：输出阻抗与发射换能器阻抗相匹配</w:t>
      </w:r>
      <w:r>
        <w:rPr>
          <w:spacing w:val="6"/>
        </w:rPr>
        <w:t xml:space="preserve">，输出波形总失真 </w:t>
      </w:r>
      <w:r>
        <w:rPr>
          <w:rFonts w:ascii="Times New Roman" w:eastAsia="Times New Roman" w:hAnsi="Times New Roman" w:cs="Times New Roman"/>
          <w:spacing w:val="6"/>
        </w:rPr>
        <w:t>(</w:t>
      </w:r>
      <w:r>
        <w:rPr>
          <w:rFonts w:ascii="Times New Roman" w:eastAsia="Times New Roman" w:hAnsi="Times New Roman" w:cs="Times New Roman"/>
        </w:rPr>
        <w:t>THD</w:t>
      </w:r>
      <w:r>
        <w:rPr>
          <w:rFonts w:ascii="Times New Roman" w:eastAsia="Times New Roman" w:hAnsi="Times New Roman" w:cs="Times New Roman"/>
          <w:spacing w:val="6"/>
        </w:rPr>
        <w:t>+N)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15"/>
        </w:rPr>
        <w:t>不应超过士2%;</w:t>
      </w:r>
    </w:p>
    <w:p>
      <w:pPr>
        <w:pStyle w:val="BodyText"/>
        <w:spacing w:before="51" w:line="212" w:lineRule="auto"/>
        <w:ind w:left="439"/>
        <w:rPr>
          <w:rFonts w:ascii="Times New Roman" w:eastAsia="Times New Roman" w:hAnsi="Times New Roman" w:cs="Times New Roman"/>
        </w:rPr>
      </w:pPr>
      <w:r>
        <w:rPr>
          <w:spacing w:val="6"/>
        </w:rPr>
        <w:t xml:space="preserve">3)电子开关：通道间的串扰应小于一80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6"/>
        </w:rPr>
        <w:t>;</w:t>
      </w:r>
    </w:p>
    <w:p>
      <w:pPr>
        <w:pStyle w:val="BodyText"/>
        <w:spacing w:before="68" w:line="246" w:lineRule="auto"/>
        <w:ind w:right="22" w:firstLine="439"/>
      </w:pPr>
      <w:r>
        <w:rPr>
          <w:spacing w:val="18"/>
        </w:rPr>
        <w:t>4)示波器：垂直偏转系数误差不应超过士2</w:t>
      </w:r>
      <w:r>
        <w:rPr>
          <w:spacing w:val="17"/>
        </w:rPr>
        <w:t>%,扫描时间系数误差不应超过±2%,</w:t>
      </w:r>
      <w:r>
        <w:t xml:space="preserve"> </w:t>
      </w:r>
      <w:r>
        <w:rPr>
          <w:spacing w:val="12"/>
        </w:rPr>
        <w:t>扫描线性误差不应超过±2%;</w:t>
      </w:r>
    </w:p>
    <w:p>
      <w:pPr>
        <w:pStyle w:val="BodyText"/>
        <w:spacing w:before="53" w:line="260" w:lineRule="auto"/>
        <w:ind w:right="81" w:firstLine="439"/>
      </w:pPr>
      <w:r>
        <w:rPr>
          <w:spacing w:val="10"/>
        </w:rPr>
        <w:t>5)液体加压设备：加压范围0.1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</w:rPr>
        <w:t>MPa</w:t>
      </w:r>
      <w:r>
        <w:rPr>
          <w:spacing w:val="10"/>
        </w:rPr>
        <w:t>～</w:t>
      </w:r>
      <w:r>
        <w:rPr>
          <w:rFonts w:ascii="Times New Roman" w:eastAsia="Times New Roman" w:hAnsi="Times New Roman" w:cs="Times New Roman"/>
          <w:spacing w:val="10"/>
        </w:rPr>
        <w:t xml:space="preserve">10   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10"/>
        </w:rPr>
        <w:t xml:space="preserve">,  </w:t>
      </w:r>
      <w:r>
        <w:rPr>
          <w:spacing w:val="10"/>
        </w:rPr>
        <w:t>压力</w:t>
      </w:r>
      <w:r>
        <w:rPr>
          <w:spacing w:val="9"/>
        </w:rPr>
        <w:t>测量最大允许误差不应超过</w:t>
      </w:r>
      <w:r>
        <w:t xml:space="preserve"> </w:t>
      </w:r>
      <w:r>
        <w:rPr>
          <w:spacing w:val="-7"/>
        </w:rPr>
        <w:t>±5%;</w:t>
      </w:r>
    </w:p>
    <w:p>
      <w:pPr>
        <w:pStyle w:val="BodyText"/>
        <w:spacing w:before="29" w:line="212" w:lineRule="auto"/>
        <w:ind w:left="439"/>
      </w:pPr>
      <w:r>
        <w:rPr>
          <w:spacing w:val="10"/>
        </w:rPr>
        <w:t xml:space="preserve">6)兆欧表：测试电压100 </w:t>
      </w:r>
      <w:r>
        <w:rPr>
          <w:rFonts w:ascii="Times New Roman" w:eastAsia="Times New Roman" w:hAnsi="Times New Roman" w:cs="Times New Roman"/>
          <w:spacing w:val="10"/>
        </w:rPr>
        <w:t xml:space="preserve">V,   </w:t>
      </w:r>
      <w:r>
        <w:rPr>
          <w:spacing w:val="10"/>
        </w:rPr>
        <w:t>绝缘电阻测量最</w:t>
      </w:r>
      <w:r>
        <w:rPr>
          <w:spacing w:val="9"/>
        </w:rPr>
        <w:t>大允许误差不应超过±10%;</w:t>
      </w:r>
    </w:p>
    <w:p>
      <w:pPr>
        <w:pStyle w:val="BodyText"/>
        <w:spacing w:before="101" w:line="246" w:lineRule="auto"/>
        <w:ind w:right="81" w:firstLine="439"/>
      </w:pPr>
      <w:r>
        <w:rPr>
          <w:spacing w:val="9"/>
        </w:rPr>
        <w:t>7)电容表：电容值测量范围不应小于100</w:t>
      </w:r>
      <w:r>
        <w:rPr>
          <w:spacing w:val="109"/>
        </w:rPr>
        <w:t xml:space="preserve"> </w:t>
      </w:r>
      <w:r>
        <w:rPr>
          <w:spacing w:val="9"/>
        </w:rPr>
        <w:t>μF;</w:t>
      </w:r>
      <w:r>
        <w:rPr>
          <w:spacing w:val="55"/>
        </w:rPr>
        <w:t xml:space="preserve"> </w:t>
      </w:r>
      <w:r>
        <w:rPr>
          <w:spacing w:val="9"/>
        </w:rPr>
        <w:t>电容测量最大允许误差不应超过</w:t>
      </w:r>
      <w:r>
        <w:t xml:space="preserve"> </w:t>
      </w:r>
      <w:r>
        <w:rPr>
          <w:spacing w:val="-7"/>
        </w:rPr>
        <w:t>±5%;</w:t>
      </w:r>
    </w:p>
    <w:p>
      <w:pPr>
        <w:pStyle w:val="BodyText"/>
        <w:spacing w:before="50" w:line="383" w:lineRule="exact"/>
        <w:ind w:left="439"/>
      </w:pPr>
      <w:r>
        <w:rPr>
          <w:spacing w:val="16"/>
          <w:position w:val="12"/>
        </w:rPr>
        <w:t>8)温度计：温度测量范围不应小于0℃~</w:t>
      </w:r>
      <w:r>
        <w:rPr>
          <w:spacing w:val="15"/>
          <w:position w:val="12"/>
        </w:rPr>
        <w:t>50</w:t>
      </w:r>
      <w:r>
        <w:rPr>
          <w:spacing w:val="53"/>
          <w:position w:val="12"/>
        </w:rPr>
        <w:t xml:space="preserve"> </w:t>
      </w:r>
      <w:r>
        <w:rPr>
          <w:spacing w:val="15"/>
          <w:position w:val="12"/>
        </w:rPr>
        <w:t>℃,温度测量最大允许误差不应超过</w:t>
      </w:r>
    </w:p>
    <w:p>
      <w:pPr>
        <w:pStyle w:val="BodyText"/>
        <w:spacing w:before="1" w:line="221" w:lineRule="auto"/>
        <w:rPr>
          <w:sz w:val="17"/>
          <w:szCs w:val="17"/>
        </w:rPr>
      </w:pPr>
      <w:r>
        <w:rPr>
          <w:spacing w:val="-8"/>
          <w:sz w:val="17"/>
          <w:szCs w:val="17"/>
        </w:rPr>
        <w:t>±1   ℃;</w:t>
      </w:r>
    </w:p>
    <w:p>
      <w:pPr>
        <w:pStyle w:val="BodyText"/>
        <w:spacing w:before="72" w:line="212" w:lineRule="auto"/>
        <w:ind w:left="439"/>
        <w:rPr>
          <w:rFonts w:ascii="Times New Roman" w:eastAsia="Times New Roman" w:hAnsi="Times New Roman" w:cs="Times New Roman"/>
        </w:rPr>
      </w:pPr>
      <w:r>
        <w:rPr>
          <w:spacing w:val="8"/>
        </w:rPr>
        <w:t>9)卷尺：长度不小于20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m,   </w:t>
      </w:r>
      <w:r>
        <w:rPr>
          <w:spacing w:val="8"/>
        </w:rPr>
        <w:t xml:space="preserve">长度测量的最大允许误差不应超过±1 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8"/>
        </w:rPr>
        <w:t>;</w:t>
      </w:r>
    </w:p>
    <w:p>
      <w:pPr>
        <w:pStyle w:val="BodyText"/>
        <w:spacing w:before="72" w:line="219" w:lineRule="auto"/>
      </w:pPr>
      <w:r>
        <w:rPr>
          <w:spacing w:val="-1"/>
        </w:rPr>
        <w:t>7.1.3</w:t>
      </w:r>
      <w:r>
        <w:rPr>
          <w:spacing w:val="109"/>
        </w:rPr>
        <w:t xml:space="preserve"> </w:t>
      </w:r>
      <w:r>
        <w:rPr>
          <w:spacing w:val="-1"/>
        </w:rPr>
        <w:t>耦合腔</w:t>
      </w:r>
    </w:p>
    <w:p>
      <w:pPr>
        <w:pStyle w:val="BodyText"/>
        <w:spacing w:before="66" w:line="252" w:lineRule="auto"/>
        <w:ind w:right="80" w:firstLine="439"/>
        <w:jc w:val="both"/>
        <w:rPr>
          <w:rFonts w:ascii="Times New Roman" w:eastAsia="Times New Roman" w:hAnsi="Times New Roman" w:cs="Times New Roman"/>
        </w:rPr>
      </w:pPr>
      <w:r>
        <w:rPr>
          <w:spacing w:val="13"/>
        </w:rPr>
        <w:t>1)耦合腔腔体的几何形状通常为圆柱形，其示意图如图1所示。腔体的边界具有</w:t>
      </w:r>
      <w:r>
        <w:rPr>
          <w:spacing w:val="12"/>
        </w:rPr>
        <w:t xml:space="preserve"> </w:t>
      </w:r>
      <w:r>
        <w:rPr>
          <w:spacing w:val="7"/>
        </w:rPr>
        <w:t xml:space="preserve">声刚性，腔体壁厚 </w:t>
      </w:r>
      <w:r>
        <w:rPr>
          <w:rFonts w:ascii="Times New Roman" w:eastAsia="Times New Roman" w:hAnsi="Times New Roman" w:cs="Times New Roman"/>
          <w:spacing w:val="7"/>
        </w:rPr>
        <w:t xml:space="preserve">(t)   </w:t>
      </w:r>
      <w:r>
        <w:rPr>
          <w:spacing w:val="7"/>
        </w:rPr>
        <w:t>不应小于内半径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(r),     </w:t>
      </w:r>
      <w:r>
        <w:rPr>
          <w:spacing w:val="6"/>
        </w:rPr>
        <w:t xml:space="preserve">腔体长度 </w:t>
      </w:r>
      <w:r>
        <w:rPr>
          <w:rFonts w:ascii="Times New Roman" w:eastAsia="Times New Roman" w:hAnsi="Times New Roman" w:cs="Times New Roman"/>
          <w:spacing w:val="6"/>
        </w:rPr>
        <w:t xml:space="preserve">(l)    </w:t>
      </w:r>
      <w:r>
        <w:rPr>
          <w:spacing w:val="6"/>
        </w:rPr>
        <w:t>和直径(2</w:t>
      </w:r>
      <w:r>
        <w:rPr>
          <w:rFonts w:ascii="Times New Roman" w:eastAsia="Times New Roman" w:hAnsi="Times New Roman" w:cs="Times New Roman"/>
          <w:spacing w:val="6"/>
        </w:rPr>
        <w:t xml:space="preserve">r)   </w:t>
      </w:r>
      <w:r>
        <w:rPr>
          <w:spacing w:val="6"/>
        </w:rPr>
        <w:t>小于腔内液</w:t>
      </w:r>
      <w:r>
        <w:t xml:space="preserve"> </w:t>
      </w:r>
      <w:r>
        <w:rPr>
          <w:spacing w:val="4"/>
        </w:rPr>
        <w:t>体中被检上限频率对应的声波波长的十分之一。在检定频率范围内，耦合腔中声压随声</w:t>
      </w:r>
      <w:r>
        <w:rPr>
          <w:spacing w:val="6"/>
        </w:rPr>
        <w:t xml:space="preserve"> </w:t>
      </w:r>
      <w:r>
        <w:t xml:space="preserve">场位置的变化不应超过±0.3 </w:t>
      </w:r>
      <w:r>
        <w:rPr>
          <w:rFonts w:ascii="Times New Roman" w:eastAsia="Times New Roman" w:hAnsi="Times New Roman" w:cs="Times New Roman"/>
        </w:rPr>
        <w:t>dB;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660" w:lineRule="exact"/>
        <w:ind w:firstLine="2299"/>
        <w:sectPr>
          <w:headerReference w:type="default" r:id="rId18"/>
          <w:footerReference w:type="default" r:id="rId19"/>
          <w:pgSz w:w="10040" w:h="14660"/>
          <w:pgMar w:top="1450" w:right="739" w:bottom="891" w:left="690" w:header="1179" w:footer="762" w:gutter="0"/>
          <w:pgNumType w:start="7"/>
          <w:cols w:space="708"/>
        </w:sectPr>
      </w:pPr>
      <w:r>
        <w:rPr>
          <w:position w:val="-53"/>
        </w:rPr>
        <w:drawing>
          <wp:inline distT="0" distB="0" distL="0" distR="0">
            <wp:extent cx="2527272" cy="168913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27272" cy="168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56" w:line="219" w:lineRule="auto"/>
        <w:ind w:left="3439"/>
        <w:rPr>
          <w:sz w:val="17"/>
          <w:szCs w:val="17"/>
        </w:rPr>
      </w:pPr>
      <w:r>
        <w:rPr>
          <w:spacing w:val="14"/>
          <w:sz w:val="17"/>
          <w:szCs w:val="17"/>
        </w:rPr>
        <w:t>图</w:t>
      </w:r>
      <w:r>
        <w:rPr>
          <w:spacing w:val="29"/>
          <w:w w:val="101"/>
          <w:sz w:val="17"/>
          <w:szCs w:val="17"/>
        </w:rPr>
        <w:t xml:space="preserve"> </w:t>
      </w:r>
      <w:r>
        <w:rPr>
          <w:spacing w:val="14"/>
          <w:sz w:val="17"/>
          <w:szCs w:val="17"/>
        </w:rPr>
        <w:t>1</w:t>
      </w:r>
      <w:r>
        <w:rPr>
          <w:spacing w:val="16"/>
          <w:sz w:val="17"/>
          <w:szCs w:val="17"/>
        </w:rPr>
        <w:t xml:space="preserve">  </w:t>
      </w:r>
      <w:r>
        <w:rPr>
          <w:spacing w:val="14"/>
          <w:sz w:val="17"/>
          <w:szCs w:val="17"/>
        </w:rPr>
        <w:t>耦合腔示意图</w:t>
      </w:r>
    </w:p>
    <w:p>
      <w:pPr>
        <w:pStyle w:val="BodyText"/>
        <w:spacing w:before="98" w:line="219" w:lineRule="auto"/>
        <w:ind w:left="2449"/>
        <w:rPr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 xml:space="preserve">F   </w:t>
      </w:r>
      <w:r>
        <w:rPr>
          <w:spacing w:val="-7"/>
          <w:sz w:val="17"/>
          <w:szCs w:val="17"/>
        </w:rPr>
        <w:t>发射换能器；</w:t>
      </w:r>
      <w:r>
        <w:rPr>
          <w:spacing w:val="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J</w:t>
      </w:r>
      <w:r>
        <w:rPr>
          <w:spacing w:val="-7"/>
          <w:sz w:val="17"/>
          <w:szCs w:val="17"/>
        </w:rPr>
        <w:t>一标准水听器；</w:t>
      </w:r>
      <w:r>
        <w:rPr>
          <w:spacing w:val="1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H—</w:t>
      </w:r>
      <w:r>
        <w:rPr>
          <w:spacing w:val="-7"/>
          <w:sz w:val="17"/>
          <w:szCs w:val="17"/>
        </w:rPr>
        <w:t>互易换能器</w:t>
      </w:r>
    </w:p>
    <w:p>
      <w:pPr>
        <w:pStyle w:val="BodyText"/>
        <w:spacing w:before="61" w:line="248" w:lineRule="auto"/>
        <w:ind w:right="61" w:firstLine="439"/>
      </w:pPr>
      <w:r>
        <w:rPr>
          <w:spacing w:val="11"/>
        </w:rPr>
        <w:t xml:space="preserve">2)耦合腔应与周围机械设备作隔振处理，耦合腔的结构采取有效的隔振措施，避 </w:t>
      </w:r>
      <w:r>
        <w:rPr>
          <w:spacing w:val="4"/>
        </w:rPr>
        <w:t>免发射换能器的振动通过结构直接耦合至互易换能器或标准水听</w:t>
      </w:r>
      <w:r>
        <w:rPr>
          <w:spacing w:val="3"/>
        </w:rPr>
        <w:t>器；</w:t>
      </w:r>
    </w:p>
    <w:p>
      <w:pPr>
        <w:spacing w:line="248" w:lineRule="auto"/>
        <w:sectPr>
          <w:headerReference w:type="default" r:id="rId21"/>
          <w:footerReference w:type="default" r:id="rId22"/>
          <w:type w:val="nextPage"/>
          <w:pgSz w:w="10040" w:h="14660"/>
          <w:pgMar w:top="1450" w:right="739" w:bottom="891" w:left="690" w:header="1179" w:footer="762" w:gutter="0"/>
          <w:pgNumType w:start="8"/>
          <w:cols w:space="708"/>
          <w:titlePg w:val="0"/>
        </w:sectPr>
      </w:pPr>
    </w:p>
    <w:p>
      <w:pPr>
        <w:pStyle w:val="BodyText"/>
        <w:spacing w:before="208" w:line="246" w:lineRule="auto"/>
        <w:ind w:right="904" w:firstLine="469"/>
        <w:rPr>
          <w:sz w:val="21"/>
          <w:szCs w:val="21"/>
        </w:rPr>
      </w:pPr>
      <w:r>
        <w:rPr>
          <w:spacing w:val="15"/>
          <w:sz w:val="21"/>
          <w:szCs w:val="21"/>
        </w:rPr>
        <w:t>3)腔中充满蒸馏水或其他液体媒质，腔的结构应便于排尽腔内残余空气。</w:t>
      </w:r>
      <w:r>
        <w:rPr>
          <w:spacing w:val="8"/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7.2  检定项目</w:t>
      </w:r>
    </w:p>
    <w:p>
      <w:pPr>
        <w:pStyle w:val="BodyText"/>
        <w:spacing w:before="50" w:line="219" w:lineRule="auto"/>
        <w:ind w:left="469"/>
        <w:rPr>
          <w:sz w:val="21"/>
          <w:szCs w:val="21"/>
        </w:rPr>
      </w:pPr>
      <w:r>
        <w:rPr>
          <w:spacing w:val="17"/>
          <w:sz w:val="21"/>
          <w:szCs w:val="21"/>
        </w:rPr>
        <w:t>标准水听器的首次检定、后续检定和使用中检验项目见表1</w:t>
      </w:r>
    </w:p>
    <w:p>
      <w:pPr>
        <w:spacing w:before="99" w:line="222" w:lineRule="auto"/>
        <w:ind w:left="151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4"/>
          <w:sz w:val="21"/>
          <w:szCs w:val="21"/>
        </w:rPr>
        <w:t>表</w:t>
      </w:r>
      <w:r>
        <w:rPr>
          <w:rFonts w:ascii="SimHei" w:eastAsia="SimHei" w:hAnsi="SimHei" w:cs="SimHei"/>
          <w:spacing w:val="-2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4"/>
          <w:sz w:val="21"/>
          <w:szCs w:val="21"/>
        </w:rPr>
        <w:t>1</w:t>
      </w:r>
      <w:r>
        <w:rPr>
          <w:rFonts w:ascii="SimHei" w:eastAsia="SimHei" w:hAnsi="SimHei" w:cs="SimHei"/>
          <w:spacing w:val="6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4"/>
          <w:sz w:val="21"/>
          <w:szCs w:val="21"/>
        </w:rPr>
        <w:t>标准水听器的首次检定、后续检定和使用中检验项目一览表</w:t>
      </w:r>
    </w:p>
    <w:p>
      <w:pPr>
        <w:spacing w:line="95" w:lineRule="exact"/>
      </w:pPr>
    </w:p>
    <w:tbl>
      <w:tblPr>
        <w:tblStyle w:val="TableNormal0"/>
        <w:tblW w:w="850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63"/>
        <w:gridCol w:w="2327"/>
        <w:gridCol w:w="1578"/>
        <w:gridCol w:w="1568"/>
        <w:gridCol w:w="1473"/>
      </w:tblGrid>
      <w:tr>
        <w:tblPrEx>
          <w:tblW w:w="850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3"/>
        </w:trPr>
        <w:tc>
          <w:tcPr>
            <w:tcW w:w="3890" w:type="dxa"/>
            <w:gridSpan w:val="2"/>
            <w:vAlign w:val="top"/>
          </w:tcPr>
          <w:p>
            <w:pPr>
              <w:pStyle w:val="TableText"/>
              <w:spacing w:before="122" w:line="220" w:lineRule="auto"/>
              <w:ind w:left="1624"/>
            </w:pPr>
            <w:r>
              <w:rPr>
                <w:spacing w:val="-3"/>
              </w:rPr>
              <w:t>项    目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2" w:line="219" w:lineRule="auto"/>
              <w:ind w:left="424"/>
            </w:pPr>
            <w:r>
              <w:rPr>
                <w:spacing w:val="2"/>
              </w:rPr>
              <w:t>首次检定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2" w:line="219" w:lineRule="auto"/>
              <w:ind w:left="416"/>
            </w:pPr>
            <w:r>
              <w:rPr>
                <w:spacing w:val="2"/>
              </w:rPr>
              <w:t>后续检定</w:t>
            </w:r>
          </w:p>
        </w:tc>
        <w:tc>
          <w:tcPr>
            <w:tcW w:w="1473" w:type="dxa"/>
            <w:vAlign w:val="top"/>
          </w:tcPr>
          <w:p>
            <w:pPr>
              <w:pStyle w:val="TableText"/>
              <w:spacing w:before="122" w:line="219" w:lineRule="auto"/>
              <w:ind w:left="278"/>
            </w:pPr>
            <w:r>
              <w:rPr>
                <w:spacing w:val="-2"/>
              </w:rPr>
              <w:t>使用中检验</w:t>
            </w:r>
          </w:p>
        </w:tc>
      </w:tr>
      <w:tr>
        <w:tblPrEx>
          <w:tblW w:w="8509" w:type="dxa"/>
          <w:tblInd w:w="40" w:type="dxa"/>
          <w:tblLayout w:type="fixed"/>
        </w:tblPrEx>
        <w:trPr>
          <w:trHeight w:val="418"/>
        </w:trPr>
        <w:tc>
          <w:tcPr>
            <w:tcW w:w="3890" w:type="dxa"/>
            <w:gridSpan w:val="2"/>
            <w:vAlign w:val="top"/>
          </w:tcPr>
          <w:p>
            <w:pPr>
              <w:pStyle w:val="TableText"/>
              <w:spacing w:before="119" w:line="219" w:lineRule="auto"/>
              <w:ind w:left="1574"/>
            </w:pPr>
            <w:r>
              <w:rPr>
                <w:spacing w:val="-2"/>
              </w:rPr>
              <w:t>外观检查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0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0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pStyle w:val="TableText"/>
              <w:spacing w:before="120" w:line="221" w:lineRule="auto"/>
              <w:ind w:left="638"/>
            </w:pPr>
            <w:r>
              <w:t>十</w:t>
            </w:r>
          </w:p>
        </w:tc>
      </w:tr>
      <w:tr>
        <w:tblPrEx>
          <w:tblW w:w="8509" w:type="dxa"/>
          <w:tblInd w:w="40" w:type="dxa"/>
          <w:tblLayout w:type="fixed"/>
        </w:tblPrEx>
        <w:trPr>
          <w:trHeight w:val="409"/>
        </w:trPr>
        <w:tc>
          <w:tcPr>
            <w:tcW w:w="156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274"/>
            </w:pPr>
            <w:r>
              <w:rPr>
                <w:spacing w:val="-2"/>
              </w:rPr>
              <w:t>工作正常性</w:t>
            </w: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122" w:line="220" w:lineRule="auto"/>
              <w:ind w:left="792"/>
            </w:pPr>
            <w:r>
              <w:rPr>
                <w:spacing w:val="4"/>
              </w:rPr>
              <w:t>绝缘电阳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2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2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pStyle w:val="TableText"/>
              <w:spacing w:before="122" w:line="221" w:lineRule="auto"/>
              <w:ind w:left="638"/>
            </w:pPr>
            <w:r>
              <w:t>十</w:t>
            </w:r>
          </w:p>
        </w:tc>
      </w:tr>
      <w:tr>
        <w:tblPrEx>
          <w:tblW w:w="8509" w:type="dxa"/>
          <w:tblInd w:w="40" w:type="dxa"/>
          <w:tblLayout w:type="fixed"/>
        </w:tblPrEx>
        <w:trPr>
          <w:trHeight w:val="418"/>
        </w:trPr>
        <w:tc>
          <w:tcPr>
            <w:tcW w:w="15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122" w:line="220" w:lineRule="auto"/>
              <w:ind w:left="971"/>
            </w:pPr>
            <w:r>
              <w:rPr>
                <w:spacing w:val="4"/>
              </w:rPr>
              <w:t>电容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3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3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pStyle w:val="TableText"/>
              <w:spacing w:before="123" w:line="221" w:lineRule="auto"/>
              <w:ind w:left="638"/>
            </w:pPr>
            <w:r>
              <w:t>十</w:t>
            </w:r>
          </w:p>
        </w:tc>
      </w:tr>
      <w:tr>
        <w:tblPrEx>
          <w:tblW w:w="8509" w:type="dxa"/>
          <w:tblInd w:w="40" w:type="dxa"/>
          <w:tblLayout w:type="fixed"/>
        </w:tblPrEx>
        <w:trPr>
          <w:trHeight w:val="409"/>
        </w:trPr>
        <w:tc>
          <w:tcPr>
            <w:tcW w:w="15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7" w:type="dxa"/>
            <w:vAlign w:val="top"/>
          </w:tcPr>
          <w:p>
            <w:pPr>
              <w:pStyle w:val="TableText"/>
              <w:spacing w:before="124" w:line="219" w:lineRule="auto"/>
              <w:ind w:left="792"/>
            </w:pPr>
            <w:r>
              <w:rPr>
                <w:spacing w:val="-2"/>
              </w:rPr>
              <w:t>信号检验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5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5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pStyle w:val="TableText"/>
              <w:spacing w:before="125" w:line="221" w:lineRule="auto"/>
              <w:ind w:left="638"/>
            </w:pPr>
            <w:r>
              <w:t>十</w:t>
            </w:r>
          </w:p>
        </w:tc>
      </w:tr>
      <w:tr>
        <w:tblPrEx>
          <w:tblW w:w="8509" w:type="dxa"/>
          <w:tblInd w:w="40" w:type="dxa"/>
          <w:tblLayout w:type="fixed"/>
        </w:tblPrEx>
        <w:trPr>
          <w:trHeight w:val="419"/>
        </w:trPr>
        <w:tc>
          <w:tcPr>
            <w:tcW w:w="3890" w:type="dxa"/>
            <w:gridSpan w:val="2"/>
            <w:vAlign w:val="top"/>
          </w:tcPr>
          <w:p>
            <w:pPr>
              <w:pStyle w:val="TableText"/>
              <w:spacing w:before="125" w:line="219" w:lineRule="auto"/>
              <w:ind w:left="1394"/>
            </w:pPr>
            <w:r>
              <w:rPr>
                <w:spacing w:val="1"/>
              </w:rPr>
              <w:t>声压灵敏度级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6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6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pStyle w:val="TableText"/>
              <w:spacing w:before="126" w:line="221" w:lineRule="auto"/>
              <w:ind w:left="638"/>
            </w:pPr>
            <w:r>
              <w:t>十</w:t>
            </w:r>
          </w:p>
        </w:tc>
      </w:tr>
      <w:tr>
        <w:tblPrEx>
          <w:tblW w:w="8509" w:type="dxa"/>
          <w:tblInd w:w="40" w:type="dxa"/>
          <w:tblLayout w:type="fixed"/>
        </w:tblPrEx>
        <w:trPr>
          <w:trHeight w:val="419"/>
        </w:trPr>
        <w:tc>
          <w:tcPr>
            <w:tcW w:w="3890" w:type="dxa"/>
            <w:gridSpan w:val="2"/>
            <w:vAlign w:val="top"/>
          </w:tcPr>
          <w:p>
            <w:pPr>
              <w:pStyle w:val="TableText"/>
              <w:spacing w:before="125" w:line="219" w:lineRule="auto"/>
              <w:ind w:left="494"/>
            </w:pPr>
            <w:r>
              <w:rPr>
                <w:spacing w:val="-1"/>
              </w:rPr>
              <w:t>声压灵敏度级随频率变化的响应起伏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7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7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9" w:type="dxa"/>
          <w:tblInd w:w="40" w:type="dxa"/>
          <w:tblLayout w:type="fixed"/>
        </w:tblPrEx>
        <w:trPr>
          <w:trHeight w:val="414"/>
        </w:trPr>
        <w:tc>
          <w:tcPr>
            <w:tcW w:w="3890" w:type="dxa"/>
            <w:gridSpan w:val="2"/>
            <w:vAlign w:val="top"/>
          </w:tcPr>
          <w:p>
            <w:pPr>
              <w:pStyle w:val="TableText"/>
              <w:spacing w:before="126" w:line="219" w:lineRule="auto"/>
              <w:ind w:left="314"/>
            </w:pPr>
            <w:r>
              <w:rPr>
                <w:spacing w:val="-1"/>
              </w:rPr>
              <w:t>声压灵敏度级随静水压力变化的响应起伏</w:t>
            </w:r>
          </w:p>
        </w:tc>
        <w:tc>
          <w:tcPr>
            <w:tcW w:w="1578" w:type="dxa"/>
            <w:vAlign w:val="top"/>
          </w:tcPr>
          <w:p>
            <w:pPr>
              <w:pStyle w:val="TableText"/>
              <w:spacing w:before="128" w:line="221" w:lineRule="auto"/>
              <w:ind w:left="694"/>
            </w:pPr>
            <w:r>
              <w:t>十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8" w:line="221" w:lineRule="auto"/>
              <w:ind w:left="686"/>
            </w:pPr>
            <w:r>
              <w:t>十</w:t>
            </w:r>
          </w:p>
        </w:tc>
        <w:tc>
          <w:tcPr>
            <w:tcW w:w="14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55" w:line="230" w:lineRule="auto"/>
        <w:ind w:left="419"/>
        <w:rPr>
          <w:rFonts w:ascii="FangSong" w:eastAsia="FangSong" w:hAnsi="FangSong" w:cs="FangSong"/>
          <w:sz w:val="14"/>
          <w:szCs w:val="14"/>
        </w:rPr>
      </w:pPr>
      <w:r>
        <w:rPr>
          <w:rFonts w:ascii="FangSong" w:eastAsia="FangSong" w:hAnsi="FangSong" w:cs="FangSong"/>
          <w:spacing w:val="-7"/>
          <w:sz w:val="14"/>
          <w:szCs w:val="14"/>
        </w:rPr>
        <w:t>注</w:t>
      </w:r>
      <w:r>
        <w:rPr>
          <w:rFonts w:ascii="FangSong" w:eastAsia="FangSong" w:hAnsi="FangSong" w:cs="FangSong"/>
          <w:spacing w:val="24"/>
          <w:sz w:val="14"/>
          <w:szCs w:val="14"/>
        </w:rPr>
        <w:t xml:space="preserve"> </w:t>
      </w:r>
      <w:r>
        <w:rPr>
          <w:rFonts w:ascii="FangSong" w:eastAsia="FangSong" w:hAnsi="FangSong" w:cs="FangSong"/>
          <w:spacing w:val="-7"/>
          <w:sz w:val="14"/>
          <w:szCs w:val="14"/>
        </w:rPr>
        <w:t>：</w:t>
      </w:r>
    </w:p>
    <w:p>
      <w:pPr>
        <w:pStyle w:val="BodyText"/>
        <w:spacing w:before="60" w:line="243" w:lineRule="auto"/>
        <w:ind w:right="93" w:firstLine="419"/>
        <w:rPr>
          <w:sz w:val="21"/>
          <w:szCs w:val="21"/>
        </w:rPr>
      </w:pPr>
      <w:r>
        <w:rPr>
          <w:rFonts w:ascii="FangSong" w:eastAsia="FangSong" w:hAnsi="FangSong" w:cs="FangSong"/>
          <w:spacing w:val="-9"/>
          <w:sz w:val="21"/>
          <w:szCs w:val="21"/>
        </w:rPr>
        <w:t>1.</w:t>
      </w:r>
      <w:r>
        <w:rPr>
          <w:rFonts w:ascii="FangSong" w:eastAsia="FangSong" w:hAnsi="FangSong" w:cs="FangSong"/>
          <w:spacing w:val="-42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9"/>
          <w:sz w:val="21"/>
          <w:szCs w:val="21"/>
        </w:rPr>
        <w:t>带前置放大器的标准水听器不检绝缘电阻和电容，不带前置放大器的</w:t>
      </w:r>
      <w:r>
        <w:rPr>
          <w:rFonts w:ascii="FangSong" w:eastAsia="FangSong" w:hAnsi="FangSong" w:cs="FangSong"/>
          <w:spacing w:val="-10"/>
          <w:sz w:val="21"/>
          <w:szCs w:val="21"/>
        </w:rPr>
        <w:t>标准水听器不作信号</w:t>
      </w:r>
      <w:r>
        <w:rPr>
          <w:rFonts w:ascii="FangSong" w:eastAsia="FangSong" w:hAnsi="FangSong" w:cs="FangSong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检验。</w:t>
      </w:r>
    </w:p>
    <w:p>
      <w:pPr>
        <w:pStyle w:val="BodyText"/>
        <w:spacing w:before="71" w:line="219" w:lineRule="auto"/>
        <w:ind w:left="419"/>
        <w:rPr>
          <w:sz w:val="21"/>
          <w:szCs w:val="21"/>
        </w:rPr>
      </w:pPr>
      <w:r>
        <w:rPr>
          <w:spacing w:val="-20"/>
          <w:sz w:val="21"/>
          <w:szCs w:val="21"/>
        </w:rPr>
        <w:t>2. “+”表示需检项目，“—”表示不需检项目。</w:t>
      </w:r>
    </w:p>
    <w:p>
      <w:pPr>
        <w:pStyle w:val="BodyText"/>
        <w:spacing w:before="91" w:line="219" w:lineRule="auto"/>
        <w:rPr>
          <w:sz w:val="21"/>
          <w:szCs w:val="21"/>
        </w:rPr>
      </w:pPr>
      <w:r>
        <w:rPr>
          <w:spacing w:val="-3"/>
          <w:sz w:val="21"/>
          <w:szCs w:val="21"/>
        </w:rPr>
        <w:t>7.3</w:t>
      </w:r>
      <w:r>
        <w:rPr>
          <w:spacing w:val="39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检定方法</w:t>
      </w:r>
    </w:p>
    <w:p>
      <w:pPr>
        <w:pStyle w:val="BodyText"/>
        <w:spacing w:before="81" w:line="219" w:lineRule="auto"/>
        <w:rPr>
          <w:sz w:val="21"/>
          <w:szCs w:val="21"/>
        </w:rPr>
      </w:pPr>
      <w:r>
        <w:rPr>
          <w:spacing w:val="4"/>
          <w:sz w:val="21"/>
          <w:szCs w:val="21"/>
        </w:rPr>
        <w:t>7.3.1</w:t>
      </w:r>
      <w:r>
        <w:rPr>
          <w:spacing w:val="19"/>
          <w:sz w:val="21"/>
          <w:szCs w:val="21"/>
        </w:rPr>
        <w:t xml:space="preserve">  </w:t>
      </w:r>
      <w:r>
        <w:rPr>
          <w:spacing w:val="4"/>
          <w:sz w:val="21"/>
          <w:szCs w:val="21"/>
        </w:rPr>
        <w:t>外观检查</w:t>
      </w:r>
    </w:p>
    <w:p>
      <w:pPr>
        <w:pStyle w:val="BodyText"/>
        <w:spacing w:before="71" w:line="267" w:lineRule="auto"/>
        <w:ind w:right="79" w:firstLine="469"/>
        <w:rPr>
          <w:sz w:val="21"/>
          <w:szCs w:val="21"/>
        </w:rPr>
      </w:pPr>
      <w:r>
        <w:rPr>
          <w:spacing w:val="20"/>
          <w:sz w:val="21"/>
          <w:szCs w:val="21"/>
        </w:rPr>
        <w:t>标准水听器应具有清晰的标志，包括制造商的名称、型号和序列号等。外观应完</w:t>
      </w:r>
      <w:r>
        <w:rPr>
          <w:sz w:val="21"/>
          <w:szCs w:val="21"/>
        </w:rPr>
        <w:t xml:space="preserve"> </w:t>
      </w:r>
      <w:r>
        <w:rPr>
          <w:spacing w:val="10"/>
          <w:sz w:val="21"/>
          <w:szCs w:val="21"/>
        </w:rPr>
        <w:t>好，无影响正常工作的机械损伤等。</w:t>
      </w:r>
    </w:p>
    <w:p>
      <w:pPr>
        <w:pStyle w:val="BodyText"/>
        <w:spacing w:before="82" w:line="219" w:lineRule="auto"/>
        <w:ind w:left="469"/>
        <w:rPr>
          <w:sz w:val="21"/>
          <w:szCs w:val="21"/>
        </w:rPr>
      </w:pPr>
      <w:r>
        <w:rPr>
          <w:spacing w:val="9"/>
          <w:sz w:val="21"/>
          <w:szCs w:val="21"/>
        </w:rPr>
        <w:t>出厂资料应符合6.3.2</w:t>
      </w:r>
      <w:r>
        <w:rPr>
          <w:spacing w:val="-19"/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的要求。</w:t>
      </w:r>
    </w:p>
    <w:p>
      <w:pPr>
        <w:pStyle w:val="BodyText"/>
        <w:spacing w:before="91" w:line="220" w:lineRule="auto"/>
        <w:rPr>
          <w:sz w:val="21"/>
          <w:szCs w:val="21"/>
        </w:rPr>
      </w:pPr>
      <w:r>
        <w:rPr>
          <w:spacing w:val="4"/>
          <w:sz w:val="21"/>
          <w:szCs w:val="21"/>
        </w:rPr>
        <w:t>7.3.2</w:t>
      </w:r>
      <w:r>
        <w:rPr>
          <w:spacing w:val="36"/>
          <w:sz w:val="21"/>
          <w:szCs w:val="21"/>
        </w:rPr>
        <w:t xml:space="preserve">  </w:t>
      </w:r>
      <w:r>
        <w:rPr>
          <w:spacing w:val="4"/>
          <w:sz w:val="21"/>
          <w:szCs w:val="21"/>
        </w:rPr>
        <w:t>工作正常性</w:t>
      </w:r>
    </w:p>
    <w:p>
      <w:pPr>
        <w:pStyle w:val="BodyText"/>
        <w:spacing w:before="60" w:line="279" w:lineRule="auto"/>
        <w:ind w:right="80" w:firstLine="469"/>
        <w:jc w:val="both"/>
        <w:rPr>
          <w:sz w:val="21"/>
          <w:szCs w:val="21"/>
        </w:rPr>
      </w:pPr>
      <w:r>
        <w:rPr>
          <w:spacing w:val="14"/>
          <w:sz w:val="21"/>
          <w:szCs w:val="21"/>
        </w:rPr>
        <w:t>将不带前置放大器的标准水听器敏感元件部分</w:t>
      </w:r>
      <w:r>
        <w:rPr>
          <w:spacing w:val="13"/>
          <w:sz w:val="21"/>
          <w:szCs w:val="21"/>
        </w:rPr>
        <w:t>置于水中，用兆欧表测量标准水听器</w:t>
      </w:r>
      <w:r>
        <w:rPr>
          <w:sz w:val="21"/>
          <w:szCs w:val="21"/>
        </w:rPr>
        <w:t xml:space="preserve"> </w:t>
      </w:r>
      <w:r>
        <w:rPr>
          <w:spacing w:val="20"/>
          <w:sz w:val="21"/>
          <w:szCs w:val="21"/>
        </w:rPr>
        <w:t>电缆末端的绝缘电阻值，用电容表测量标准水听器的电缆</w:t>
      </w:r>
      <w:r>
        <w:rPr>
          <w:spacing w:val="19"/>
          <w:sz w:val="21"/>
          <w:szCs w:val="21"/>
        </w:rPr>
        <w:t>末端的电容值，结果应符合</w:t>
      </w:r>
      <w:r>
        <w:rPr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5.1.1的要求。</w:t>
      </w:r>
    </w:p>
    <w:p>
      <w:pPr>
        <w:pStyle w:val="BodyText"/>
        <w:spacing w:before="77" w:line="268" w:lineRule="auto"/>
        <w:ind w:right="48" w:firstLine="469"/>
        <w:rPr>
          <w:sz w:val="21"/>
          <w:szCs w:val="21"/>
        </w:rPr>
        <w:sectPr>
          <w:headerReference w:type="default" r:id="rId23"/>
          <w:footerReference w:type="default" r:id="rId24"/>
          <w:pgSz w:w="10040" w:h="14660"/>
          <w:pgMar w:top="1479" w:right="640" w:bottom="857" w:left="799" w:header="1176" w:footer="719" w:gutter="0"/>
          <w:pgNumType w:start="9"/>
          <w:cols w:space="708"/>
        </w:sectPr>
      </w:pPr>
      <w:r>
        <w:rPr>
          <w:spacing w:val="21"/>
          <w:sz w:val="21"/>
          <w:szCs w:val="21"/>
        </w:rPr>
        <w:t>将标准水听器的电缆末端接到示波器上，用手轻轻敲击标准水听器的</w:t>
      </w:r>
      <w:r>
        <w:rPr>
          <w:spacing w:val="20"/>
          <w:sz w:val="21"/>
          <w:szCs w:val="21"/>
        </w:rPr>
        <w:t>敏感元件部</w:t>
      </w:r>
      <w:r>
        <w:rPr>
          <w:sz w:val="21"/>
          <w:szCs w:val="21"/>
        </w:rPr>
        <w:t xml:space="preserve"> </w:t>
      </w:r>
      <w:r>
        <w:rPr>
          <w:spacing w:val="15"/>
          <w:sz w:val="21"/>
          <w:szCs w:val="21"/>
        </w:rPr>
        <w:t>分，观察示波器上的电压显示，结果应符合5.1.2的要求。</w:t>
      </w:r>
    </w:p>
    <w:p>
      <w:pPr>
        <w:pStyle w:val="BodyText"/>
        <w:spacing w:before="71" w:line="330" w:lineRule="exact"/>
        <w:rPr>
          <w:sz w:val="21"/>
          <w:szCs w:val="21"/>
        </w:rPr>
      </w:pPr>
      <w:r>
        <w:rPr>
          <w:spacing w:val="6"/>
          <w:position w:val="8"/>
          <w:sz w:val="21"/>
          <w:szCs w:val="21"/>
        </w:rPr>
        <w:t>7.3.3</w:t>
      </w:r>
      <w:r>
        <w:rPr>
          <w:spacing w:val="30"/>
          <w:position w:val="8"/>
          <w:sz w:val="21"/>
          <w:szCs w:val="21"/>
        </w:rPr>
        <w:t xml:space="preserve">  </w:t>
      </w:r>
      <w:r>
        <w:rPr>
          <w:spacing w:val="6"/>
          <w:position w:val="8"/>
          <w:sz w:val="21"/>
          <w:szCs w:val="21"/>
        </w:rPr>
        <w:t>声压灵敏度级</w:t>
      </w:r>
    </w:p>
    <w:p>
      <w:pPr>
        <w:pStyle w:val="BodyText"/>
        <w:spacing w:line="219" w:lineRule="auto"/>
        <w:rPr>
          <w:sz w:val="21"/>
          <w:szCs w:val="21"/>
        </w:rPr>
      </w:pPr>
      <w:hyperlink r:id="rId25" w:history="1">
        <w:r>
          <w:rPr>
            <w:spacing w:val="1"/>
            <w:sz w:val="21"/>
            <w:szCs w:val="21"/>
          </w:rPr>
          <w:t>7.3.3.1</w:t>
        </w:r>
      </w:hyperlink>
      <w:r>
        <w:rPr>
          <w:spacing w:val="40"/>
          <w:sz w:val="21"/>
          <w:szCs w:val="21"/>
        </w:rPr>
        <w:t xml:space="preserve">  </w:t>
      </w:r>
      <w:r>
        <w:rPr>
          <w:spacing w:val="1"/>
          <w:sz w:val="21"/>
          <w:szCs w:val="21"/>
        </w:rPr>
        <w:t>检定装置</w:t>
      </w:r>
    </w:p>
    <w:p>
      <w:pPr>
        <w:pStyle w:val="BodyText"/>
        <w:spacing w:before="82" w:line="279" w:lineRule="auto"/>
        <w:ind w:right="80" w:firstLine="469"/>
        <w:jc w:val="both"/>
        <w:rPr>
          <w:sz w:val="21"/>
          <w:szCs w:val="21"/>
        </w:rPr>
      </w:pPr>
      <w:r>
        <w:rPr>
          <w:spacing w:val="16"/>
          <w:sz w:val="21"/>
          <w:szCs w:val="21"/>
        </w:rPr>
        <w:t>耦合腔互易法检定装置组成框图如图2所示。当</w:t>
      </w:r>
      <w:r>
        <w:rPr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F </w:t>
      </w:r>
      <w:r>
        <w:rPr>
          <w:spacing w:val="16"/>
          <w:sz w:val="21"/>
          <w:szCs w:val="21"/>
        </w:rPr>
        <w:t>发</w:t>
      </w:r>
      <w:r>
        <w:rPr>
          <w:spacing w:val="-27"/>
          <w:sz w:val="21"/>
          <w:szCs w:val="21"/>
        </w:rPr>
        <w:t xml:space="preserve"> </w:t>
      </w:r>
      <w:r>
        <w:rPr>
          <w:spacing w:val="16"/>
          <w:sz w:val="21"/>
          <w:szCs w:val="21"/>
        </w:rPr>
        <w:t>射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>J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spacing w:val="16"/>
          <w:sz w:val="21"/>
          <w:szCs w:val="21"/>
        </w:rPr>
        <w:t>接收时，断开</w:t>
      </w:r>
      <w:r>
        <w:rPr>
          <w:spacing w:val="-5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H  </w:t>
      </w:r>
      <w:r>
        <w:rPr>
          <w:spacing w:val="16"/>
          <w:sz w:val="21"/>
          <w:szCs w:val="21"/>
        </w:rPr>
        <w:t>与前置</w:t>
      </w:r>
      <w:r>
        <w:rPr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放大器2的连线；当</w:t>
      </w:r>
      <w:r>
        <w:rPr>
          <w:spacing w:val="-35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H 发</w:t>
      </w:r>
      <w:r>
        <w:rPr>
          <w:spacing w:val="-37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射J</w:t>
      </w:r>
      <w:r>
        <w:rPr>
          <w:spacing w:val="-43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接收时，断开</w:t>
      </w:r>
      <w:r>
        <w:rPr>
          <w:spacing w:val="-44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F 与电流取样器</w:t>
      </w:r>
      <w:r>
        <w:rPr>
          <w:spacing w:val="13"/>
          <w:sz w:val="21"/>
          <w:szCs w:val="21"/>
        </w:rPr>
        <w:t>的连线， H</w:t>
      </w:r>
      <w:r>
        <w:rPr>
          <w:spacing w:val="43"/>
          <w:sz w:val="21"/>
          <w:szCs w:val="21"/>
        </w:rPr>
        <w:t xml:space="preserve"> </w:t>
      </w:r>
      <w:r>
        <w:rPr>
          <w:spacing w:val="13"/>
          <w:sz w:val="21"/>
          <w:szCs w:val="21"/>
        </w:rPr>
        <w:t>与电流取样器</w:t>
      </w:r>
      <w:r>
        <w:rPr>
          <w:sz w:val="21"/>
          <w:szCs w:val="21"/>
        </w:rPr>
        <w:t xml:space="preserve"> </w:t>
      </w:r>
      <w:r>
        <w:rPr>
          <w:spacing w:val="18"/>
          <w:sz w:val="21"/>
          <w:szCs w:val="21"/>
        </w:rPr>
        <w:t>按图中虚线进行连线，并断开H</w:t>
      </w:r>
      <w:r>
        <w:rPr>
          <w:spacing w:val="59"/>
          <w:sz w:val="21"/>
          <w:szCs w:val="21"/>
        </w:rPr>
        <w:t xml:space="preserve"> </w:t>
      </w:r>
      <w:r>
        <w:rPr>
          <w:spacing w:val="18"/>
          <w:sz w:val="21"/>
          <w:szCs w:val="21"/>
        </w:rPr>
        <w:t>与前置放大器2的连线；当</w:t>
      </w:r>
      <w:r>
        <w:rPr>
          <w:spacing w:val="-55"/>
          <w:sz w:val="21"/>
          <w:szCs w:val="21"/>
        </w:rPr>
        <w:t xml:space="preserve"> </w:t>
      </w:r>
      <w:r>
        <w:rPr>
          <w:spacing w:val="18"/>
          <w:sz w:val="21"/>
          <w:szCs w:val="21"/>
        </w:rPr>
        <w:t>F 发</w:t>
      </w:r>
      <w:r>
        <w:rPr>
          <w:spacing w:val="-37"/>
          <w:sz w:val="21"/>
          <w:szCs w:val="21"/>
        </w:rPr>
        <w:t xml:space="preserve"> </w:t>
      </w:r>
      <w:r>
        <w:rPr>
          <w:spacing w:val="18"/>
          <w:sz w:val="21"/>
          <w:szCs w:val="21"/>
        </w:rPr>
        <w:t>射</w:t>
      </w:r>
      <w:r>
        <w:rPr>
          <w:spacing w:val="-53"/>
          <w:sz w:val="21"/>
          <w:szCs w:val="21"/>
        </w:rPr>
        <w:t xml:space="preserve"> </w:t>
      </w:r>
      <w:r>
        <w:rPr>
          <w:spacing w:val="18"/>
          <w:sz w:val="21"/>
          <w:szCs w:val="21"/>
        </w:rPr>
        <w:t>H</w:t>
      </w:r>
      <w:r>
        <w:rPr>
          <w:spacing w:val="43"/>
          <w:sz w:val="21"/>
          <w:szCs w:val="21"/>
        </w:rPr>
        <w:t xml:space="preserve"> </w:t>
      </w:r>
      <w:r>
        <w:rPr>
          <w:spacing w:val="18"/>
          <w:sz w:val="21"/>
          <w:szCs w:val="21"/>
        </w:rPr>
        <w:t>接收时，断开J</w:t>
      </w:r>
      <w:r>
        <w:rPr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 xml:space="preserve">与前置放大器1的连线， 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52"/>
          <w:w w:val="101"/>
          <w:sz w:val="21"/>
          <w:szCs w:val="21"/>
        </w:rPr>
        <w:t xml:space="preserve"> </w:t>
      </w:r>
      <w:r>
        <w:rPr>
          <w:spacing w:val="14"/>
          <w:sz w:val="21"/>
          <w:szCs w:val="21"/>
        </w:rPr>
        <w:t>与前置放大器2连接。</w:t>
      </w:r>
    </w:p>
    <w:p>
      <w:pPr>
        <w:spacing w:line="279" w:lineRule="auto"/>
        <w:rPr>
          <w:sz w:val="21"/>
          <w:szCs w:val="21"/>
        </w:rPr>
        <w:sectPr>
          <w:headerReference w:type="default" r:id="rId26"/>
          <w:footerReference w:type="default" r:id="rId27"/>
          <w:type w:val="nextPage"/>
          <w:pgSz w:w="10040" w:h="14660"/>
          <w:pgMar w:top="1479" w:right="640" w:bottom="857" w:left="799" w:header="1176" w:footer="719" w:gutter="0"/>
          <w:pgNumType w:start="10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line="4520" w:lineRule="exact"/>
        <w:ind w:firstLine="1599"/>
      </w:pPr>
      <w:r>
        <w:rPr>
          <w:position w:val="-90"/>
        </w:rPr>
        <w:pict>
          <v:group id="_x0000_i1025" style="width:270.55pt;height:226pt;mso-position-horizontal-relative:char;mso-position-vertical-relative:line" coordorigin="0,0" coordsize="5410,45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410;height:4520;position:absolute" filled="f" stroked="f">
              <v:imagedata r:id="rId2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140;height:4282;left:1190;position:absolute;top:107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118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31"/>
                        <w:sz w:val="20"/>
                        <w:szCs w:val="20"/>
                      </w:rPr>
                      <w:t>计算机</w:t>
                    </w:r>
                  </w:p>
                  <w:p>
                    <w:pPr>
                      <w:spacing w:line="32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0" w:lineRule="auto"/>
                      <w:ind w:left="41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20"/>
                        <w:szCs w:val="20"/>
                      </w:rPr>
                      <w:t>电子开关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0" w:lineRule="auto"/>
                      <w:ind w:left="181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32"/>
                        <w:sz w:val="20"/>
                        <w:szCs w:val="20"/>
                      </w:rPr>
                      <w:t>滤波器</w:t>
                    </w:r>
                  </w:p>
                  <w:p>
                    <w:pPr>
                      <w:spacing w:before="81" w:line="220" w:lineRule="auto"/>
                      <w:ind w:left="28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0"/>
                        <w:szCs w:val="20"/>
                      </w:rPr>
                      <w:t>前置放大器1</w:t>
                    </w:r>
                  </w:p>
                  <w:p>
                    <w:pPr>
                      <w:spacing w:before="131" w:line="220" w:lineRule="auto"/>
                      <w:ind w:left="163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0"/>
                        <w:szCs w:val="20"/>
                      </w:rPr>
                      <w:t>前置放大器2</w:t>
                    </w:r>
                  </w:p>
                  <w:p>
                    <w:pPr>
                      <w:spacing w:before="81" w:line="224" w:lineRule="auto"/>
                      <w:ind w:left="2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19"/>
                        <w:sz w:val="20"/>
                        <w:szCs w:val="20"/>
                      </w:rPr>
                      <w:t>耦合腔，</w:t>
                    </w:r>
                  </w:p>
                  <w:p>
                    <w:pPr>
                      <w:spacing w:line="4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96" w:lineRule="auto"/>
                      <w:ind w:left="189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0"/>
                        <w:szCs w:val="20"/>
                      </w:rPr>
                      <w:t xml:space="preserve">   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0"/>
                        <w:szCs w:val="20"/>
                      </w:rPr>
                      <w:t>H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1" w:lineRule="auto"/>
                      <w:ind w:right="9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0"/>
                        <w:szCs w:val="20"/>
                      </w:rPr>
                      <w:t>加压设备</w:t>
                    </w:r>
                  </w:p>
                </w:txbxContent>
              </v:textbox>
            </v:shape>
            <v:shape id="_x0000_s1028" type="#_x0000_t202" style="width:969;height:1460;left:90;position:absolute;top:1057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0"/>
                        <w:szCs w:val="20"/>
                      </w:rPr>
                      <w:t>信号发生器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0"/>
                        <w:szCs w:val="20"/>
                      </w:rPr>
                      <w:t>功率放大器</w:t>
                    </w:r>
                  </w:p>
                  <w:p>
                    <w:pPr>
                      <w:spacing w:line="3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0"/>
                        <w:szCs w:val="20"/>
                      </w:rPr>
                      <w:t>电流取样器</w:t>
                    </w:r>
                  </w:p>
                </w:txbxContent>
              </v:textbox>
            </v:shape>
            <v:shape id="_x0000_s1029" type="#_x0000_t202" style="width:1333;height:684;left:3910;position:absolute;top:3016" filled="f" stroked="f">
              <o:lock v:ext="edit" aspectratio="f"/>
              <v:textbox inset="0,0,0,0">
                <w:txbxContent>
                  <w:p>
                    <w:pPr>
                      <w:spacing w:before="19" w:line="209" w:lineRule="auto"/>
                      <w:ind w:left="20" w:right="20"/>
                      <w:jc w:val="both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1"/>
                        <w:sz w:val="20"/>
                        <w:szCs w:val="20"/>
                      </w:rPr>
                      <w:t>F—</w:t>
                    </w:r>
                    <w:r>
                      <w:rPr>
                        <w:rFonts w:ascii="Times New Roman" w:eastAsia="Times New Roman" w:hAnsi="Times New Roman" w:cs="Times New Roman"/>
                        <w:spacing w:val="-2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1"/>
                        <w:sz w:val="20"/>
                        <w:szCs w:val="20"/>
                      </w:rPr>
                      <w:t>发射换能器</w:t>
                    </w:r>
                    <w:r>
                      <w:rPr>
                        <w:rFonts w:ascii="SimHei" w:eastAsia="SimHei" w:hAnsi="SimHei" w:cs="Sim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20"/>
                        <w:szCs w:val="20"/>
                      </w:rPr>
                      <w:t xml:space="preserve">J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0"/>
                        <w:szCs w:val="20"/>
                      </w:rPr>
                      <w:t>一标准水听器</w:t>
                    </w:r>
                    <w:r>
                      <w:rPr>
                        <w:rFonts w:ascii="SimSun" w:eastAsia="SimSun" w:hAnsi="SimSun" w:cs="SimSun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8"/>
                        <w:sz w:val="20"/>
                        <w:szCs w:val="20"/>
                      </w:rPr>
                      <w:t>H</w:t>
                    </w:r>
                    <w:r>
                      <w:rPr>
                        <w:rFonts w:ascii="FangSong" w:eastAsia="FangSong" w:hAnsi="FangSong" w:cs="FangSong"/>
                        <w:spacing w:val="-8"/>
                        <w:sz w:val="20"/>
                        <w:szCs w:val="20"/>
                      </w:rPr>
                      <w:t>一互易换能器</w:t>
                    </w:r>
                  </w:p>
                </w:txbxContent>
              </v:textbox>
            </v:shape>
            <v:shape id="_x0000_s1030" type="#_x0000_t202" style="width:959;height:920;left:4380;position:absolute;top:1057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20"/>
                        <w:szCs w:val="20"/>
                      </w:rPr>
                      <w:t>数字电压表</w:t>
                    </w:r>
                  </w:p>
                  <w:p>
                    <w:pPr>
                      <w:spacing w:line="3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0" w:lineRule="auto"/>
                      <w:ind w:left="10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35"/>
                        <w:sz w:val="20"/>
                        <w:szCs w:val="20"/>
                      </w:rPr>
                      <w:t>示波器</w:t>
                    </w:r>
                  </w:p>
                </w:txbxContent>
              </v:textbox>
            </v:shape>
            <v:shape id="_x0000_s1031" type="#_x0000_t202" style="width:948;height:240;left:2889;position:absolute;top:105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right="1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20"/>
                        <w:szCs w:val="20"/>
                      </w:rPr>
                      <w:t>测量放大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0"/>
                        <w:szCs w:val="20"/>
                      </w:rPr>
                      <w:t>器</w:t>
                    </w:r>
                  </w:p>
                </w:txbxContent>
              </v:textbox>
            </v:shape>
            <v:shape id="_x0000_s1032" type="#_x0000_t202" style="width:587;height:240;left:170;position:absolute;top:408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right="2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0"/>
                        <w:szCs w:val="20"/>
                      </w:rPr>
                      <w:t>温度计</w:t>
                    </w:r>
                  </w:p>
                </w:txbxContent>
              </v:textbox>
            </v:shape>
            <v:shape id="_x0000_s1033" type="#_x0000_t202" style="width:86;height:121;left:1890;position:absolute;top:2969" filled="f" stroked="f">
              <o:lock v:ext="edit" aspectratio="f"/>
              <v:textbox inset="0,0,0,0">
                <w:txbxContent>
                  <w:p>
                    <w:pPr>
                      <w:spacing w:before="19" w:line="182" w:lineRule="auto"/>
                      <w:ind w:left="20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sz w:val="10"/>
                        <w:szCs w:val="10"/>
                      </w:rPr>
                      <w:t>J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8" w:line="219" w:lineRule="auto"/>
        <w:ind w:left="2679"/>
        <w:rPr>
          <w:sz w:val="20"/>
          <w:szCs w:val="20"/>
        </w:rPr>
      </w:pPr>
      <w:r>
        <w:rPr>
          <w:spacing w:val="-6"/>
          <w:sz w:val="20"/>
          <w:szCs w:val="20"/>
        </w:rPr>
        <w:t>图</w:t>
      </w:r>
      <w:r>
        <w:rPr>
          <w:spacing w:val="-22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2  耦合腔互易法检定装置组成框图</w:t>
      </w:r>
    </w:p>
    <w:p>
      <w:pPr>
        <w:pStyle w:val="BodyText"/>
        <w:spacing w:before="92" w:line="219" w:lineRule="auto"/>
        <w:ind w:left="19"/>
        <w:rPr>
          <w:sz w:val="20"/>
          <w:szCs w:val="20"/>
        </w:rPr>
      </w:pPr>
      <w:hyperlink r:id="rId29" w:history="1">
        <w:r>
          <w:rPr>
            <w:spacing w:val="8"/>
            <w:sz w:val="20"/>
            <w:szCs w:val="20"/>
          </w:rPr>
          <w:t>7.3.3.2</w:t>
        </w:r>
      </w:hyperlink>
      <w:r>
        <w:rPr>
          <w:spacing w:val="45"/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检定步骤</w:t>
      </w:r>
    </w:p>
    <w:p>
      <w:pPr>
        <w:pStyle w:val="BodyText"/>
        <w:spacing w:before="102" w:line="219" w:lineRule="auto"/>
        <w:ind w:left="449"/>
        <w:rPr>
          <w:sz w:val="20"/>
          <w:szCs w:val="20"/>
        </w:rPr>
      </w:pPr>
      <w:r>
        <w:rPr>
          <w:spacing w:val="22"/>
          <w:sz w:val="20"/>
          <w:szCs w:val="20"/>
        </w:rPr>
        <w:t>1)检定前作如下准备：</w:t>
      </w:r>
    </w:p>
    <w:p>
      <w:pPr>
        <w:pStyle w:val="BodyText"/>
        <w:spacing w:before="70" w:line="212" w:lineRule="auto"/>
        <w:ind w:left="44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a)  </w:t>
      </w:r>
      <w:r>
        <w:rPr>
          <w:spacing w:val="19"/>
          <w:sz w:val="20"/>
          <w:szCs w:val="20"/>
        </w:rPr>
        <w:t>用卷尺测量标准水听器的电缆长度；</w:t>
      </w:r>
    </w:p>
    <w:p>
      <w:pPr>
        <w:pStyle w:val="BodyText"/>
        <w:spacing w:before="110" w:line="272" w:lineRule="auto"/>
        <w:ind w:left="19" w:right="79" w:firstLine="43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b)  </w:t>
      </w:r>
      <w:r>
        <w:rPr>
          <w:spacing w:val="27"/>
          <w:sz w:val="20"/>
          <w:szCs w:val="20"/>
        </w:rPr>
        <w:t>在耦合腔上安装发射换能器和互易换能器，用量</w:t>
      </w:r>
      <w:r>
        <w:rPr>
          <w:spacing w:val="26"/>
          <w:sz w:val="20"/>
          <w:szCs w:val="20"/>
        </w:rPr>
        <w:t>筒和无水乙醇精确测量耦合腔</w:t>
      </w:r>
      <w:r>
        <w:rPr>
          <w:sz w:val="20"/>
          <w:szCs w:val="20"/>
        </w:rPr>
        <w:t xml:space="preserve"> </w:t>
      </w:r>
      <w:r>
        <w:rPr>
          <w:spacing w:val="25"/>
          <w:sz w:val="20"/>
          <w:szCs w:val="20"/>
        </w:rPr>
        <w:t>的腔体体积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V₁  </w:t>
      </w:r>
      <w:r>
        <w:rPr>
          <w:spacing w:val="25"/>
          <w:sz w:val="20"/>
          <w:szCs w:val="20"/>
        </w:rPr>
        <w:t>和标准水听器的体积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V₂,    </w:t>
      </w:r>
      <w:r>
        <w:rPr>
          <w:spacing w:val="25"/>
          <w:sz w:val="20"/>
          <w:szCs w:val="20"/>
        </w:rPr>
        <w:t>按照公式(1)计算腔体内液体媒质的体积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>V:</w:t>
      </w:r>
    </w:p>
    <w:p>
      <w:pPr>
        <w:pStyle w:val="BodyText"/>
        <w:spacing w:before="114" w:line="193" w:lineRule="auto"/>
        <w:ind w:left="365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V=V₁-V₂                                                  </w:t>
      </w:r>
      <w:r>
        <w:rPr>
          <w:spacing w:val="-2"/>
          <w:sz w:val="20"/>
          <w:szCs w:val="20"/>
        </w:rPr>
        <w:t>(1)</w:t>
      </w:r>
    </w:p>
    <w:p>
      <w:pPr>
        <w:pStyle w:val="BodyText"/>
        <w:spacing w:before="69" w:line="267" w:lineRule="auto"/>
        <w:ind w:left="19" w:right="69" w:firstLine="430"/>
        <w:rPr>
          <w:sz w:val="20"/>
          <w:szCs w:val="20"/>
        </w:rPr>
      </w:pPr>
      <w:r>
        <w:rPr>
          <w:spacing w:val="24"/>
          <w:sz w:val="20"/>
          <w:szCs w:val="20"/>
        </w:rPr>
        <w:t>c)</w:t>
      </w:r>
      <w:r>
        <w:rPr>
          <w:spacing w:val="-4"/>
          <w:sz w:val="20"/>
          <w:szCs w:val="20"/>
        </w:rPr>
        <w:t xml:space="preserve"> </w:t>
      </w:r>
      <w:r>
        <w:rPr>
          <w:spacing w:val="24"/>
          <w:sz w:val="20"/>
          <w:szCs w:val="20"/>
        </w:rPr>
        <w:t>耦合腔加满蒸馏水或其他液体媒质，浸泡至少1</w:t>
      </w:r>
      <w:r>
        <w:rPr>
          <w:spacing w:val="-50"/>
          <w:sz w:val="20"/>
          <w:szCs w:val="20"/>
        </w:rPr>
        <w:t xml:space="preserve"> </w:t>
      </w:r>
      <w:r>
        <w:rPr>
          <w:spacing w:val="24"/>
          <w:sz w:val="20"/>
          <w:szCs w:val="20"/>
        </w:rPr>
        <w:t>h,</w:t>
      </w:r>
      <w:r>
        <w:rPr>
          <w:spacing w:val="55"/>
          <w:sz w:val="20"/>
          <w:szCs w:val="20"/>
        </w:rPr>
        <w:t xml:space="preserve"> </w:t>
      </w:r>
      <w:r>
        <w:rPr>
          <w:spacing w:val="24"/>
          <w:sz w:val="20"/>
          <w:szCs w:val="20"/>
        </w:rPr>
        <w:t>使腔内的发射换能器、互易</w:t>
      </w:r>
      <w:r>
        <w:rPr>
          <w:sz w:val="20"/>
          <w:szCs w:val="20"/>
        </w:rPr>
        <w:t xml:space="preserve"> </w:t>
      </w:r>
      <w:r>
        <w:rPr>
          <w:spacing w:val="20"/>
          <w:sz w:val="20"/>
          <w:szCs w:val="20"/>
        </w:rPr>
        <w:t>换能器与液体媒质充分浸润；</w:t>
      </w:r>
    </w:p>
    <w:p>
      <w:pPr>
        <w:pStyle w:val="BodyText"/>
        <w:spacing w:before="70" w:line="284" w:lineRule="auto"/>
        <w:ind w:left="19" w:right="78" w:firstLine="43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d)  </w:t>
      </w:r>
      <w:r>
        <w:rPr>
          <w:spacing w:val="27"/>
          <w:sz w:val="20"/>
          <w:szCs w:val="20"/>
        </w:rPr>
        <w:t>使用对橡胶和金属无腐蚀作用的洗涤剂擦洗</w:t>
      </w:r>
      <w:r>
        <w:rPr>
          <w:spacing w:val="26"/>
          <w:sz w:val="20"/>
          <w:szCs w:val="20"/>
        </w:rPr>
        <w:t>其表面，在检定所用液体媒质中浸</w:t>
      </w:r>
      <w:r>
        <w:rPr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泡 1</w:t>
      </w:r>
      <w:r>
        <w:rPr>
          <w:spacing w:val="-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后；将标准水听器安装在耦合腔内，其</w:t>
      </w:r>
      <w:r>
        <w:rPr>
          <w:spacing w:val="22"/>
          <w:sz w:val="20"/>
          <w:szCs w:val="20"/>
        </w:rPr>
        <w:t>外形尺寸和结构应与腔体上安装孔的尺寸</w:t>
      </w:r>
      <w:r>
        <w:rPr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和结构相一致；</w:t>
      </w:r>
    </w:p>
    <w:p>
      <w:pPr>
        <w:pStyle w:val="BodyText"/>
        <w:spacing w:before="88" w:line="212" w:lineRule="auto"/>
        <w:ind w:left="44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e)  </w:t>
      </w:r>
      <w:r>
        <w:rPr>
          <w:spacing w:val="19"/>
          <w:sz w:val="20"/>
          <w:szCs w:val="20"/>
        </w:rPr>
        <w:t>安装完毕后，排除腔体内部的气泡；</w:t>
      </w:r>
    </w:p>
    <w:p>
      <w:pPr>
        <w:pStyle w:val="BodyText"/>
        <w:spacing w:before="131" w:line="253" w:lineRule="auto"/>
        <w:ind w:left="19" w:right="80" w:firstLine="430"/>
        <w:rPr>
          <w:sz w:val="20"/>
          <w:szCs w:val="20"/>
        </w:rPr>
      </w:pPr>
      <w:r>
        <w:rPr>
          <w:spacing w:val="29"/>
          <w:sz w:val="20"/>
          <w:szCs w:val="20"/>
        </w:rPr>
        <w:t>f)</w:t>
      </w:r>
      <w:r>
        <w:rPr>
          <w:spacing w:val="-49"/>
          <w:sz w:val="20"/>
          <w:szCs w:val="20"/>
        </w:rPr>
        <w:t xml:space="preserve"> </w:t>
      </w:r>
      <w:r>
        <w:rPr>
          <w:spacing w:val="29"/>
          <w:sz w:val="20"/>
          <w:szCs w:val="20"/>
        </w:rPr>
        <w:t>除气完成后，用加压设备加压，使耦合</w:t>
      </w:r>
      <w:r>
        <w:rPr>
          <w:spacing w:val="28"/>
          <w:sz w:val="20"/>
          <w:szCs w:val="20"/>
        </w:rPr>
        <w:t>腔内的静水压力达到检定所需的工作压</w:t>
      </w:r>
      <w:r>
        <w:rPr>
          <w:sz w:val="20"/>
          <w:szCs w:val="20"/>
        </w:rPr>
        <w:t xml:space="preserve"> </w:t>
      </w:r>
      <w:r>
        <w:rPr>
          <w:spacing w:val="21"/>
          <w:sz w:val="20"/>
          <w:szCs w:val="20"/>
        </w:rPr>
        <w:t>力，并保压1</w:t>
      </w:r>
      <w:r>
        <w:rPr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h,   </w:t>
      </w:r>
      <w:r>
        <w:rPr>
          <w:spacing w:val="21"/>
          <w:sz w:val="20"/>
          <w:szCs w:val="20"/>
        </w:rPr>
        <w:t>使腔体内部达到压</w:t>
      </w:r>
      <w:r>
        <w:rPr>
          <w:spacing w:val="20"/>
          <w:sz w:val="20"/>
          <w:szCs w:val="20"/>
        </w:rPr>
        <w:t>力平衡；</w:t>
      </w:r>
    </w:p>
    <w:p>
      <w:pPr>
        <w:pStyle w:val="BodyText"/>
        <w:spacing w:before="101" w:line="268" w:lineRule="auto"/>
        <w:ind w:left="19" w:right="46" w:firstLine="43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g)</w:t>
      </w:r>
      <w:r>
        <w:rPr>
          <w:rFonts w:ascii="Times New Roman" w:eastAsia="Times New Roman" w:hAnsi="Times New Roman" w:cs="Times New Roman"/>
          <w:spacing w:val="19"/>
          <w:w w:val="101"/>
          <w:sz w:val="20"/>
          <w:szCs w:val="20"/>
        </w:rPr>
        <w:t xml:space="preserve">  </w:t>
      </w:r>
      <w:r>
        <w:rPr>
          <w:spacing w:val="18"/>
          <w:sz w:val="20"/>
          <w:szCs w:val="20"/>
        </w:rPr>
        <w:t>必要时，可对发射换能器和互易换能器进行检</w:t>
      </w:r>
      <w:r>
        <w:rPr>
          <w:spacing w:val="17"/>
          <w:sz w:val="20"/>
          <w:szCs w:val="20"/>
        </w:rPr>
        <w:t>查，其结果应符合</w:t>
      </w:r>
      <w:r>
        <w:rPr>
          <w:spacing w:val="-57"/>
          <w:sz w:val="20"/>
          <w:szCs w:val="20"/>
        </w:rPr>
        <w:t xml:space="preserve"> </w:t>
      </w:r>
      <w:hyperlink r:id="rId15" w:history="1">
        <w:r>
          <w:rPr>
            <w:spacing w:val="17"/>
            <w:sz w:val="20"/>
            <w:szCs w:val="20"/>
          </w:rPr>
          <w:t>7</w:t>
        </w:r>
        <w:r>
          <w:rPr>
            <w:spacing w:val="-57"/>
            <w:sz w:val="20"/>
            <w:szCs w:val="20"/>
          </w:rPr>
          <w:t xml:space="preserve"> </w:t>
        </w:r>
        <w:r>
          <w:rPr>
            <w:spacing w:val="17"/>
            <w:sz w:val="20"/>
            <w:szCs w:val="20"/>
          </w:rPr>
          <w:t>.</w:t>
        </w:r>
        <w:r>
          <w:rPr>
            <w:spacing w:val="-48"/>
            <w:sz w:val="20"/>
            <w:szCs w:val="20"/>
          </w:rPr>
          <w:t xml:space="preserve"> </w:t>
        </w:r>
        <w:r>
          <w:rPr>
            <w:spacing w:val="17"/>
            <w:sz w:val="20"/>
            <w:szCs w:val="20"/>
          </w:rPr>
          <w:t>1</w:t>
        </w:r>
        <w:r>
          <w:rPr>
            <w:spacing w:val="-57"/>
            <w:sz w:val="20"/>
            <w:szCs w:val="20"/>
          </w:rPr>
          <w:t xml:space="preserve"> </w:t>
        </w:r>
        <w:r>
          <w:rPr>
            <w:spacing w:val="17"/>
            <w:sz w:val="20"/>
            <w:szCs w:val="20"/>
          </w:rPr>
          <w:t>.</w:t>
        </w:r>
        <w:r>
          <w:rPr>
            <w:spacing w:val="-60"/>
            <w:sz w:val="20"/>
            <w:szCs w:val="20"/>
          </w:rPr>
          <w:t xml:space="preserve"> </w:t>
        </w:r>
        <w:r>
          <w:rPr>
            <w:spacing w:val="17"/>
            <w:sz w:val="20"/>
            <w:szCs w:val="20"/>
          </w:rPr>
          <w:t>2</w:t>
        </w:r>
        <w:r>
          <w:rPr>
            <w:spacing w:val="-57"/>
            <w:sz w:val="20"/>
            <w:szCs w:val="20"/>
          </w:rPr>
          <w:t xml:space="preserve"> </w:t>
        </w:r>
        <w:r>
          <w:rPr>
            <w:spacing w:val="17"/>
            <w:sz w:val="20"/>
            <w:szCs w:val="20"/>
          </w:rPr>
          <w:t>.</w:t>
        </w:r>
        <w:r>
          <w:rPr>
            <w:spacing w:val="-60"/>
            <w:sz w:val="20"/>
            <w:szCs w:val="20"/>
          </w:rPr>
          <w:t xml:space="preserve"> </w:t>
        </w:r>
        <w:r>
          <w:rPr>
            <w:spacing w:val="17"/>
            <w:sz w:val="20"/>
            <w:szCs w:val="20"/>
          </w:rPr>
          <w:t>2</w:t>
        </w:r>
      </w:hyperlink>
      <w:r>
        <w:rPr>
          <w:spacing w:val="17"/>
          <w:sz w:val="20"/>
          <w:szCs w:val="20"/>
        </w:rPr>
        <w:t xml:space="preserve"> 中第</w:t>
      </w:r>
      <w:r>
        <w:rPr>
          <w:sz w:val="20"/>
          <w:szCs w:val="20"/>
        </w:rPr>
        <w:t xml:space="preserve"> </w:t>
      </w:r>
      <w:r>
        <w:rPr>
          <w:spacing w:val="25"/>
          <w:sz w:val="20"/>
          <w:szCs w:val="20"/>
        </w:rPr>
        <w:t>1)条的要求。</w:t>
      </w:r>
    </w:p>
    <w:p>
      <w:pPr>
        <w:pStyle w:val="BodyText"/>
        <w:spacing w:before="102" w:line="219" w:lineRule="auto"/>
        <w:ind w:left="449"/>
        <w:rPr>
          <w:sz w:val="20"/>
          <w:szCs w:val="20"/>
        </w:rPr>
        <w:sectPr>
          <w:headerReference w:type="default" r:id="rId30"/>
          <w:footerReference w:type="default" r:id="rId31"/>
          <w:pgSz w:w="10040" w:h="14660"/>
          <w:pgMar w:top="1440" w:right="799" w:bottom="888" w:left="630" w:header="1134" w:footer="749" w:gutter="0"/>
          <w:pgNumType w:start="11"/>
          <w:cols w:space="708"/>
        </w:sectPr>
      </w:pPr>
      <w:r>
        <w:rPr>
          <w:spacing w:val="28"/>
          <w:sz w:val="20"/>
          <w:szCs w:val="20"/>
        </w:rPr>
        <w:t>2)按图2所示连接各测量仪器、耦合腔各部分及标准水听器；</w:t>
      </w:r>
    </w:p>
    <w:p>
      <w:pPr>
        <w:pStyle w:val="BodyText"/>
        <w:spacing w:before="70" w:line="212" w:lineRule="auto"/>
        <w:ind w:lef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25"/>
          <w:sz w:val="20"/>
          <w:szCs w:val="20"/>
        </w:rPr>
        <w:t xml:space="preserve">3)开启所有仪器设备，并预热15 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>;</w:t>
      </w:r>
    </w:p>
    <w:p>
      <w:pPr>
        <w:pStyle w:val="BodyText"/>
        <w:spacing w:before="123" w:line="219" w:lineRule="auto"/>
        <w:ind w:left="449"/>
        <w:rPr>
          <w:sz w:val="20"/>
          <w:szCs w:val="20"/>
        </w:rPr>
      </w:pPr>
      <w:r>
        <w:rPr>
          <w:spacing w:val="24"/>
          <w:sz w:val="20"/>
          <w:szCs w:val="20"/>
        </w:rPr>
        <w:t>4)把功率放大器的放大量调到适宜值；</w:t>
      </w:r>
    </w:p>
    <w:p>
      <w:pPr>
        <w:pStyle w:val="BodyText"/>
        <w:spacing w:before="82" w:line="262" w:lineRule="auto"/>
        <w:ind w:left="19" w:right="46" w:firstLine="4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31"/>
          <w:sz w:val="20"/>
          <w:szCs w:val="20"/>
        </w:rPr>
        <w:t>5)在有、无信号发射时，用数字电压表或示波器测量信号与背景干扰的</w:t>
      </w:r>
      <w:r>
        <w:rPr>
          <w:spacing w:val="30"/>
          <w:sz w:val="20"/>
          <w:szCs w:val="20"/>
        </w:rPr>
        <w:t>大小，信</w:t>
      </w:r>
      <w:r>
        <w:rPr>
          <w:sz w:val="20"/>
          <w:szCs w:val="20"/>
        </w:rPr>
        <w:t xml:space="preserve"> </w:t>
      </w:r>
      <w:r>
        <w:rPr>
          <w:spacing w:val="17"/>
          <w:sz w:val="20"/>
          <w:szCs w:val="20"/>
        </w:rPr>
        <w:t>噪比不应小于30</w:t>
      </w:r>
      <w:r>
        <w:rPr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;</w:t>
      </w:r>
    </w:p>
    <w:p>
      <w:pPr>
        <w:spacing w:line="262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32"/>
          <w:footerReference w:type="default" r:id="rId33"/>
          <w:type w:val="nextPage"/>
          <w:pgSz w:w="10040" w:h="14660"/>
          <w:pgMar w:top="1440" w:right="799" w:bottom="888" w:left="630" w:header="1134" w:footer="749" w:gutter="0"/>
          <w:pgNumType w:start="12"/>
          <w:cols w:space="708"/>
          <w:titlePg w:val="0"/>
        </w:sectPr>
      </w:pPr>
    </w:p>
    <w:p>
      <w:pPr>
        <w:pStyle w:val="BodyText"/>
        <w:spacing w:before="194" w:line="252" w:lineRule="auto"/>
        <w:ind w:left="19" w:right="17" w:firstLine="460"/>
        <w:rPr>
          <w:sz w:val="21"/>
          <w:szCs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2819393</wp:posOffset>
            </wp:positionH>
            <wp:positionV relativeFrom="page">
              <wp:posOffset>8331179</wp:posOffset>
            </wp:positionV>
            <wp:extent cx="857236" cy="29844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36" cy="298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8"/>
          <w:sz w:val="21"/>
          <w:szCs w:val="21"/>
        </w:rPr>
        <w:t xml:space="preserve">6)将检定装置的工作频率设置到500 </w:t>
      </w:r>
      <w:r>
        <w:rPr>
          <w:rFonts w:ascii="Times New Roman" w:eastAsia="Times New Roman" w:hAnsi="Times New Roman" w:cs="Times New Roman"/>
          <w:sz w:val="21"/>
          <w:szCs w:val="21"/>
        </w:rPr>
        <w:t>Hz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,   </w:t>
      </w:r>
      <w:r>
        <w:rPr>
          <w:spacing w:val="18"/>
          <w:sz w:val="21"/>
          <w:szCs w:val="21"/>
        </w:rPr>
        <w:t>选择功率放大器的匹配挡，把放大量调</w:t>
      </w:r>
      <w:r>
        <w:rPr>
          <w:spacing w:val="11"/>
          <w:sz w:val="21"/>
          <w:szCs w:val="21"/>
        </w:rPr>
        <w:t xml:space="preserve"> </w:t>
      </w:r>
      <w:r>
        <w:rPr>
          <w:spacing w:val="11"/>
          <w:sz w:val="21"/>
          <w:szCs w:val="21"/>
        </w:rPr>
        <w:t>到适宜值，标准水听器的输出波形应无明显畸变；</w:t>
      </w:r>
    </w:p>
    <w:p>
      <w:pPr>
        <w:pStyle w:val="BodyText"/>
        <w:spacing w:before="79" w:line="219" w:lineRule="auto"/>
        <w:ind w:left="499"/>
        <w:rPr>
          <w:sz w:val="21"/>
          <w:szCs w:val="21"/>
        </w:rPr>
      </w:pPr>
      <w:r>
        <w:rPr>
          <w:spacing w:val="14"/>
          <w:sz w:val="21"/>
          <w:szCs w:val="21"/>
        </w:rPr>
        <w:t>7)选择测量的频率和静水压值；</w:t>
      </w:r>
    </w:p>
    <w:p>
      <w:pPr>
        <w:pStyle w:val="BodyText"/>
        <w:spacing w:before="91" w:line="247" w:lineRule="auto"/>
        <w:ind w:left="39" w:right="35" w:firstLine="440"/>
        <w:rPr>
          <w:sz w:val="21"/>
          <w:szCs w:val="21"/>
        </w:rPr>
      </w:pPr>
      <w:r>
        <w:rPr>
          <w:spacing w:val="24"/>
          <w:sz w:val="21"/>
          <w:szCs w:val="21"/>
        </w:rPr>
        <w:t>8)按图3所示的流程图进行电转移阻抗模值的测量，当</w:t>
      </w:r>
      <w:r>
        <w:rPr>
          <w:spacing w:val="23"/>
          <w:sz w:val="21"/>
          <w:szCs w:val="21"/>
        </w:rPr>
        <w:t>程控仪器调至面板控制状</w:t>
      </w:r>
      <w:r>
        <w:rPr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态时也可进行人工手动逐点测量；</w:t>
      </w:r>
    </w:p>
    <w:p>
      <w:pPr>
        <w:pStyle w:val="BodyText"/>
        <w:spacing w:before="110" w:line="4790" w:lineRule="exact"/>
        <w:ind w:firstLine="1639"/>
      </w:pPr>
      <w:r>
        <w:rPr>
          <w:position w:val="-95"/>
        </w:rPr>
        <w:pict>
          <v:group id="_x0000_i1034" style="width:265.55pt;height:239.55pt;mso-position-horizontal-relative:char;mso-position-vertical-relative:line" coordorigin="0,0" coordsize="5310,4791" filled="f" stroked="f">
            <v:shape id="_x0000_s1035" type="#_x0000_t75" style="width:5310;height:4791;position:absolute" filled="f" stroked="f">
              <v:imagedata r:id="rId35" o:title=""/>
            </v:shape>
            <v:shape id="_x0000_s1036" type="#_x0000_t202" style="width:5137;height:3828;left:90;position:absolute;top:43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1"/>
                      <w:tblW w:w="5097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2554"/>
                      <w:gridCol w:w="2543"/>
                    </w:tblGrid>
                    <w:tr>
                      <w:tblPrEx>
                        <w:tblW w:w="5097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620"/>
                      </w:trPr>
                      <w:tc>
                        <w:tcPr>
                          <w:tcW w:w="2554" w:type="dxa"/>
                          <w:vAlign w:val="top"/>
                        </w:tcPr>
                        <w:p>
                          <w:pPr>
                            <w:spacing w:before="19" w:line="185" w:lineRule="auto"/>
                            <w:ind w:left="189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19"/>
                              <w:szCs w:val="19"/>
                            </w:rPr>
                            <w:t>设定工作频率和</w:t>
                          </w:r>
                        </w:p>
                        <w:p>
                          <w:pPr>
                            <w:spacing w:line="220" w:lineRule="auto"/>
                            <w:ind w:left="26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19"/>
                              <w:szCs w:val="19"/>
                            </w:rPr>
                            <w:t>各种工作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18"/>
                              <w:szCs w:val="18"/>
                            </w:rPr>
                            <w:t>参数</w:t>
                          </w:r>
                        </w:p>
                      </w:tc>
                      <w:tc>
                        <w:tcPr>
                          <w:tcW w:w="2543" w:type="dxa"/>
                          <w:vAlign w:val="top"/>
                        </w:tcPr>
                        <w:p>
                          <w:pPr>
                            <w:spacing w:line="203" w:lineRule="auto"/>
                            <w:ind w:left="1185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19"/>
                              <w:szCs w:val="19"/>
                            </w:rPr>
                            <w:t>电子开关转到</w:t>
                          </w:r>
                        </w:p>
                        <w:p>
                          <w:pPr>
                            <w:spacing w:line="219" w:lineRule="auto"/>
                            <w:ind w:left="1025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9"/>
                              <w:sz w:val="19"/>
                              <w:szCs w:val="19"/>
                            </w:rPr>
                            <w:t>开路电压取样信号</w:t>
                          </w:r>
                        </w:p>
                      </w:tc>
                    </w:tr>
                    <w:tr>
                      <w:tblPrEx>
                        <w:tblW w:w="5097" w:type="dxa"/>
                        <w:tblInd w:w="20" w:type="dxa"/>
                        <w:tblLayout w:type="fixed"/>
                      </w:tblPrEx>
                      <w:trPr>
                        <w:trHeight w:val="860"/>
                      </w:trPr>
                      <w:tc>
                        <w:tcPr>
                          <w:tcW w:w="2554" w:type="dxa"/>
                          <w:vAlign w:val="top"/>
                        </w:tcPr>
                        <w:p>
                          <w:pPr>
                            <w:spacing w:line="27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2" w:line="221" w:lineRule="auto"/>
                            <w:ind w:left="169"/>
                            <w:rPr>
                              <w:rFonts w:ascii="SimHei" w:eastAsia="SimHei" w:hAnsi="SimHei" w:cs="Sim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19"/>
                              <w:szCs w:val="19"/>
                            </w:rPr>
                            <w:t>信号发生器输出</w:t>
                          </w:r>
                        </w:p>
                      </w:tc>
                      <w:tc>
                        <w:tcPr>
                          <w:tcW w:w="2543" w:type="dxa"/>
                          <w:vAlign w:val="top"/>
                        </w:tcPr>
                        <w:p>
                          <w:pPr>
                            <w:spacing w:before="219" w:line="213" w:lineRule="auto"/>
                            <w:ind w:left="955" w:firstLine="60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19"/>
                              <w:szCs w:val="19"/>
                            </w:rPr>
                            <w:t>开路电压信号经过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6"/>
                              <w:w w:val="91"/>
                              <w:sz w:val="21"/>
                              <w:szCs w:val="21"/>
                            </w:rPr>
                            <w:t>测量放大器</w:t>
                          </w:r>
                          <w:r>
                            <w:rPr>
                              <w:rFonts w:ascii="SimSun" w:eastAsia="SimSun" w:hAnsi="SimSun" w:cs="SimSun"/>
                              <w:spacing w:val="-15"/>
                              <w:w w:val="91"/>
                              <w:sz w:val="21"/>
                              <w:szCs w:val="21"/>
                            </w:rPr>
                            <w:t>和滤波</w:t>
                          </w:r>
                          <w:r>
                            <w:rPr>
                              <w:rFonts w:ascii="SimSun" w:eastAsia="SimSun" w:hAnsi="SimSun" w:cs="SimSun"/>
                              <w:spacing w:val="-10"/>
                              <w:w w:val="91"/>
                              <w:sz w:val="21"/>
                              <w:szCs w:val="21"/>
                            </w:rPr>
                            <w:t>器</w:t>
                          </w:r>
                        </w:p>
                      </w:tc>
                    </w:tr>
                    <w:tr>
                      <w:tblPrEx>
                        <w:tblW w:w="5097" w:type="dxa"/>
                        <w:tblInd w:w="20" w:type="dxa"/>
                        <w:tblLayout w:type="fixed"/>
                      </w:tblPrEx>
                      <w:trPr>
                        <w:trHeight w:val="839"/>
                      </w:trPr>
                      <w:tc>
                        <w:tcPr>
                          <w:tcW w:w="2554" w:type="dxa"/>
                          <w:vAlign w:val="top"/>
                        </w:tcPr>
                        <w:p>
                          <w:pPr>
                            <w:spacing w:before="229" w:line="189" w:lineRule="auto"/>
                            <w:ind w:left="269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19"/>
                              <w:szCs w:val="19"/>
                            </w:rPr>
                            <w:t>电子开关转到</w:t>
                          </w:r>
                        </w:p>
                        <w:p>
                          <w:pPr>
                            <w:spacing w:line="206" w:lineRule="auto"/>
                            <w:ind w:left="260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9"/>
                              <w:w w:val="97"/>
                              <w:sz w:val="21"/>
                              <w:szCs w:val="21"/>
                            </w:rPr>
                            <w:t>电流取样信号</w:t>
                          </w:r>
                        </w:p>
                      </w:tc>
                      <w:tc>
                        <w:tcPr>
                          <w:tcW w:w="2543" w:type="dxa"/>
                          <w:vAlign w:val="top"/>
                        </w:tcPr>
                        <w:p>
                          <w:pPr>
                            <w:spacing w:before="218" w:line="206" w:lineRule="auto"/>
                            <w:ind w:left="1185" w:right="159" w:hanging="49"/>
                            <w:rPr>
                              <w:rFonts w:ascii="FangSong" w:eastAsia="FangSong" w:hAnsi="FangSong" w:cs="FangSong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2"/>
                              <w:sz w:val="19"/>
                              <w:szCs w:val="19"/>
                            </w:rPr>
                            <w:t>电压表进行采集</w:t>
                          </w:r>
                          <w:r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FangSong" w:eastAsia="FangSong" w:hAnsi="FangSong" w:cs="FangSong"/>
                              <w:spacing w:val="-6"/>
                              <w:sz w:val="19"/>
                              <w:szCs w:val="19"/>
                            </w:rPr>
                            <w:t>并输入计算机</w:t>
                          </w:r>
                        </w:p>
                      </w:tc>
                    </w:tr>
                    <w:tr>
                      <w:tblPrEx>
                        <w:tblW w:w="5097" w:type="dxa"/>
                        <w:tblInd w:w="20" w:type="dxa"/>
                        <w:tblLayout w:type="fixed"/>
                      </w:tblPrEx>
                      <w:trPr>
                        <w:trHeight w:val="413"/>
                      </w:trPr>
                      <w:tc>
                        <w:tcPr>
                          <w:tcW w:w="2554" w:type="dxa"/>
                          <w:vAlign w:val="top"/>
                        </w:tcPr>
                        <w:p>
                          <w:pPr>
                            <w:spacing w:before="218" w:line="179" w:lineRule="auto"/>
                            <w:ind w:left="269"/>
                            <w:rPr>
                              <w:rFonts w:ascii="SimHei" w:eastAsia="SimHei" w:hAnsi="SimHei" w:cs="Sim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8"/>
                              <w:sz w:val="19"/>
                              <w:szCs w:val="19"/>
                            </w:rPr>
                            <w:t>电流信号经过</w:t>
                          </w:r>
                        </w:p>
                      </w:tc>
                      <w:tc>
                        <w:tcPr>
                          <w:tcW w:w="2543" w:type="dxa"/>
                          <w:vAlign w:val="top"/>
                        </w:tcPr>
                        <w:p>
                          <w:pPr>
                            <w:spacing w:before="219" w:line="178" w:lineRule="auto"/>
                            <w:ind w:left="1016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19"/>
                              <w:szCs w:val="19"/>
                            </w:rPr>
                            <w:t>计算电转移阻抗模</w:t>
                          </w:r>
                        </w:p>
                      </w:tc>
                    </w:tr>
                    <w:tr>
                      <w:tblPrEx>
                        <w:tblW w:w="5097" w:type="dxa"/>
                        <w:tblInd w:w="20" w:type="dxa"/>
                        <w:tblLayout w:type="fixed"/>
                      </w:tblPrEx>
                      <w:trPr>
                        <w:trHeight w:val="443"/>
                      </w:trPr>
                      <w:tc>
                        <w:tcPr>
                          <w:tcW w:w="2554" w:type="dxa"/>
                          <w:vAlign w:val="top"/>
                        </w:tcPr>
                        <w:p>
                          <w:pPr>
                            <w:spacing w:before="16" w:line="222" w:lineRule="auto"/>
                            <w:rPr>
                              <w:rFonts w:ascii="SimHei" w:eastAsia="SimHei" w:hAnsi="SimHei" w:cs="SimHei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4"/>
                              <w:w w:val="92"/>
                              <w:sz w:val="21"/>
                              <w:szCs w:val="21"/>
                            </w:rPr>
                            <w:t>测量放大器和滤波器</w:t>
                          </w:r>
                        </w:p>
                      </w:tc>
                      <w:tc>
                        <w:tcPr>
                          <w:tcW w:w="2543" w:type="dxa"/>
                          <w:vAlign w:val="top"/>
                        </w:tcPr>
                        <w:p>
                          <w:pPr>
                            <w:spacing w:before="1" w:line="213" w:lineRule="exact"/>
                            <w:ind w:left="1625"/>
                            <w:rPr>
                              <w:rFonts w:ascii="Times New Roman" w:eastAsia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iCs/>
                              <w:spacing w:val="-6"/>
                              <w:position w:val="3"/>
                              <w:sz w:val="16"/>
                              <w:szCs w:val="16"/>
                            </w:rPr>
                            <w:t>|zl</w:t>
                          </w:r>
                        </w:p>
                      </w:tc>
                    </w:tr>
                    <w:tr>
                      <w:tblPrEx>
                        <w:tblW w:w="5097" w:type="dxa"/>
                        <w:tblInd w:w="20" w:type="dxa"/>
                        <w:tblLayout w:type="fixed"/>
                      </w:tblPrEx>
                      <w:trPr>
                        <w:trHeight w:val="613"/>
                      </w:trPr>
                      <w:tc>
                        <w:tcPr>
                          <w:tcW w:w="2554" w:type="dxa"/>
                          <w:vAlign w:val="top"/>
                        </w:tcPr>
                        <w:p>
                          <w:pPr>
                            <w:spacing w:before="213" w:line="199" w:lineRule="auto"/>
                            <w:ind w:left="180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9"/>
                              <w:sz w:val="19"/>
                              <w:szCs w:val="19"/>
                            </w:rPr>
                            <w:t>电压表进行采集</w:t>
                          </w:r>
                        </w:p>
                        <w:p>
                          <w:pPr>
                            <w:spacing w:line="179" w:lineRule="auto"/>
                            <w:ind w:left="239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19"/>
                              <w:szCs w:val="19"/>
                            </w:rPr>
                            <w:t>并输入计算机</w:t>
                          </w:r>
                        </w:p>
                      </w:tc>
                      <w:tc>
                        <w:tcPr>
                          <w:tcW w:w="2543" w:type="dxa"/>
                          <w:vAlign w:val="top"/>
                        </w:tcPr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9" w:line="219" w:lineRule="auto"/>
                            <w:ind w:left="1566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18"/>
                              <w:szCs w:val="18"/>
                            </w:rPr>
                            <w:t>结束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8" w:line="219" w:lineRule="auto"/>
        <w:ind w:left="2859"/>
        <w:rPr>
          <w:sz w:val="21"/>
          <w:szCs w:val="21"/>
        </w:rPr>
      </w:pPr>
      <w:r>
        <w:rPr>
          <w:spacing w:val="-11"/>
          <w:sz w:val="21"/>
          <w:szCs w:val="21"/>
        </w:rPr>
        <w:t>图3</w:t>
      </w:r>
      <w:r>
        <w:rPr>
          <w:spacing w:val="104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电转移阻抗模值测量流程图</w:t>
      </w:r>
    </w:p>
    <w:p>
      <w:pPr>
        <w:pStyle w:val="BodyText"/>
        <w:spacing w:before="99" w:line="261" w:lineRule="auto"/>
        <w:ind w:right="77" w:firstLine="480"/>
        <w:jc w:val="both"/>
        <w:rPr>
          <w:sz w:val="21"/>
          <w:szCs w:val="21"/>
        </w:rPr>
      </w:pPr>
      <w:r>
        <w:rPr>
          <w:spacing w:val="18"/>
          <w:sz w:val="21"/>
          <w:szCs w:val="21"/>
        </w:rPr>
        <w:t>9)按图4所示的电转移阻抗模值测量流程，分别</w:t>
      </w:r>
      <w:r>
        <w:rPr>
          <w:spacing w:val="17"/>
          <w:sz w:val="21"/>
          <w:szCs w:val="21"/>
        </w:rPr>
        <w:t>测量</w:t>
      </w:r>
      <w:r>
        <w:rPr>
          <w:spacing w:val="-5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FH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spacing w:val="17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HJ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17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FJ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   </w:t>
      </w:r>
      <w:r>
        <w:rPr>
          <w:spacing w:val="17"/>
          <w:sz w:val="21"/>
          <w:szCs w:val="21"/>
        </w:rPr>
        <w:t>换能器对的激</w:t>
      </w:r>
      <w:r>
        <w:rPr>
          <w:sz w:val="21"/>
          <w:szCs w:val="21"/>
        </w:rPr>
        <w:t xml:space="preserve"> </w:t>
      </w:r>
      <w:r>
        <w:rPr>
          <w:spacing w:val="21"/>
          <w:sz w:val="21"/>
          <w:szCs w:val="21"/>
        </w:rPr>
        <w:t>励电流和开路电压，按公式(2)、(3)、(4)计算，可得到三个换能器对的电转移阻抗</w:t>
      </w:r>
      <w:r>
        <w:rPr>
          <w:spacing w:val="1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模值。</w:t>
      </w:r>
    </w:p>
    <w:p>
      <w:pPr>
        <w:spacing w:before="133" w:line="2239" w:lineRule="exact"/>
        <w:ind w:firstLine="2360"/>
      </w:pPr>
      <w:r>
        <w:rPr>
          <w:position w:val="-44"/>
        </w:rPr>
        <w:drawing>
          <wp:inline distT="0" distB="0" distL="0" distR="0">
            <wp:extent cx="2476460" cy="142233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76460" cy="1422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192" w:lineRule="auto"/>
        <w:ind w:left="428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>c)</w:t>
      </w:r>
    </w:p>
    <w:p>
      <w:pPr>
        <w:pStyle w:val="BodyText"/>
        <w:spacing w:before="178" w:line="219" w:lineRule="auto"/>
        <w:ind w:left="2759"/>
        <w:rPr>
          <w:sz w:val="19"/>
          <w:szCs w:val="19"/>
        </w:rPr>
      </w:pPr>
      <w:r>
        <w:rPr>
          <w:spacing w:val="2"/>
          <w:sz w:val="18"/>
          <w:szCs w:val="18"/>
        </w:rPr>
        <w:t xml:space="preserve">图 4  </w:t>
      </w:r>
      <w:r>
        <w:rPr>
          <w:spacing w:val="2"/>
          <w:sz w:val="19"/>
          <w:szCs w:val="19"/>
        </w:rPr>
        <w:t>耦合腔互易法检定方法原理图</w:t>
      </w:r>
    </w:p>
    <w:p>
      <w:pPr>
        <w:pStyle w:val="BodyText"/>
        <w:spacing w:before="91" w:line="212" w:lineRule="auto"/>
        <w:jc w:val="right"/>
        <w:rPr>
          <w:sz w:val="21"/>
          <w:szCs w:val="21"/>
        </w:rPr>
      </w:pPr>
      <w:r>
        <w:rPr>
          <w:spacing w:val="12"/>
          <w:sz w:val="21"/>
          <w:szCs w:val="21"/>
        </w:rPr>
        <w:t>第一步：按图4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>a)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 </w:t>
      </w:r>
      <w:r>
        <w:rPr>
          <w:spacing w:val="12"/>
          <w:sz w:val="21"/>
          <w:szCs w:val="21"/>
        </w:rPr>
        <w:t>所</w:t>
      </w:r>
      <w:r>
        <w:rPr>
          <w:spacing w:val="-26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>示</w:t>
      </w:r>
      <w:r>
        <w:rPr>
          <w:spacing w:val="-35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44"/>
          <w:w w:val="101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>发</w:t>
      </w:r>
      <w:r>
        <w:rPr>
          <w:spacing w:val="-47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 xml:space="preserve">射 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>接收</w:t>
      </w:r>
      <w:r>
        <w:rPr>
          <w:spacing w:val="11"/>
          <w:sz w:val="21"/>
          <w:szCs w:val="21"/>
        </w:rPr>
        <w:t>，测量</w:t>
      </w:r>
      <w:r>
        <w:rPr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H  </w:t>
      </w:r>
      <w:r>
        <w:rPr>
          <w:spacing w:val="11"/>
          <w:sz w:val="21"/>
          <w:szCs w:val="21"/>
        </w:rPr>
        <w:t>的开路电压与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F  </w:t>
      </w:r>
      <w:r>
        <w:rPr>
          <w:spacing w:val="11"/>
          <w:sz w:val="21"/>
          <w:szCs w:val="21"/>
        </w:rPr>
        <w:t>的激励电流，</w:t>
      </w:r>
    </w:p>
    <w:p>
      <w:pPr>
        <w:pStyle w:val="BodyText"/>
        <w:spacing w:before="93" w:line="219" w:lineRule="auto"/>
        <w:rPr>
          <w:sz w:val="21"/>
          <w:szCs w:val="21"/>
        </w:rPr>
      </w:pPr>
      <w:r>
        <w:rPr>
          <w:sz w:val="21"/>
          <w:szCs w:val="21"/>
        </w:rPr>
        <w:t>FH</w:t>
      </w:r>
      <w:r>
        <w:rPr>
          <w:spacing w:val="73"/>
          <w:sz w:val="21"/>
          <w:szCs w:val="21"/>
        </w:rPr>
        <w:t xml:space="preserve"> </w:t>
      </w:r>
      <w:r>
        <w:rPr>
          <w:spacing w:val="23"/>
          <w:sz w:val="21"/>
          <w:szCs w:val="21"/>
        </w:rPr>
        <w:t>换能器对的电转移阻抗模按公式(2)计算：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https://d.book118.com/135014034120011041</w:t>
        </w:r>
      </w:hyperlink>
    </w:p>
    <w:p>
      <w:pPr>
        <w:pStyle w:val="BodyText"/>
        <w:spacing w:before="93" w:line="219" w:lineRule="auto"/>
        <w:rPr>
          <w:sz w:val="21"/>
          <w:szCs w:val="21"/>
        </w:rPr>
      </w:pPr>
    </w:p>
    <w:sectPr>
      <w:headerReference w:type="default" r:id="rId38"/>
      <w:footerReference w:type="default" r:id="rId39"/>
      <w:pgSz w:w="10040" w:h="14660"/>
      <w:pgMar w:top="1429" w:right="614" w:bottom="907" w:left="810" w:header="1156" w:footer="769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289"/>
      <w:rPr>
        <w:sz w:val="15"/>
        <w:szCs w:val="15"/>
      </w:rPr>
    </w:pPr>
    <w:r>
      <w:rPr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289"/>
      <w:rPr>
        <w:sz w:val="15"/>
        <w:szCs w:val="15"/>
      </w:rPr>
    </w:pPr>
    <w:r>
      <w:rPr>
        <w:sz w:val="15"/>
        <w:szCs w:val="1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29"/>
      <w:rPr>
        <w:sz w:val="15"/>
        <w:szCs w:val="15"/>
      </w:rPr>
    </w:pPr>
    <w:r>
      <w:rPr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29"/>
      <w:rPr>
        <w:sz w:val="15"/>
        <w:szCs w:val="15"/>
      </w:rPr>
    </w:pPr>
    <w:r>
      <w:rPr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279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279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109"/>
      <w:rPr>
        <w:sz w:val="13"/>
        <w:szCs w:val="13"/>
      </w:rPr>
    </w:pPr>
    <w:r>
      <w:rPr>
        <w:sz w:val="13"/>
        <w:szCs w:val="13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109"/>
      <w:rPr>
        <w:sz w:val="13"/>
        <w:szCs w:val="13"/>
      </w:rPr>
    </w:pPr>
    <w:r>
      <w:rPr>
        <w:sz w:val="13"/>
        <w:szCs w:val="13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299"/>
      <w:rPr>
        <w:sz w:val="14"/>
        <w:szCs w:val="14"/>
      </w:rPr>
    </w:pPr>
    <w:r>
      <w:rPr>
        <w:sz w:val="14"/>
        <w:szCs w:val="1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299"/>
      <w:rPr>
        <w:sz w:val="14"/>
        <w:szCs w:val="14"/>
      </w:rPr>
    </w:pPr>
    <w:r>
      <w:rPr>
        <w:sz w:val="14"/>
        <w:szCs w:val="1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139"/>
      <w:rPr>
        <w:sz w:val="14"/>
        <w:szCs w:val="14"/>
      </w:rPr>
    </w:pPr>
    <w:r>
      <w:rPr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139"/>
      <w:rPr>
        <w:sz w:val="14"/>
        <w:szCs w:val="14"/>
      </w:rPr>
    </w:pPr>
    <w:r>
      <w:rPr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8310"/>
      <w:rPr>
        <w:sz w:val="14"/>
        <w:szCs w:val="14"/>
      </w:rPr>
    </w:pPr>
    <w:r>
      <w:rPr>
        <w:sz w:val="14"/>
        <w:szCs w:val="14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2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469930</wp:posOffset>
          </wp:positionH>
          <wp:positionV relativeFrom="page">
            <wp:posOffset>800116</wp:posOffset>
          </wp:positionV>
          <wp:extent cx="5467287" cy="1266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7287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7"/>
      </w:rPr>
      <w:t>JJG</w:t>
    </w:r>
    <w:r>
      <w:rPr>
        <w:spacing w:val="11"/>
      </w:rPr>
      <w:t xml:space="preserve"> </w:t>
    </w:r>
    <w:r>
      <w:rPr>
        <w:b/>
        <w:bCs/>
        <w:spacing w:val="-17"/>
      </w:rPr>
      <w:t>1056—2010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22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469930</wp:posOffset>
          </wp:positionH>
          <wp:positionV relativeFrom="page">
            <wp:posOffset>800116</wp:posOffset>
          </wp:positionV>
          <wp:extent cx="5467287" cy="12660"/>
          <wp:effectExtent l="0" t="0" r="0" b="0"/>
          <wp:wrapNone/>
          <wp:docPr id="187573607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73607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7287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7"/>
      </w:rPr>
      <w:t>JJG</w:t>
    </w:r>
    <w:r>
      <w:rPr>
        <w:spacing w:val="11"/>
      </w:rPr>
      <w:t xml:space="preserve"> </w:t>
    </w:r>
    <w:r>
      <w:rPr>
        <w:b/>
        <w:bCs/>
        <w:spacing w:val="-17"/>
      </w:rPr>
      <w:t>1056—2010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32"/>
    </w:pPr>
    <w:r>
      <w:rPr>
        <w:b/>
        <w:bCs/>
        <w:spacing w:val="-17"/>
      </w:rPr>
      <w:t>JJG</w:t>
    </w:r>
    <w:r>
      <w:rPr>
        <w:spacing w:val="11"/>
      </w:rPr>
      <w:t xml:space="preserve"> </w:t>
    </w:r>
    <w:r>
      <w:rPr>
        <w:b/>
        <w:bCs/>
        <w:spacing w:val="-17"/>
      </w:rPr>
      <w:t>1056—2010</w:t>
    </w:r>
  </w:p>
  <w:p>
    <w:pPr>
      <w:spacing w:before="83" w:line="10" w:lineRule="exact"/>
      <w:ind w:firstLine="19"/>
    </w:pPr>
    <w:r>
      <w:drawing>
        <wp:inline distT="0" distB="0" distL="0" distR="0">
          <wp:extent cx="5454600" cy="6403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54600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32"/>
    </w:pPr>
    <w:r>
      <w:rPr>
        <w:b/>
        <w:bCs/>
        <w:spacing w:val="-17"/>
      </w:rPr>
      <w:t>JJG</w:t>
    </w:r>
    <w:r>
      <w:rPr>
        <w:spacing w:val="11"/>
      </w:rPr>
      <w:t xml:space="preserve"> </w:t>
    </w:r>
    <w:r>
      <w:rPr>
        <w:b/>
        <w:bCs/>
        <w:spacing w:val="-17"/>
      </w:rPr>
      <w:t>1056—2010</w:t>
    </w:r>
  </w:p>
  <w:p>
    <w:pPr>
      <w:spacing w:before="83" w:line="10" w:lineRule="exact"/>
      <w:ind w:firstLine="19"/>
    </w:pPr>
    <w:r>
      <w:drawing>
        <wp:inline distT="0" distB="0" distL="0" distR="0">
          <wp:extent cx="5454600" cy="6403"/>
          <wp:effectExtent l="0" t="0" r="0" b="0"/>
          <wp:docPr id="45855515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855515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54600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12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577866</wp:posOffset>
          </wp:positionH>
          <wp:positionV relativeFrom="page">
            <wp:posOffset>927093</wp:posOffset>
          </wp:positionV>
          <wp:extent cx="5454665" cy="1266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54665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7"/>
      </w:rPr>
      <w:t>JJG</w:t>
    </w:r>
    <w:r>
      <w:rPr>
        <w:spacing w:val="11"/>
      </w:rPr>
      <w:t xml:space="preserve"> </w:t>
    </w:r>
    <w:r>
      <w:rPr>
        <w:b/>
        <w:bCs/>
        <w:spacing w:val="-17"/>
      </w:rPr>
      <w:t>1056—2010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12"/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577866</wp:posOffset>
          </wp:positionH>
          <wp:positionV relativeFrom="page">
            <wp:posOffset>927093</wp:posOffset>
          </wp:positionV>
          <wp:extent cx="5454665" cy="12660"/>
          <wp:effectExtent l="0" t="0" r="0" b="0"/>
          <wp:wrapNone/>
          <wp:docPr id="42959122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59122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54665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7"/>
      </w:rPr>
      <w:t>JJG</w:t>
    </w:r>
    <w:r>
      <w:rPr>
        <w:spacing w:val="11"/>
      </w:rPr>
      <w:t xml:space="preserve"> </w:t>
    </w:r>
    <w:r>
      <w:rPr>
        <w:b/>
        <w:bCs/>
        <w:spacing w:val="-17"/>
      </w:rPr>
      <w:t>1056—2010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12"/>
      <w:rPr>
        <w:sz w:val="17"/>
        <w:szCs w:val="17"/>
      </w:rPr>
    </w:pPr>
    <w:r>
      <w:rPr>
        <w:b/>
        <w:bCs/>
        <w:spacing w:val="-4"/>
        <w:sz w:val="17"/>
        <w:szCs w:val="17"/>
      </w:rPr>
      <w:t>JJG</w:t>
    </w:r>
    <w:r>
      <w:rPr>
        <w:spacing w:val="13"/>
        <w:sz w:val="17"/>
        <w:szCs w:val="17"/>
      </w:rPr>
      <w:t xml:space="preserve">   </w:t>
    </w:r>
    <w:r>
      <w:rPr>
        <w:b/>
        <w:bCs/>
        <w:spacing w:val="-4"/>
        <w:sz w:val="17"/>
        <w:szCs w:val="17"/>
      </w:rPr>
      <w:t>1056—2010</w:t>
    </w:r>
  </w:p>
  <w:p>
    <w:pPr>
      <w:spacing w:before="81" w:line="10" w:lineRule="exact"/>
    </w:pPr>
    <w:r>
      <w:drawing>
        <wp:inline distT="0" distB="0" distL="0" distR="0">
          <wp:extent cx="5460975" cy="6403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0975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12"/>
      <w:rPr>
        <w:sz w:val="17"/>
        <w:szCs w:val="17"/>
      </w:rPr>
    </w:pPr>
    <w:r>
      <w:rPr>
        <w:b/>
        <w:bCs/>
        <w:spacing w:val="-4"/>
        <w:sz w:val="17"/>
        <w:szCs w:val="17"/>
      </w:rPr>
      <w:t>JJG</w:t>
    </w:r>
    <w:r>
      <w:rPr>
        <w:spacing w:val="13"/>
        <w:sz w:val="17"/>
        <w:szCs w:val="17"/>
      </w:rPr>
      <w:t xml:space="preserve">   </w:t>
    </w:r>
    <w:r>
      <w:rPr>
        <w:b/>
        <w:bCs/>
        <w:spacing w:val="-4"/>
        <w:sz w:val="17"/>
        <w:szCs w:val="17"/>
      </w:rPr>
      <w:t>1056—2010</w:t>
    </w:r>
  </w:p>
  <w:p>
    <w:pPr>
      <w:spacing w:before="81" w:line="10" w:lineRule="exact"/>
    </w:pPr>
    <w:r>
      <w:drawing>
        <wp:inline distT="0" distB="0" distL="0" distR="0">
          <wp:extent cx="5460975" cy="6403"/>
          <wp:effectExtent l="0" t="0" r="0" b="0"/>
          <wp:docPr id="199368739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687395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0975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32"/>
      <w:rPr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520678</wp:posOffset>
          </wp:positionH>
          <wp:positionV relativeFrom="page">
            <wp:posOffset>927093</wp:posOffset>
          </wp:positionV>
          <wp:extent cx="5448288" cy="1266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48288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  <w:sz w:val="21"/>
        <w:szCs w:val="21"/>
      </w:rPr>
      <w:t>JJG</w:t>
    </w:r>
    <w:r>
      <w:rPr>
        <w:spacing w:val="15"/>
        <w:sz w:val="21"/>
        <w:szCs w:val="21"/>
      </w:rPr>
      <w:t xml:space="preserve"> </w:t>
    </w:r>
    <w:r>
      <w:rPr>
        <w:b/>
        <w:bCs/>
        <w:spacing w:val="-11"/>
        <w:sz w:val="21"/>
        <w:szCs w:val="21"/>
      </w:rPr>
      <w:t>1056—2010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32"/>
      <w:rPr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520678</wp:posOffset>
          </wp:positionH>
          <wp:positionV relativeFrom="page">
            <wp:posOffset>927093</wp:posOffset>
          </wp:positionV>
          <wp:extent cx="5448288" cy="12660"/>
          <wp:effectExtent l="0" t="0" r="0" b="0"/>
          <wp:wrapNone/>
          <wp:docPr id="183179366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793660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48288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  <w:sz w:val="21"/>
        <w:szCs w:val="21"/>
      </w:rPr>
      <w:t>JJG</w:t>
    </w:r>
    <w:r>
      <w:rPr>
        <w:spacing w:val="15"/>
        <w:sz w:val="21"/>
        <w:szCs w:val="21"/>
      </w:rPr>
      <w:t xml:space="preserve"> </w:t>
    </w:r>
    <w:r>
      <w:rPr>
        <w:b/>
        <w:bCs/>
        <w:spacing w:val="-11"/>
        <w:sz w:val="21"/>
        <w:szCs w:val="21"/>
      </w:rPr>
      <w:t>1056—2010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32"/>
      <w:rPr>
        <w:sz w:val="20"/>
        <w:szCs w:val="20"/>
      </w:rPr>
    </w:pPr>
    <w:r>
      <w:rPr>
        <w:b/>
        <w:bCs/>
        <w:spacing w:val="-7"/>
        <w:sz w:val="20"/>
        <w:szCs w:val="20"/>
      </w:rPr>
      <w:t>JJG</w:t>
    </w:r>
    <w:r>
      <w:rPr>
        <w:spacing w:val="24"/>
        <w:sz w:val="20"/>
        <w:szCs w:val="20"/>
      </w:rPr>
      <w:t xml:space="preserve"> </w:t>
    </w:r>
    <w:r>
      <w:rPr>
        <w:b/>
        <w:bCs/>
        <w:spacing w:val="-7"/>
        <w:sz w:val="20"/>
        <w:szCs w:val="20"/>
      </w:rPr>
      <w:t>1056—2010</w:t>
    </w:r>
  </w:p>
  <w:p>
    <w:pPr>
      <w:spacing w:before="86" w:line="10" w:lineRule="exact"/>
    </w:pPr>
    <w:r>
      <w:drawing>
        <wp:inline distT="0" distB="0" distL="0" distR="0">
          <wp:extent cx="5467352" cy="6403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7352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632"/>
      <w:rPr>
        <w:sz w:val="20"/>
        <w:szCs w:val="20"/>
      </w:rPr>
    </w:pPr>
    <w:r>
      <w:rPr>
        <w:b/>
        <w:bCs/>
        <w:spacing w:val="-7"/>
        <w:sz w:val="20"/>
        <w:szCs w:val="20"/>
      </w:rPr>
      <w:t>JJG</w:t>
    </w:r>
    <w:r>
      <w:rPr>
        <w:spacing w:val="24"/>
        <w:sz w:val="20"/>
        <w:szCs w:val="20"/>
      </w:rPr>
      <w:t xml:space="preserve"> </w:t>
    </w:r>
    <w:r>
      <w:rPr>
        <w:b/>
        <w:bCs/>
        <w:spacing w:val="-7"/>
        <w:sz w:val="20"/>
        <w:szCs w:val="20"/>
      </w:rPr>
      <w:t>1056—2010</w:t>
    </w:r>
  </w:p>
  <w:p>
    <w:pPr>
      <w:spacing w:before="86" w:line="10" w:lineRule="exact"/>
    </w:pPr>
    <w:r>
      <w:drawing>
        <wp:inline distT="0" distB="0" distL="0" distR="0">
          <wp:extent cx="5467352" cy="6403"/>
          <wp:effectExtent l="0" t="0" r="0" b="0"/>
          <wp:docPr id="973812945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3812945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67352" cy="6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620"/>
      <w:rPr>
        <w:rFonts w:ascii="Times New Roman" w:eastAsia="Times New Roman" w:hAnsi="Times New Roman" w:cs="Times New Roman"/>
        <w:sz w:val="19"/>
        <w:szCs w:val="19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514367</wp:posOffset>
          </wp:positionH>
          <wp:positionV relativeFrom="page">
            <wp:posOffset>895348</wp:posOffset>
          </wp:positionV>
          <wp:extent cx="5454600" cy="1266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454600" cy="1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3"/>
        <w:sz w:val="19"/>
        <w:szCs w:val="19"/>
      </w:rPr>
      <w:t>JJG</w:t>
    </w:r>
    <w:r>
      <w:rPr>
        <w:rFonts w:ascii="Times New Roman" w:eastAsia="Times New Roman" w:hAnsi="Times New Roman" w:cs="Times New Roman"/>
        <w:spacing w:val="11"/>
        <w:sz w:val="19"/>
        <w:szCs w:val="19"/>
      </w:rPr>
      <w:t xml:space="preserve">   </w:t>
    </w:r>
    <w:r>
      <w:rPr>
        <w:rFonts w:ascii="Times New Roman" w:eastAsia="Times New Roman" w:hAnsi="Times New Roman" w:cs="Times New Roman"/>
        <w:spacing w:val="-3"/>
        <w:sz w:val="19"/>
        <w:szCs w:val="19"/>
      </w:rPr>
      <w:t>1056—2010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7.1.2.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yperlink" Target="7.1.2.2" TargetMode="Externa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yperlink" Target="7.3.3.1" TargetMode="Externa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image" Target="media/image7.jpeg" /><Relationship Id="rId29" Type="http://schemas.openxmlformats.org/officeDocument/2006/relationships/hyperlink" Target="7.3.3.2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9.png" /><Relationship Id="rId35" Type="http://schemas.openxmlformats.org/officeDocument/2006/relationships/image" Target="media/image10.jpeg" /><Relationship Id="rId36" Type="http://schemas.openxmlformats.org/officeDocument/2006/relationships/image" Target="media/image11.jpeg" /><Relationship Id="rId37" Type="http://schemas.openxmlformats.org/officeDocument/2006/relationships/hyperlink" Target="https://d.book118.com/135014034120011041" TargetMode="External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2024-01-11T17:14:17Z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2024-01-11T17:14:19Z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659fb16583b9c4001f6086acwl</vt:lpwstr>
  </property>
</Properties>
</file>