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唐山滦南县2023-2024学年九年级上学期期末物理评估卷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（2021•凤翔县二模）2021年4月29日11时23分，长征五号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​遥二运载火箭搭载空间站“天和”核心舱，在海南文昌航天发射场发射升空，如图所示。下列有关说法正确的是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98pt;height:12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.燃料在燃烧过程中热值不断增大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.在火箭发射上升的过程中，核心舱的重力势能变大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.点火后，喷器口处箭体的温度很高，这是做功改变了物体的内能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.空间站建立后，与地面站点通过超声波传递信息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（江苏省泰州市靖江市滨江学校九年级（上）第一次独立物理作业）下列图形中，属于内能转化为机械能的是（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7pt;height:54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滑下滑梯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80pt;height:46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弯折铁丝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28pt;height:53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做功冲程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17pt;height:52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压缩点火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（海南省三亚市崖城中学九年级（上）第三次月考物理试卷（9-12班））如图所示，电流表和电压表的读数分别为（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82pt;height:6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.0.4A 2.6V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.0.08A 13V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.0.08A 2.6V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.0.4A 13V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（河北省保定市定州市九年级（上）期末物理试卷）分子动理论是从微观角度看待宏观现象的基本理论，以下现象，能用分子动理论进行解释的是（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.雾霾的形成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.沙尘暴的形成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.端午节，粽叶飘香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（辽宁省鞍山市铁西区九年级（上）期中物理试卷）下列现象中是利用物体绝缘性能的是（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.电线的芯线用金属来做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.插座里的铜片接口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https://d.book118.com/135111010034011100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135111010034011100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