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汽车衡项目招商引资报告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37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_Toc12371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35" w:history="1">
        <w:r>
          <w:rPr>
            <w:rFonts w:ascii="仿宋" w:eastAsia="仿宋" w:hAnsi="仿宋" w:cs="仿宋" w:hint="eastAsia"/>
            <w:lang w:eastAsia="zh-CN"/>
          </w:rPr>
          <w:t>一、汽车衡企业战略的制定</w:t>
        </w:r>
        <w:r>
          <w:tab/>
        </w:r>
        <w:r>
          <w:fldChar w:fldCharType="begin"/>
        </w:r>
        <w:r>
          <w:instrText xml:space="preserve"> PAGEREF _Toc31735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4" w:history="1">
        <w:r>
          <w:rPr>
            <w:rFonts w:ascii="仿宋" w:eastAsia="仿宋" w:hAnsi="仿宋" w:cs="仿宋" w:hint="eastAsia"/>
            <w:lang w:eastAsia="zh-CN"/>
          </w:rPr>
          <w:t>(一)、汽车衡企业战略的制定</w:t>
        </w:r>
        <w:r>
          <w:tab/>
        </w:r>
        <w:r>
          <w:fldChar w:fldCharType="begin"/>
        </w:r>
        <w:r>
          <w:instrText xml:space="preserve"> PAGEREF _Toc29454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19" w:history="1">
        <w:r>
          <w:rPr>
            <w:rFonts w:ascii="仿宋" w:eastAsia="仿宋" w:hAnsi="仿宋" w:cs="仿宋" w:hint="eastAsia"/>
            <w:lang w:eastAsia="zh-CN"/>
          </w:rPr>
          <w:t>二、土建工程说明</w:t>
        </w:r>
        <w:r>
          <w:tab/>
        </w:r>
        <w:r>
          <w:fldChar w:fldCharType="begin"/>
        </w:r>
        <w:r>
          <w:instrText xml:space="preserve"> PAGEREF _Toc12019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_Toc19000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7" w:history="1">
        <w:r>
          <w:rPr>
            <w:rFonts w:ascii="仿宋" w:eastAsia="仿宋" w:hAnsi="仿宋" w:cs="仿宋" w:hint="eastAsia"/>
            <w:lang w:eastAsia="zh-CN"/>
          </w:rPr>
          <w:t>(二)、汽车衡项目工程建设标准规范</w:t>
        </w:r>
        <w:r>
          <w:tab/>
        </w:r>
        <w:r>
          <w:fldChar w:fldCharType="begin"/>
        </w:r>
        <w:r>
          <w:instrText xml:space="preserve"> PAGEREF _Toc13377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" w:history="1">
        <w:r>
          <w:rPr>
            <w:rFonts w:ascii="仿宋" w:eastAsia="仿宋" w:hAnsi="仿宋" w:cs="仿宋" w:hint="eastAsia"/>
            <w:lang w:eastAsia="zh-CN"/>
          </w:rPr>
          <w:t>(三)、汽车衡项目总平面设计要求</w:t>
        </w:r>
        <w:r>
          <w:tab/>
        </w:r>
        <w:r>
          <w:fldChar w:fldCharType="begin"/>
        </w:r>
        <w:r>
          <w:instrText xml:space="preserve"> PAGEREF _Toc2188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5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_Toc17065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7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_Toc25797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4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_Toc27844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1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_Toc10941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91" w:history="1">
        <w:r>
          <w:rPr>
            <w:rFonts w:ascii="仿宋" w:eastAsia="仿宋" w:hAnsi="仿宋" w:cs="仿宋" w:hint="eastAsia"/>
            <w:lang w:eastAsia="zh-CN"/>
          </w:rPr>
          <w:t>三、汽车衡行业行业发展现状</w:t>
        </w:r>
        <w:r>
          <w:tab/>
        </w:r>
        <w:r>
          <w:fldChar w:fldCharType="begin"/>
        </w:r>
        <w:r>
          <w:instrText xml:space="preserve"> PAGEREF _Toc19491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71" w:history="1">
        <w:r>
          <w:rPr>
            <w:rFonts w:ascii="仿宋" w:eastAsia="仿宋" w:hAnsi="仿宋" w:cs="仿宋" w:hint="eastAsia"/>
            <w:lang w:eastAsia="zh-CN"/>
          </w:rPr>
          <w:t>(一)、市场规模的扩大</w:t>
        </w:r>
        <w:r>
          <w:tab/>
        </w:r>
        <w:r>
          <w:fldChar w:fldCharType="begin"/>
        </w:r>
        <w:r>
          <w:instrText xml:space="preserve"> PAGEREF _Toc32371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9" w:history="1">
        <w:r>
          <w:rPr>
            <w:rFonts w:ascii="仿宋" w:eastAsia="仿宋" w:hAnsi="仿宋" w:cs="仿宋" w:hint="eastAsia"/>
            <w:lang w:eastAsia="zh-CN"/>
          </w:rPr>
          <w:t>(二)、产品创新推动行业发展</w:t>
        </w:r>
        <w:r>
          <w:tab/>
        </w:r>
        <w:r>
          <w:fldChar w:fldCharType="begin"/>
        </w:r>
        <w:r>
          <w:instrText xml:space="preserve"> PAGEREF _Toc27309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" w:history="1">
        <w:r>
          <w:rPr>
            <w:rFonts w:ascii="仿宋" w:eastAsia="仿宋" w:hAnsi="仿宋" w:cs="仿宋" w:hint="eastAsia"/>
            <w:lang w:eastAsia="zh-CN"/>
          </w:rPr>
          <w:t>(三)、线上线下渠道融合发展</w:t>
        </w:r>
        <w:r>
          <w:tab/>
        </w:r>
        <w:r>
          <w:fldChar w:fldCharType="begin"/>
        </w:r>
        <w:r>
          <w:instrText xml:space="preserve"> PAGEREF _Toc2159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" w:history="1">
        <w:r>
          <w:rPr>
            <w:rFonts w:ascii="仿宋" w:eastAsia="仿宋" w:hAnsi="仿宋" w:cs="仿宋" w:hint="eastAsia"/>
            <w:lang w:eastAsia="zh-CN"/>
          </w:rPr>
          <w:t>(四)、定制化服务的兴起</w:t>
        </w:r>
        <w:r>
          <w:tab/>
        </w:r>
        <w:r>
          <w:fldChar w:fldCharType="begin"/>
        </w:r>
        <w:r>
          <w:instrText xml:space="preserve"> PAGEREF _Toc1029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4" w:history="1">
        <w:r>
          <w:rPr>
            <w:rFonts w:ascii="仿宋" w:eastAsia="仿宋" w:hAnsi="仿宋" w:cs="仿宋" w:hint="eastAsia"/>
            <w:lang w:eastAsia="zh-CN"/>
          </w:rPr>
          <w:t>(五)、环保意识的提高</w:t>
        </w:r>
        <w:r>
          <w:tab/>
        </w:r>
        <w:r>
          <w:fldChar w:fldCharType="begin"/>
        </w:r>
        <w:r>
          <w:instrText xml:space="preserve"> PAGEREF _Toc24094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61" w:history="1">
        <w:r>
          <w:rPr>
            <w:rFonts w:ascii="仿宋" w:eastAsia="仿宋" w:hAnsi="仿宋" w:cs="仿宋" w:hint="eastAsia"/>
            <w:lang w:eastAsia="zh-CN"/>
          </w:rPr>
          <w:t>四、职业安全与劳动卫生</w:t>
        </w:r>
        <w:r>
          <w:tab/>
        </w:r>
        <w:r>
          <w:fldChar w:fldCharType="begin"/>
        </w:r>
        <w:r>
          <w:instrText xml:space="preserve"> PAGEREF _Toc18161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6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_Toc19986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7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_Toc16147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1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_Toc14161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3" w:history="1">
        <w:r>
          <w:rPr>
            <w:rFonts w:ascii="仿宋" w:eastAsia="仿宋" w:hAnsi="仿宋" w:cs="仿宋" w:hint="eastAsia"/>
            <w:lang w:eastAsia="zh-CN"/>
          </w:rPr>
          <w:t>(四)、安全标志使用要求</w:t>
        </w:r>
        <w:r>
          <w:tab/>
        </w:r>
        <w:r>
          <w:fldChar w:fldCharType="begin"/>
        </w:r>
        <w:r>
          <w:instrText xml:space="preserve"> PAGEREF _Toc4483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" w:history="1">
        <w:r>
          <w:rPr>
            <w:rFonts w:ascii="仿宋" w:eastAsia="仿宋" w:hAnsi="仿宋" w:cs="仿宋" w:hint="eastAsia"/>
            <w:lang w:eastAsia="zh-CN"/>
          </w:rPr>
          <w:t>(五)、电气安全保障措施</w:t>
        </w:r>
        <w:r>
          <w:tab/>
        </w:r>
        <w:r>
          <w:fldChar w:fldCharType="begin"/>
        </w:r>
        <w:r>
          <w:instrText xml:space="preserve"> PAGEREF _Toc3098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9" w:history="1">
        <w:r>
          <w:rPr>
            <w:rFonts w:ascii="仿宋" w:eastAsia="仿宋" w:hAnsi="仿宋" w:cs="仿宋" w:hint="eastAsia"/>
            <w:lang w:eastAsia="zh-CN"/>
          </w:rPr>
          <w:t>(六)、防尘防毒措施</w:t>
        </w:r>
        <w:r>
          <w:tab/>
        </w:r>
        <w:r>
          <w:fldChar w:fldCharType="begin"/>
        </w:r>
        <w:r>
          <w:instrText xml:space="preserve"> PAGEREF _Toc19199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0" w:history="1">
        <w:r>
          <w:rPr>
            <w:rFonts w:ascii="仿宋" w:eastAsia="仿宋" w:hAnsi="仿宋" w:cs="仿宋" w:hint="eastAsia"/>
            <w:lang w:eastAsia="zh-CN"/>
          </w:rPr>
          <w:t>(七)、防静电、触电、防护及防雷措施</w:t>
        </w:r>
        <w:r>
          <w:tab/>
        </w:r>
        <w:r>
          <w:fldChar w:fldCharType="begin"/>
        </w:r>
        <w:r>
          <w:instrText xml:space="preserve"> PAGEREF _Toc25540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4" w:history="1">
        <w:r>
          <w:rPr>
            <w:rFonts w:ascii="仿宋" w:eastAsia="仿宋" w:hAnsi="仿宋" w:cs="仿宋" w:hint="eastAsia"/>
            <w:lang w:eastAsia="zh-CN"/>
          </w:rPr>
          <w:t>(八)、机械设备安全保障措施</w:t>
        </w:r>
        <w:r>
          <w:tab/>
        </w:r>
        <w:r>
          <w:fldChar w:fldCharType="begin"/>
        </w:r>
        <w:r>
          <w:instrText xml:space="preserve"> PAGEREF _Toc13514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7" w:history="1">
        <w:r>
          <w:rPr>
            <w:rFonts w:ascii="仿宋" w:eastAsia="仿宋" w:hAnsi="仿宋" w:cs="仿宋" w:hint="eastAsia"/>
            <w:lang w:eastAsia="zh-CN"/>
          </w:rPr>
          <w:t>(九)、劳动安全保障措施</w:t>
        </w:r>
        <w:r>
          <w:tab/>
        </w:r>
        <w:r>
          <w:fldChar w:fldCharType="begin"/>
        </w:r>
        <w:r>
          <w:instrText xml:space="preserve"> PAGEREF _Toc23717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4" w:history="1">
        <w:r>
          <w:rPr>
            <w:rFonts w:ascii="仿宋" w:eastAsia="仿宋" w:hAnsi="仿宋" w:cs="仿宋" w:hint="eastAsia"/>
            <w:lang w:eastAsia="zh-CN"/>
          </w:rPr>
          <w:t>(十)、劳动安全卫生机构设置及教育制度</w:t>
        </w:r>
        <w:r>
          <w:tab/>
        </w:r>
        <w:r>
          <w:fldChar w:fldCharType="begin"/>
        </w:r>
        <w:r>
          <w:instrText xml:space="preserve"> PAGEREF _Toc3454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1" w:history="1">
        <w:r>
          <w:rPr>
            <w:rFonts w:ascii="仿宋" w:eastAsia="仿宋" w:hAnsi="仿宋" w:cs="仿宋" w:hint="eastAsia"/>
            <w:lang w:eastAsia="zh-CN"/>
          </w:rPr>
          <w:t>(十一)、劳动安全预期效果评价</w:t>
        </w:r>
        <w:r>
          <w:tab/>
        </w:r>
        <w:r>
          <w:fldChar w:fldCharType="begin"/>
        </w:r>
        <w:r>
          <w:instrText xml:space="preserve"> PAGEREF _Toc22051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02" w:history="1">
        <w:r>
          <w:rPr>
            <w:rFonts w:ascii="仿宋" w:eastAsia="仿宋" w:hAnsi="仿宋" w:cs="仿宋" w:hint="eastAsia"/>
            <w:lang w:eastAsia="zh-CN"/>
          </w:rPr>
          <w:t>五、安全评价程序与评价方法</w:t>
        </w:r>
        <w:r>
          <w:tab/>
        </w:r>
        <w:r>
          <w:fldChar w:fldCharType="begin"/>
        </w:r>
        <w:r>
          <w:instrText xml:space="preserve"> PAGEREF _Toc11602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" w:history="1">
        <w:r>
          <w:rPr>
            <w:rFonts w:ascii="仿宋" w:eastAsia="仿宋" w:hAnsi="仿宋" w:cs="仿宋" w:hint="eastAsia"/>
            <w:lang w:eastAsia="zh-CN"/>
          </w:rPr>
          <w:t>(一)、安全评价程序</w:t>
        </w:r>
        <w:r>
          <w:tab/>
        </w:r>
        <w:r>
          <w:fldChar w:fldCharType="begin"/>
        </w:r>
        <w:r>
          <w:instrText xml:space="preserve"> PAGEREF _Toc3166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1" w:history="1">
        <w:r>
          <w:rPr>
            <w:rFonts w:ascii="仿宋" w:eastAsia="仿宋" w:hAnsi="仿宋" w:cs="仿宋" w:hint="eastAsia"/>
            <w:lang w:eastAsia="zh-CN"/>
          </w:rPr>
          <w:t>(二)、划分评价单元</w:t>
        </w:r>
        <w:r>
          <w:tab/>
        </w:r>
        <w:r>
          <w:fldChar w:fldCharType="begin"/>
        </w:r>
        <w:r>
          <w:instrText xml:space="preserve"> PAGEREF _Toc6561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9" w:history="1">
        <w:r>
          <w:rPr>
            <w:rFonts w:ascii="仿宋" w:eastAsia="仿宋" w:hAnsi="仿宋" w:cs="仿宋" w:hint="eastAsia"/>
            <w:lang w:eastAsia="zh-CN"/>
          </w:rPr>
          <w:t>(三)、确定采用的安全评价方法</w:t>
        </w:r>
        <w:r>
          <w:tab/>
        </w:r>
        <w:r>
          <w:fldChar w:fldCharType="begin"/>
        </w:r>
        <w:r>
          <w:instrText xml:space="preserve"> PAGEREF _Toc10769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74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_Toc27074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_Toc19105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_Toc12131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1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_Toc30061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_Toc26382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40" w:history="1">
        <w:r>
          <w:rPr>
            <w:rFonts w:ascii="仿宋" w:eastAsia="仿宋" w:hAnsi="仿宋" w:cs="仿宋" w:hint="eastAsia"/>
            <w:lang w:eastAsia="zh-CN"/>
          </w:rPr>
          <w:t>七、汽车衡项目概论</w:t>
        </w:r>
        <w:r>
          <w:tab/>
        </w:r>
        <w:r>
          <w:fldChar w:fldCharType="begin"/>
        </w:r>
        <w:r>
          <w:instrText xml:space="preserve"> PAGEREF _Toc9440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1" w:history="1">
        <w:r>
          <w:rPr>
            <w:rFonts w:ascii="仿宋" w:eastAsia="仿宋" w:hAnsi="仿宋" w:cs="仿宋" w:hint="eastAsia"/>
            <w:lang w:eastAsia="zh-CN"/>
          </w:rPr>
          <w:t>(一)、汽车衡项目提出的理由</w:t>
        </w:r>
        <w:r>
          <w:tab/>
        </w:r>
        <w:r>
          <w:fldChar w:fldCharType="begin"/>
        </w:r>
        <w:r>
          <w:instrText xml:space="preserve"> PAGEREF _Toc22911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4" w:history="1">
        <w:r>
          <w:rPr>
            <w:rFonts w:ascii="仿宋" w:eastAsia="仿宋" w:hAnsi="仿宋" w:cs="仿宋" w:hint="eastAsia"/>
            <w:lang w:eastAsia="zh-CN"/>
          </w:rPr>
          <w:t>(二)、汽车衡项目概述</w:t>
        </w:r>
        <w:r>
          <w:tab/>
        </w:r>
        <w:r>
          <w:fldChar w:fldCharType="begin"/>
        </w:r>
        <w:r>
          <w:instrText xml:space="preserve"> PAGEREF _Toc16084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789" w:history="1">
        <w:r>
          <w:rPr>
            <w:rFonts w:ascii="仿宋" w:eastAsia="仿宋" w:hAnsi="仿宋" w:cs="仿宋" w:hint="eastAsia"/>
            <w:lang w:eastAsia="zh-CN"/>
          </w:rPr>
          <w:t>(三)、汽车衡项目总投资及资金构成</w:t>
        </w:r>
        <w:r>
          <w:tab/>
        </w:r>
        <w:r>
          <w:fldChar w:fldCharType="begin"/>
        </w:r>
        <w:r>
          <w:instrText xml:space="preserve"> PAGEREF _Toc23789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5" w:history="1">
        <w:r>
          <w:rPr>
            <w:rFonts w:ascii="仿宋" w:eastAsia="仿宋" w:hAnsi="仿宋" w:cs="仿宋" w:hint="eastAsia"/>
            <w:lang w:eastAsia="zh-CN"/>
          </w:rPr>
          <w:t>(四)、资金筹措方案</w:t>
        </w:r>
        <w:r>
          <w:tab/>
        </w:r>
        <w:r>
          <w:fldChar w:fldCharType="begin"/>
        </w:r>
        <w:r>
          <w:instrText xml:space="preserve"> PAGEREF _Toc20805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6" w:history="1">
        <w:r>
          <w:rPr>
            <w:rFonts w:ascii="仿宋" w:eastAsia="仿宋" w:hAnsi="仿宋" w:cs="仿宋" w:hint="eastAsia"/>
            <w:lang w:eastAsia="zh-CN"/>
          </w:rPr>
          <w:t>(五)、汽车衡项目预期经济效益规划目标</w:t>
        </w:r>
        <w:r>
          <w:tab/>
        </w:r>
        <w:r>
          <w:fldChar w:fldCharType="begin"/>
        </w:r>
        <w:r>
          <w:instrText xml:space="preserve"> PAGEREF _Toc7556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9" w:history="1">
        <w:r>
          <w:rPr>
            <w:rFonts w:ascii="仿宋" w:eastAsia="仿宋" w:hAnsi="仿宋" w:cs="仿宋" w:hint="eastAsia"/>
            <w:lang w:eastAsia="zh-CN"/>
          </w:rPr>
          <w:t>(六)、汽车衡项目建设进度规划</w:t>
        </w:r>
        <w:r>
          <w:tab/>
        </w:r>
        <w:r>
          <w:fldChar w:fldCharType="begin"/>
        </w:r>
        <w:r>
          <w:instrText xml:space="preserve"> PAGEREF _Toc15719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6" w:history="1">
        <w:r>
          <w:rPr>
            <w:rFonts w:ascii="仿宋" w:eastAsia="仿宋" w:hAnsi="仿宋" w:cs="仿宋" w:hint="eastAsia"/>
            <w:lang w:eastAsia="zh-CN"/>
          </w:rPr>
          <w:t>(七)、研究结论</w:t>
        </w:r>
        <w:r>
          <w:tab/>
        </w:r>
        <w:r>
          <w:fldChar w:fldCharType="begin"/>
        </w:r>
        <w:r>
          <w:instrText xml:space="preserve"> PAGEREF _Toc3726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4" w:history="1">
        <w:r>
          <w:rPr>
            <w:rFonts w:ascii="仿宋" w:eastAsia="仿宋" w:hAnsi="仿宋" w:cs="仿宋" w:hint="eastAsia"/>
            <w:lang w:eastAsia="zh-CN"/>
          </w:rPr>
          <w:t>八、汽车衡项目选址可行性分析</w:t>
        </w:r>
        <w:r>
          <w:tab/>
        </w:r>
        <w:r>
          <w:fldChar w:fldCharType="begin"/>
        </w:r>
        <w:r>
          <w:instrText xml:space="preserve"> PAGEREF _Toc3224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6" w:history="1">
        <w:r>
          <w:rPr>
            <w:rFonts w:ascii="仿宋" w:eastAsia="仿宋" w:hAnsi="仿宋" w:cs="仿宋" w:hint="eastAsia"/>
            <w:lang w:eastAsia="zh-CN"/>
          </w:rPr>
          <w:t>(一)、汽车衡项目选址原则</w:t>
        </w:r>
        <w:r>
          <w:tab/>
        </w:r>
        <w:r>
          <w:fldChar w:fldCharType="begin"/>
        </w:r>
        <w:r>
          <w:instrText xml:space="preserve"> PAGEREF _Toc29226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0" w:history="1">
        <w:r>
          <w:rPr>
            <w:rFonts w:ascii="仿宋" w:eastAsia="仿宋" w:hAnsi="仿宋" w:cs="仿宋" w:hint="eastAsia"/>
            <w:lang w:eastAsia="zh-CN"/>
          </w:rPr>
          <w:t>(二)、汽车衡项目选址</w:t>
        </w:r>
        <w:r>
          <w:tab/>
        </w:r>
        <w:r>
          <w:fldChar w:fldCharType="begin"/>
        </w:r>
        <w:r>
          <w:instrText xml:space="preserve"> PAGEREF _Toc17870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8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_Toc4998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0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_Toc3940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47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_Toc28647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_Toc2173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34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_Toc11534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9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_Toc24149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6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_Toc28606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3" w:history="1">
        <w:r>
          <w:rPr>
            <w:rFonts w:ascii="仿宋" w:eastAsia="仿宋" w:hAnsi="仿宋" w:cs="仿宋" w:hint="eastAsia"/>
            <w:lang w:eastAsia="zh-CN"/>
          </w:rPr>
          <w:t>九、招标方案</w:t>
        </w:r>
        <w:r>
          <w:tab/>
        </w:r>
        <w:r>
          <w:fldChar w:fldCharType="begin"/>
        </w:r>
        <w:r>
          <w:instrText xml:space="preserve"> PAGEREF _Toc1333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5" w:history="1">
        <w:r>
          <w:rPr>
            <w:rFonts w:ascii="仿宋" w:eastAsia="仿宋" w:hAnsi="仿宋" w:cs="仿宋" w:hint="eastAsia"/>
            <w:lang w:eastAsia="zh-CN"/>
          </w:rPr>
          <w:t>(一)、汽车衡项目招标依据</w:t>
        </w:r>
        <w:r>
          <w:tab/>
        </w:r>
        <w:r>
          <w:fldChar w:fldCharType="begin"/>
        </w:r>
        <w:r>
          <w:instrText xml:space="preserve"> PAGEREF _Toc31595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5" w:history="1">
        <w:r>
          <w:rPr>
            <w:rFonts w:ascii="仿宋" w:eastAsia="仿宋" w:hAnsi="仿宋" w:cs="仿宋" w:hint="eastAsia"/>
            <w:lang w:eastAsia="zh-CN"/>
          </w:rPr>
          <w:t>(二)、汽车衡项目招标范围</w:t>
        </w:r>
        <w:r>
          <w:tab/>
        </w:r>
        <w:r>
          <w:fldChar w:fldCharType="begin"/>
        </w:r>
        <w:r>
          <w:instrText xml:space="preserve"> PAGEREF _Toc31205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_Toc3160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8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_Toc22478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57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_Toc10157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99" w:history="1">
        <w:r>
          <w:rPr>
            <w:rFonts w:ascii="仿宋" w:eastAsia="仿宋" w:hAnsi="仿宋" w:cs="仿宋" w:hint="eastAsia"/>
            <w:lang w:eastAsia="zh-CN"/>
          </w:rPr>
          <w:t>十、投资方案</w:t>
        </w:r>
        <w:r>
          <w:tab/>
        </w:r>
        <w:r>
          <w:fldChar w:fldCharType="begin"/>
        </w:r>
        <w:r>
          <w:instrText xml:space="preserve"> PAGEREF _Toc12599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7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_Toc14677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9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_Toc16949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1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_Toc21916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_Toc7235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8" w:history="1">
        <w:r>
          <w:rPr>
            <w:rFonts w:ascii="仿宋" w:eastAsia="仿宋" w:hAnsi="仿宋" w:cs="仿宋" w:hint="eastAsia"/>
            <w:lang w:eastAsia="zh-CN"/>
          </w:rPr>
          <w:t>(五)、汽车衡项目总投资</w:t>
        </w:r>
        <w:r>
          <w:tab/>
        </w:r>
        <w:r>
          <w:fldChar w:fldCharType="begin"/>
        </w:r>
        <w:r>
          <w:instrText xml:space="preserve"> PAGEREF _Toc25828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_Toc6065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68" w:history="1">
        <w:r>
          <w:rPr>
            <w:rFonts w:ascii="仿宋" w:eastAsia="仿宋" w:hAnsi="仿宋" w:cs="仿宋" w:hint="eastAsia"/>
            <w:lang w:eastAsia="zh-CN"/>
          </w:rPr>
          <w:t>十一、汽车衡项目规划进度</w:t>
        </w:r>
        <w:r>
          <w:tab/>
        </w:r>
        <w:r>
          <w:fldChar w:fldCharType="begin"/>
        </w:r>
        <w:r>
          <w:instrText xml:space="preserve"> PAGEREF _Toc29168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" w:history="1">
        <w:r>
          <w:rPr>
            <w:rFonts w:ascii="仿宋" w:eastAsia="仿宋" w:hAnsi="仿宋" w:cs="仿宋" w:hint="eastAsia"/>
            <w:lang w:eastAsia="zh-CN"/>
          </w:rPr>
          <w:t>(一)、汽车衡项目进度安排</w:t>
        </w:r>
        <w:r>
          <w:tab/>
        </w:r>
        <w:r>
          <w:fldChar w:fldCharType="begin"/>
        </w:r>
        <w:r>
          <w:instrText xml:space="preserve"> PAGEREF _Toc308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17" w:history="1">
        <w:r>
          <w:rPr>
            <w:rFonts w:ascii="仿宋" w:eastAsia="仿宋" w:hAnsi="仿宋" w:cs="仿宋" w:hint="eastAsia"/>
            <w:lang w:eastAsia="zh-CN"/>
          </w:rPr>
          <w:t>(二)、汽车衡项目实施保障措施</w:t>
        </w:r>
        <w:r>
          <w:tab/>
        </w:r>
        <w:r>
          <w:fldChar w:fldCharType="begin"/>
        </w:r>
        <w:r>
          <w:instrText xml:space="preserve"> PAGEREF _Toc22417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10" w:history="1">
        <w:r>
          <w:rPr>
            <w:rFonts w:ascii="仿宋" w:eastAsia="仿宋" w:hAnsi="仿宋" w:cs="仿宋" w:hint="eastAsia"/>
            <w:lang w:eastAsia="zh-CN"/>
          </w:rPr>
          <w:t>十二、汽车衡行业消费者市场分析</w:t>
        </w:r>
        <w:r>
          <w:tab/>
        </w:r>
        <w:r>
          <w:fldChar w:fldCharType="begin"/>
        </w:r>
        <w:r>
          <w:instrText xml:space="preserve"> PAGEREF _Toc28010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80" w:history="1">
        <w:r>
          <w:rPr>
            <w:rFonts w:ascii="仿宋" w:eastAsia="仿宋" w:hAnsi="仿宋" w:cs="仿宋" w:hint="eastAsia"/>
            <w:lang w:eastAsia="zh-CN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_Toc12480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0" w:history="1">
        <w:r>
          <w:rPr>
            <w:rFonts w:ascii="仿宋" w:eastAsia="仿宋" w:hAnsi="仿宋" w:cs="仿宋" w:hint="eastAsia"/>
            <w:lang w:eastAsia="zh-CN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_Toc10510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5" w:history="1">
        <w:r>
          <w:rPr>
            <w:rFonts w:ascii="仿宋" w:eastAsia="仿宋" w:hAnsi="仿宋" w:cs="仿宋" w:hint="eastAsia"/>
            <w:lang w:eastAsia="zh-CN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_Toc18015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5" w:history="1">
        <w:r>
          <w:rPr>
            <w:rFonts w:ascii="仿宋" w:eastAsia="仿宋" w:hAnsi="仿宋" w:cs="仿宋" w:hint="eastAsia"/>
            <w:lang w:eastAsia="zh-CN"/>
          </w:rPr>
          <w:t>(四)、竞争对手分析</w:t>
        </w:r>
        <w:r>
          <w:tab/>
        </w:r>
        <w:r>
          <w:fldChar w:fldCharType="begin"/>
        </w:r>
        <w:r>
          <w:instrText xml:space="preserve"> PAGEREF _Toc13355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41" w:history="1">
        <w:r>
          <w:rPr>
            <w:rFonts w:ascii="仿宋" w:eastAsia="仿宋" w:hAnsi="仿宋" w:cs="仿宋" w:hint="eastAsia"/>
            <w:lang w:eastAsia="zh-CN"/>
          </w:rPr>
          <w:t>十三、汽车衡项目风险分析</w:t>
        </w:r>
        <w:r>
          <w:tab/>
        </w:r>
        <w:r>
          <w:fldChar w:fldCharType="begin"/>
        </w:r>
        <w:r>
          <w:instrText xml:space="preserve"> PAGEREF _Toc20541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6" w:history="1">
        <w:r>
          <w:rPr>
            <w:rFonts w:ascii="仿宋" w:eastAsia="仿宋" w:hAnsi="仿宋" w:cs="仿宋" w:hint="eastAsia"/>
            <w:lang w:eastAsia="zh-CN"/>
          </w:rPr>
          <w:t>(一)、汽车衡项目风险分析</w:t>
        </w:r>
        <w:r>
          <w:tab/>
        </w:r>
        <w:r>
          <w:fldChar w:fldCharType="begin"/>
        </w:r>
        <w:r>
          <w:instrText xml:space="preserve"> PAGEREF _Toc26516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3" w:history="1">
        <w:r>
          <w:rPr>
            <w:rFonts w:ascii="仿宋" w:eastAsia="仿宋" w:hAnsi="仿宋" w:cs="仿宋" w:hint="eastAsia"/>
            <w:lang w:eastAsia="zh-CN"/>
          </w:rPr>
          <w:t>(二)、汽车衡项目风险对策</w:t>
        </w:r>
        <w:r>
          <w:tab/>
        </w:r>
        <w:r>
          <w:fldChar w:fldCharType="begin"/>
        </w:r>
        <w:r>
          <w:instrText xml:space="preserve"> PAGEREF _Toc19223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39" w:history="1">
        <w:r>
          <w:rPr>
            <w:rFonts w:ascii="仿宋" w:eastAsia="仿宋" w:hAnsi="仿宋" w:cs="仿宋" w:hint="eastAsia"/>
            <w:lang w:eastAsia="zh-CN"/>
          </w:rPr>
          <w:t>十四、汽车衡项目技术管理</w:t>
        </w:r>
        <w:r>
          <w:tab/>
        </w:r>
        <w:r>
          <w:fldChar w:fldCharType="begin"/>
        </w:r>
        <w:r>
          <w:instrText xml:space="preserve"> PAGEREF _Toc8039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00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_Toc29600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5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_Toc23145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7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_Toc14047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22" w:history="1">
        <w:r>
          <w:rPr>
            <w:rFonts w:ascii="仿宋" w:eastAsia="仿宋" w:hAnsi="仿宋" w:cs="仿宋" w:hint="eastAsia"/>
            <w:lang w:eastAsia="zh-CN"/>
          </w:rPr>
          <w:t>十五、招标方案</w:t>
        </w:r>
        <w:r>
          <w:tab/>
        </w:r>
        <w:r>
          <w:fldChar w:fldCharType="begin"/>
        </w:r>
        <w:r>
          <w:instrText xml:space="preserve"> PAGEREF _Toc32122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849" w:history="1">
        <w:r>
          <w:rPr>
            <w:rFonts w:ascii="仿宋" w:eastAsia="仿宋" w:hAnsi="仿宋" w:cs="仿宋" w:hint="eastAsia"/>
            <w:lang w:eastAsia="zh-CN"/>
          </w:rPr>
          <w:t>(一)、汽车衡项目招标依据</w:t>
        </w:r>
        <w:r>
          <w:tab/>
        </w:r>
        <w:r>
          <w:fldChar w:fldCharType="begin"/>
        </w:r>
        <w:r>
          <w:instrText xml:space="preserve"> PAGEREF _Toc10849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7" w:history="1">
        <w:r>
          <w:rPr>
            <w:rFonts w:ascii="仿宋" w:eastAsia="仿宋" w:hAnsi="仿宋" w:cs="仿宋" w:hint="eastAsia"/>
            <w:lang w:eastAsia="zh-CN"/>
          </w:rPr>
          <w:t>(二)、汽车衡项目招标范围</w:t>
        </w:r>
        <w:r>
          <w:tab/>
        </w:r>
        <w:r>
          <w:fldChar w:fldCharType="begin"/>
        </w:r>
        <w:r>
          <w:instrText xml:space="preserve"> PAGEREF _Toc9077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6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_Toc25906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4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_Toc30634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2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_Toc8842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63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_Toc25663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4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_Toc23694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_Toc28171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_Toc29256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_Toc933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49" w:history="1">
        <w:r>
          <w:rPr>
            <w:rFonts w:ascii="仿宋" w:eastAsia="仿宋" w:hAnsi="仿宋" w:cs="仿宋" w:hint="eastAsia"/>
            <w:lang w:eastAsia="zh-CN"/>
          </w:rPr>
          <w:t>十七、风险性分析</w:t>
        </w:r>
        <w:r>
          <w:tab/>
        </w:r>
        <w:r>
          <w:fldChar w:fldCharType="begin"/>
        </w:r>
        <w:r>
          <w:instrText xml:space="preserve"> PAGEREF _Toc23749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7" w:history="1">
        <w:r>
          <w:rPr>
            <w:rFonts w:ascii="仿宋" w:eastAsia="仿宋" w:hAnsi="仿宋" w:cs="仿宋" w:hint="eastAsia"/>
            <w:lang w:eastAsia="zh-CN"/>
          </w:rPr>
          <w:t>(一)、风险分类与识别</w:t>
        </w:r>
        <w:r>
          <w:tab/>
        </w:r>
        <w:r>
          <w:fldChar w:fldCharType="begin"/>
        </w:r>
        <w:r>
          <w:instrText xml:space="preserve"> PAGEREF _Toc13167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6" w:history="1">
        <w:r>
          <w:rPr>
            <w:rFonts w:ascii="仿宋" w:eastAsia="仿宋" w:hAnsi="仿宋" w:cs="仿宋" w:hint="eastAsia"/>
            <w:lang w:eastAsia="zh-CN"/>
          </w:rPr>
          <w:t>(二)、内部风险</w:t>
        </w:r>
        <w:r>
          <w:tab/>
        </w:r>
        <w:r>
          <w:fldChar w:fldCharType="begin"/>
        </w:r>
        <w:r>
          <w:instrText xml:space="preserve"> PAGEREF _Toc11326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2" w:history="1">
        <w:r>
          <w:rPr>
            <w:rFonts w:ascii="仿宋" w:eastAsia="仿宋" w:hAnsi="仿宋" w:cs="仿宋" w:hint="eastAsia"/>
            <w:lang w:eastAsia="zh-CN"/>
          </w:rPr>
          <w:t>(三)、外部风险</w:t>
        </w:r>
        <w:r>
          <w:tab/>
        </w:r>
        <w:r>
          <w:fldChar w:fldCharType="begin"/>
        </w:r>
        <w:r>
          <w:instrText xml:space="preserve"> PAGEREF _Toc8862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10" w:history="1">
        <w:r>
          <w:rPr>
            <w:rFonts w:ascii="仿宋" w:eastAsia="仿宋" w:hAnsi="仿宋" w:cs="仿宋" w:hint="eastAsia"/>
            <w:lang w:eastAsia="zh-CN"/>
          </w:rPr>
          <w:t>(四)、技术风险</w:t>
        </w:r>
        <w:r>
          <w:tab/>
        </w:r>
        <w:r>
          <w:fldChar w:fldCharType="begin"/>
        </w:r>
        <w:r>
          <w:instrText xml:space="preserve"> PAGEREF _Toc22410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" w:history="1">
        <w:r>
          <w:rPr>
            <w:rFonts w:ascii="仿宋" w:eastAsia="仿宋" w:hAnsi="仿宋" w:cs="仿宋" w:hint="eastAsia"/>
            <w:lang w:eastAsia="zh-CN"/>
          </w:rPr>
          <w:t>(五)、市场风险</w:t>
        </w:r>
        <w:r>
          <w:tab/>
        </w:r>
        <w:r>
          <w:fldChar w:fldCharType="begin"/>
        </w:r>
        <w:r>
          <w:instrText xml:space="preserve"> PAGEREF _Toc335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7" w:history="1">
        <w:r>
          <w:rPr>
            <w:rFonts w:ascii="仿宋" w:eastAsia="仿宋" w:hAnsi="仿宋" w:cs="仿宋" w:hint="eastAsia"/>
            <w:lang w:eastAsia="zh-CN"/>
          </w:rPr>
          <w:t>(六)、法律与法规风险</w:t>
        </w:r>
        <w:r>
          <w:tab/>
        </w:r>
        <w:r>
          <w:fldChar w:fldCharType="begin"/>
        </w:r>
        <w:r>
          <w:instrText xml:space="preserve"> PAGEREF _Toc14417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0" w:history="1">
        <w:r>
          <w:rPr>
            <w:rFonts w:ascii="仿宋" w:eastAsia="仿宋" w:hAnsi="仿宋" w:cs="仿宋" w:hint="eastAsia"/>
            <w:lang w:eastAsia="zh-CN"/>
          </w:rPr>
          <w:t>十八、分销渠道运行绩效评估</w:t>
        </w:r>
        <w:r>
          <w:tab/>
        </w:r>
        <w:r>
          <w:fldChar w:fldCharType="begin"/>
        </w:r>
        <w:r>
          <w:instrText xml:space="preserve"> PAGEREF _Toc3210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1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_Toc8591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9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_Toc29989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6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_Toc11106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53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_Toc31453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_Toc26184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0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_Toc17700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19" w:history="1">
        <w:r>
          <w:rPr>
            <w:rFonts w:ascii="仿宋" w:eastAsia="仿宋" w:hAnsi="仿宋" w:cs="仿宋" w:hint="eastAsia"/>
            <w:lang w:eastAsia="zh-CN"/>
          </w:rPr>
          <w:t>二十、创新投资策略</w:t>
        </w:r>
        <w:r>
          <w:tab/>
        </w:r>
        <w:r>
          <w:fldChar w:fldCharType="begin"/>
        </w:r>
        <w:r>
          <w:instrText xml:space="preserve"> PAGEREF _Toc31019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5" w:history="1">
        <w:r>
          <w:rPr>
            <w:rFonts w:ascii="仿宋" w:eastAsia="仿宋" w:hAnsi="仿宋" w:cs="仿宋" w:hint="eastAsia"/>
            <w:lang w:eastAsia="zh-CN"/>
          </w:rPr>
          <w:t>(一)、创新投资的定义</w:t>
        </w:r>
        <w:r>
          <w:tab/>
        </w:r>
        <w:r>
          <w:fldChar w:fldCharType="begin"/>
        </w:r>
        <w:r>
          <w:instrText xml:space="preserve"> PAGEREF _Toc3955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9" w:history="1">
        <w:r>
          <w:rPr>
            <w:rFonts w:ascii="仿宋" w:eastAsia="仿宋" w:hAnsi="仿宋" w:cs="仿宋" w:hint="eastAsia"/>
            <w:lang w:eastAsia="zh-CN"/>
          </w:rPr>
          <w:t>(二)、创新投资与企业战略的关系</w:t>
        </w:r>
        <w:r>
          <w:tab/>
        </w:r>
        <w:r>
          <w:fldChar w:fldCharType="begin"/>
        </w:r>
        <w:r>
          <w:instrText xml:space="preserve"> PAGEREF _Toc2289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8" w:history="1">
        <w:r>
          <w:rPr>
            <w:rFonts w:ascii="仿宋" w:eastAsia="仿宋" w:hAnsi="仿宋" w:cs="仿宋" w:hint="eastAsia"/>
            <w:lang w:eastAsia="zh-CN"/>
          </w:rPr>
          <w:t>(三)、创新投资决策过程</w:t>
        </w:r>
        <w:r>
          <w:tab/>
        </w:r>
        <w:r>
          <w:fldChar w:fldCharType="begin"/>
        </w:r>
        <w:r>
          <w:instrText xml:space="preserve"> PAGEREF _Toc11558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6" w:history="1">
        <w:r>
          <w:rPr>
            <w:rFonts w:ascii="仿宋" w:eastAsia="仿宋" w:hAnsi="仿宋" w:cs="仿宋" w:hint="eastAsia"/>
            <w:lang w:eastAsia="zh-CN"/>
          </w:rPr>
          <w:t>(四)、创新投资的风险管理</w:t>
        </w:r>
        <w:r>
          <w:tab/>
        </w:r>
        <w:r>
          <w:fldChar w:fldCharType="begin"/>
        </w:r>
        <w:r>
          <w:instrText xml:space="preserve"> PAGEREF _Toc32106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37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735"/>
      <w:r>
        <w:rPr>
          <w:rFonts w:ascii="仿宋" w:eastAsia="仿宋" w:hAnsi="仿宋" w:cs="仿宋" w:hint="eastAsia"/>
          <w:sz w:val="28"/>
          <w:lang w:eastAsia="zh-CN"/>
        </w:rPr>
        <w:t>一、汽车衡企业战略的制定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454"/>
      <w:r>
        <w:rPr>
          <w:rFonts w:ascii="仿宋" w:eastAsia="仿宋" w:hAnsi="仿宋" w:cs="仿宋" w:hint="eastAsia"/>
          <w:lang w:eastAsia="zh-CN"/>
        </w:rPr>
        <w:t>(一)、汽车衡企业战略的制定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衡企业策略规划是企业整体发展考虑，目标是为了实现企业使命和战略目标。要考虑行业变化趋势和竞争对手的行动，制定全面的企业战略。制定战略是一个决策过程，所以需要科学有序地管理战略制定的所有环节，才能制定出正确的经营战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确立企业愿景、使命和战略目标是制定企业战略的首要任务。企业愿景是通过内部成员共同制定，形成共同努力的未来方向。每位员工都应该参与，以使愿景更有价值和竞争力。企业使命阐述了企业的根本性质和存在理由，为战略目标的确定提供基础。明确的使命有助于确立企业的经营主线，提高整体运行效率。企业战略目标是在一定时期内预期达到的理想成果，需要考虑盈利、服务、员工和社会责任等方面，符合社会道德标准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https://d.book118.com/135210043212011120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汽车衡项目招商引资报告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汽车衡项目招商引资报告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汽车衡项目招商引资报告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汽车衡项目招商引资报告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汽车衡项目招商引资报告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92FD4"/>
    <w:rsid w:val="4593521B"/>
    <w:rsid w:val="58E92FD4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5210043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2024-03-01T12:42:00Z</dcterms:created>
  <dcterms:modified xsi:type="dcterms:W3CDTF">2024-03-01T12:42:17Z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74ED682F599F438F8DA69B883E43D6D5_11</vt:lpwstr>
  </property>
  <property fmtid="{D5CDD505-2E9C-101B-9397-08002B2CF9AE}" pid="3" name="KSOProductBuildVer">
    <vt:lpwstr>2052-12.1.0.16399</vt:lpwstr>
  </property>
</Properties>
</file>