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25" w:lineRule="auto"/>
        <w:rPr>
          <w:rFonts w:ascii="Arial"/>
          <w:sz w:val="21"/>
        </w:rPr>
      </w:pPr>
    </w:p>
    <w:p>
      <w:pPr>
        <w:spacing w:before="198" w:line="223" w:lineRule="auto"/>
        <w:ind w:left="2731"/>
        <w:rPr>
          <w:rFonts w:ascii="SimHei" w:eastAsia="SimHei" w:hAnsi="SimHei" w:cs="SimHei"/>
          <w:sz w:val="61"/>
          <w:szCs w:val="61"/>
        </w:rPr>
      </w:pPr>
      <w:r>
        <w:rPr>
          <w:rFonts w:ascii="SimHei" w:eastAsia="SimHei" w:hAnsi="SimHei" w:cs="SimHei"/>
          <w:b/>
          <w:bCs/>
          <w:spacing w:val="28"/>
          <w:sz w:val="61"/>
          <w:szCs w:val="61"/>
        </w:rPr>
        <w:t>股份有限公司财务状况分析</w:t>
      </w:r>
    </w:p>
    <w:p>
      <w:pPr>
        <w:spacing w:line="275"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before="137" w:line="420" w:lineRule="auto"/>
        <w:ind w:left="2" w:firstLine="50"/>
        <w:jc w:val="both"/>
        <w:rPr>
          <w:rFonts w:ascii="SimSun" w:eastAsia="SimSun" w:hAnsi="SimSun" w:cs="SimSun"/>
          <w:sz w:val="42"/>
          <w:szCs w:val="42"/>
        </w:rPr>
      </w:pPr>
      <w:r>
        <w:rPr>
          <w:rFonts w:ascii="SimHei" w:eastAsia="SimHei" w:hAnsi="SimHei" w:cs="SimHei"/>
          <w:b/>
          <w:bCs/>
          <w:spacing w:val="2"/>
          <w:sz w:val="42"/>
          <w:szCs w:val="42"/>
        </w:rPr>
        <w:t>【摘要】</w:t>
      </w:r>
      <w:r>
        <w:rPr>
          <w:rFonts w:ascii="SimSun" w:eastAsia="SimSun" w:hAnsi="SimSun" w:cs="SimSun"/>
          <w:spacing w:val="2"/>
          <w:sz w:val="42"/>
          <w:szCs w:val="42"/>
        </w:rPr>
        <w:t>山东海化是一家大型新型海洋化工公司，集科、</w:t>
      </w:r>
      <w:r>
        <w:rPr>
          <w:rFonts w:ascii="SimSun" w:eastAsia="SimSun" w:hAnsi="SimSun" w:cs="SimSun"/>
          <w:spacing w:val="1"/>
          <w:sz w:val="42"/>
          <w:szCs w:val="42"/>
        </w:rPr>
        <w:t>工、贸等为一体的现代化特大型企业，</w:t>
      </w:r>
      <w:r>
        <w:rPr>
          <w:rFonts w:ascii="SimSun" w:eastAsia="SimSun" w:hAnsi="SimSun" w:cs="SimSun"/>
          <w:sz w:val="42"/>
          <w:szCs w:val="42"/>
        </w:rPr>
        <w:t xml:space="preserve"> </w:t>
      </w:r>
      <w:r>
        <w:rPr>
          <w:rFonts w:ascii="SimSun" w:eastAsia="SimSun" w:hAnsi="SimSun" w:cs="SimSun"/>
          <w:spacing w:val="8"/>
          <w:sz w:val="42"/>
          <w:szCs w:val="42"/>
        </w:rPr>
        <w:t>它的经营状况对同行业有一定的影响，本文运用财务报表和其他相关资料，采用财务分析的专</w:t>
      </w:r>
      <w:r>
        <w:rPr>
          <w:rFonts w:ascii="SimSun" w:eastAsia="SimSun" w:hAnsi="SimSun" w:cs="SimSun"/>
          <w:spacing w:val="7"/>
          <w:sz w:val="42"/>
          <w:szCs w:val="42"/>
        </w:rPr>
        <w:t xml:space="preserve">  </w:t>
      </w:r>
      <w:r>
        <w:rPr>
          <w:rFonts w:ascii="SimSun" w:eastAsia="SimSun" w:hAnsi="SimSun" w:cs="SimSun"/>
          <w:spacing w:val="11"/>
          <w:sz w:val="42"/>
          <w:szCs w:val="42"/>
        </w:rPr>
        <w:t>门方法，系统分析和评价企业的过去和现在的经营成果、财务状况及其变动，目的是了解</w:t>
      </w:r>
      <w:r>
        <w:rPr>
          <w:rFonts w:ascii="SimSun" w:eastAsia="SimSun" w:hAnsi="SimSun" w:cs="SimSun"/>
          <w:spacing w:val="10"/>
          <w:sz w:val="42"/>
          <w:szCs w:val="42"/>
        </w:rPr>
        <w:t>企业</w:t>
      </w:r>
      <w:r>
        <w:rPr>
          <w:rFonts w:ascii="SimSun" w:eastAsia="SimSun" w:hAnsi="SimSun" w:cs="SimSun"/>
          <w:sz w:val="42"/>
          <w:szCs w:val="42"/>
        </w:rPr>
        <w:t xml:space="preserve"> </w:t>
      </w:r>
      <w:r>
        <w:rPr>
          <w:rFonts w:ascii="SimSun" w:eastAsia="SimSun" w:hAnsi="SimSun" w:cs="SimSun"/>
          <w:spacing w:val="8"/>
          <w:sz w:val="42"/>
          <w:szCs w:val="42"/>
        </w:rPr>
        <w:t>过去、评价现在、预测未来，帮助相关利益集团做出并改善决策。本文主要从山东海化的基本</w:t>
      </w:r>
      <w:r>
        <w:rPr>
          <w:rFonts w:ascii="SimSun" w:eastAsia="SimSun" w:hAnsi="SimSun" w:cs="SimSun"/>
          <w:spacing w:val="5"/>
          <w:sz w:val="42"/>
          <w:szCs w:val="42"/>
        </w:rPr>
        <w:t xml:space="preserve">  </w:t>
      </w:r>
      <w:r>
        <w:rPr>
          <w:rFonts w:ascii="SimSun" w:eastAsia="SimSun" w:hAnsi="SimSun" w:cs="SimSun"/>
          <w:spacing w:val="9"/>
          <w:sz w:val="42"/>
          <w:szCs w:val="42"/>
        </w:rPr>
        <w:t>情况、企业偿债能力、营运能力、盈利能力、综合能力等方面着手，深</w:t>
      </w:r>
      <w:r>
        <w:rPr>
          <w:rFonts w:ascii="SimSun" w:eastAsia="SimSun" w:hAnsi="SimSun" w:cs="SimSun"/>
          <w:spacing w:val="8"/>
          <w:sz w:val="42"/>
          <w:szCs w:val="42"/>
        </w:rPr>
        <w:t xml:space="preserve">入讨论山东海化的经营 </w:t>
      </w:r>
      <w:r>
        <w:rPr>
          <w:rFonts w:ascii="SimSun" w:eastAsia="SimSun" w:hAnsi="SimSun" w:cs="SimSun"/>
          <w:spacing w:val="8"/>
          <w:sz w:val="42"/>
          <w:szCs w:val="42"/>
        </w:rPr>
        <w:t>管理中存在的财务状况的现状及问题，查找产生问题的原因，并对今后的财务经营管理提出合</w:t>
      </w:r>
    </w:p>
    <w:p>
      <w:pPr>
        <w:spacing w:before="1" w:line="221" w:lineRule="auto"/>
        <w:ind w:left="2"/>
        <w:rPr>
          <w:rFonts w:ascii="SimSun" w:eastAsia="SimSun" w:hAnsi="SimSun" w:cs="SimSun"/>
          <w:sz w:val="42"/>
          <w:szCs w:val="42"/>
        </w:rPr>
      </w:pPr>
      <w:r>
        <w:rPr>
          <w:rFonts w:ascii="SimSun" w:eastAsia="SimSun" w:hAnsi="SimSun" w:cs="SimSun"/>
          <w:spacing w:val="-1"/>
          <w:sz w:val="42"/>
          <w:szCs w:val="42"/>
        </w:rPr>
        <w:t>理建议。</w:t>
      </w:r>
    </w:p>
    <w:p>
      <w:pPr>
        <w:spacing w:line="253" w:lineRule="auto"/>
        <w:rPr>
          <w:rFonts w:ascii="Arial"/>
          <w:sz w:val="21"/>
        </w:rPr>
      </w:pPr>
    </w:p>
    <w:p>
      <w:pPr>
        <w:spacing w:line="253" w:lineRule="auto"/>
        <w:rPr>
          <w:rFonts w:ascii="Arial"/>
          <w:sz w:val="21"/>
        </w:rPr>
      </w:pPr>
    </w:p>
    <w:p>
      <w:pPr>
        <w:spacing w:before="137" w:line="224" w:lineRule="auto"/>
        <w:ind w:left="61"/>
        <w:rPr>
          <w:rFonts w:ascii="SimSun" w:eastAsia="SimSun" w:hAnsi="SimSun" w:cs="SimSun"/>
          <w:sz w:val="42"/>
          <w:szCs w:val="42"/>
        </w:rPr>
      </w:pPr>
      <w:r>
        <w:rPr>
          <w:rFonts w:ascii="SimSun" w:eastAsia="SimSun" w:hAnsi="SimSun" w:cs="SimSun"/>
          <w:b/>
          <w:bCs/>
          <w:spacing w:val="8"/>
          <w:sz w:val="42"/>
          <w:szCs w:val="42"/>
        </w:rPr>
        <w:t>【关键词</w:t>
      </w:r>
      <w:r>
        <w:rPr>
          <w:rFonts w:ascii="SimHei" w:eastAsia="SimHei" w:hAnsi="SimHei" w:cs="SimHei"/>
          <w:spacing w:val="8"/>
          <w:sz w:val="42"/>
          <w:szCs w:val="42"/>
        </w:rPr>
        <w:t>】</w:t>
      </w:r>
      <w:r>
        <w:rPr>
          <w:rFonts w:ascii="SimHei" w:eastAsia="SimHei" w:hAnsi="SimHei" w:cs="SimHei"/>
          <w:spacing w:val="-58"/>
          <w:sz w:val="42"/>
          <w:szCs w:val="42"/>
        </w:rPr>
        <w:t xml:space="preserve"> </w:t>
      </w:r>
      <w:r>
        <w:rPr>
          <w:rFonts w:ascii="SimSun" w:eastAsia="SimSun" w:hAnsi="SimSun" w:cs="SimSun"/>
          <w:spacing w:val="8"/>
          <w:sz w:val="42"/>
          <w:szCs w:val="42"/>
        </w:rPr>
        <w:t>财务状况；财务分析；问题和建议</w:t>
      </w:r>
    </w:p>
    <w:p>
      <w:pPr>
        <w:spacing w:line="284" w:lineRule="auto"/>
        <w:rPr>
          <w:rFonts w:ascii="Arial"/>
          <w:sz w:val="21"/>
        </w:rPr>
      </w:pP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pStyle w:val="BodyText"/>
        <w:spacing w:before="196" w:line="191" w:lineRule="auto"/>
        <w:ind w:left="1301"/>
        <w:outlineLvl w:val="0"/>
        <w:rPr>
          <w:sz w:val="68"/>
          <w:szCs w:val="68"/>
        </w:rPr>
      </w:pPr>
      <w:r>
        <w:rPr>
          <w:b/>
          <w:bCs/>
          <w:spacing w:val="-10"/>
          <w:sz w:val="68"/>
          <w:szCs w:val="68"/>
        </w:rPr>
        <w:t>Shandong HaiHua Co.,LTD fina</w:t>
      </w:r>
      <w:r>
        <w:rPr>
          <w:b/>
          <w:bCs/>
          <w:spacing w:val="-11"/>
          <w:sz w:val="68"/>
          <w:szCs w:val="68"/>
        </w:rPr>
        <w:t>ncial condition analysis</w:t>
      </w: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pStyle w:val="BodyText"/>
        <w:spacing w:before="138" w:line="214" w:lineRule="auto"/>
        <w:ind w:left="8"/>
      </w:pPr>
      <w:r>
        <w:rPr>
          <w:rFonts w:ascii="SimSun" w:eastAsia="SimSun" w:hAnsi="SimSun" w:cs="SimSun"/>
          <w:b/>
          <w:bCs/>
          <w:spacing w:val="3"/>
        </w:rPr>
        <w:t>【</w:t>
      </w:r>
      <w:r>
        <w:rPr>
          <w:b/>
          <w:bCs/>
        </w:rPr>
        <w:t>Abstract</w:t>
      </w:r>
      <w:r>
        <w:rPr>
          <w:rFonts w:ascii="SimSun" w:eastAsia="SimSun" w:hAnsi="SimSun" w:cs="SimSun"/>
          <w:b/>
          <w:bCs/>
          <w:spacing w:val="3"/>
        </w:rPr>
        <w:t>】</w:t>
      </w:r>
      <w:r>
        <w:t>Shandong</w:t>
      </w:r>
      <w:r>
        <w:rPr>
          <w:spacing w:val="42"/>
        </w:rPr>
        <w:t xml:space="preserve"> </w:t>
      </w:r>
      <w:r>
        <w:t>HaiHua</w:t>
      </w:r>
      <w:r>
        <w:rPr>
          <w:spacing w:val="47"/>
        </w:rPr>
        <w:t xml:space="preserve"> </w:t>
      </w:r>
      <w:r>
        <w:t>is</w:t>
      </w:r>
      <w:r>
        <w:rPr>
          <w:spacing w:val="50"/>
        </w:rPr>
        <w:t xml:space="preserve"> </w:t>
      </w:r>
      <w:r>
        <w:t>a</w:t>
      </w:r>
      <w:r>
        <w:rPr>
          <w:spacing w:val="49"/>
        </w:rPr>
        <w:t xml:space="preserve"> </w:t>
      </w:r>
      <w:r>
        <w:t>large</w:t>
      </w:r>
      <w:r>
        <w:rPr>
          <w:spacing w:val="37"/>
        </w:rPr>
        <w:t xml:space="preserve"> </w:t>
      </w:r>
      <w:r>
        <w:t>new</w:t>
      </w:r>
      <w:r>
        <w:rPr>
          <w:spacing w:val="50"/>
        </w:rPr>
        <w:t xml:space="preserve"> </w:t>
      </w:r>
      <w:r>
        <w:t>ocean</w:t>
      </w:r>
      <w:r>
        <w:rPr>
          <w:spacing w:val="50"/>
        </w:rPr>
        <w:t xml:space="preserve"> </w:t>
      </w:r>
      <w:r>
        <w:t>chemical</w:t>
      </w:r>
      <w:r>
        <w:rPr>
          <w:spacing w:val="50"/>
        </w:rPr>
        <w:t xml:space="preserve"> </w:t>
      </w:r>
      <w:r>
        <w:t>company</w:t>
      </w:r>
      <w:r>
        <w:rPr>
          <w:spacing w:val="3"/>
        </w:rPr>
        <w:t>,</w:t>
      </w:r>
      <w:r>
        <w:t>integrated</w:t>
      </w:r>
      <w:r>
        <w:rPr>
          <w:spacing w:val="37"/>
        </w:rPr>
        <w:t xml:space="preserve"> </w:t>
      </w:r>
      <w:r>
        <w:t>with</w:t>
      </w:r>
      <w:r>
        <w:rPr>
          <w:spacing w:val="56"/>
        </w:rPr>
        <w:t xml:space="preserve"> </w:t>
      </w:r>
      <w:r>
        <w:t>science</w:t>
      </w:r>
      <w:r>
        <w:rPr>
          <w:spacing w:val="3"/>
        </w:rPr>
        <w:t>,</w:t>
      </w:r>
    </w:p>
    <w:p>
      <w:pPr>
        <w:spacing w:line="347" w:lineRule="auto"/>
        <w:rPr>
          <w:rFonts w:ascii="Arial"/>
          <w:sz w:val="21"/>
        </w:rPr>
      </w:pPr>
    </w:p>
    <w:p>
      <w:pPr>
        <w:pStyle w:val="BodyText"/>
        <w:spacing w:before="121" w:line="194" w:lineRule="auto"/>
        <w:ind w:left="2"/>
      </w:pPr>
      <w:r>
        <w:t>industry</w:t>
      </w:r>
      <w:r>
        <w:rPr>
          <w:spacing w:val="38"/>
        </w:rPr>
        <w:t xml:space="preserve"> </w:t>
      </w:r>
      <w:r>
        <w:t>and trade</w:t>
      </w:r>
      <w:r>
        <w:rPr>
          <w:spacing w:val="37"/>
        </w:rPr>
        <w:t xml:space="preserve"> </w:t>
      </w:r>
      <w:r>
        <w:t>as</w:t>
      </w:r>
      <w:r>
        <w:rPr>
          <w:spacing w:val="38"/>
        </w:rPr>
        <w:t xml:space="preserve"> </w:t>
      </w:r>
      <w:r>
        <w:t>a modern</w:t>
      </w:r>
      <w:r>
        <w:rPr>
          <w:spacing w:val="35"/>
        </w:rPr>
        <w:t xml:space="preserve"> </w:t>
      </w:r>
      <w:r>
        <w:t>large</w:t>
      </w:r>
      <w:r>
        <w:rPr>
          <w:spacing w:val="37"/>
        </w:rPr>
        <w:t xml:space="preserve"> </w:t>
      </w:r>
      <w:r>
        <w:t>enterprise,its</w:t>
      </w:r>
      <w:r>
        <w:rPr>
          <w:spacing w:val="37"/>
        </w:rPr>
        <w:t xml:space="preserve"> </w:t>
      </w:r>
      <w:r>
        <w:t>operation</w:t>
      </w:r>
      <w:r>
        <w:rPr>
          <w:spacing w:val="43"/>
        </w:rPr>
        <w:t xml:space="preserve"> </w:t>
      </w:r>
      <w:r>
        <w:t>state</w:t>
      </w:r>
      <w:r>
        <w:rPr>
          <w:spacing w:val="36"/>
        </w:rPr>
        <w:t xml:space="preserve"> </w:t>
      </w:r>
      <w:r>
        <w:t>of the</w:t>
      </w:r>
      <w:r>
        <w:rPr>
          <w:spacing w:val="43"/>
        </w:rPr>
        <w:t xml:space="preserve"> </w:t>
      </w:r>
      <w:r>
        <w:t>same</w:t>
      </w:r>
      <w:r>
        <w:rPr>
          <w:spacing w:val="35"/>
        </w:rPr>
        <w:t xml:space="preserve"> </w:t>
      </w:r>
      <w:r>
        <w:t>ind</w:t>
      </w:r>
      <w:r>
        <w:rPr>
          <w:spacing w:val="-1"/>
        </w:rPr>
        <w:t>ustry</w:t>
      </w:r>
      <w:r>
        <w:rPr>
          <w:spacing w:val="26"/>
        </w:rPr>
        <w:t xml:space="preserve"> </w:t>
      </w:r>
      <w:r>
        <w:rPr>
          <w:spacing w:val="-1"/>
        </w:rPr>
        <w:t>to</w:t>
      </w:r>
      <w:r>
        <w:rPr>
          <w:spacing w:val="37"/>
        </w:rPr>
        <w:t xml:space="preserve"> </w:t>
      </w:r>
      <w:r>
        <w:rPr>
          <w:spacing w:val="-1"/>
        </w:rPr>
        <w:t>a</w:t>
      </w:r>
      <w:r>
        <w:rPr>
          <w:spacing w:val="37"/>
        </w:rPr>
        <w:t xml:space="preserve"> </w:t>
      </w:r>
      <w:r>
        <w:rPr>
          <w:spacing w:val="-1"/>
        </w:rPr>
        <w:t>certain</w:t>
      </w:r>
    </w:p>
    <w:p>
      <w:pPr>
        <w:spacing w:line="378" w:lineRule="auto"/>
        <w:rPr>
          <w:rFonts w:ascii="Arial"/>
          <w:sz w:val="21"/>
        </w:rPr>
      </w:pPr>
    </w:p>
    <w:p>
      <w:pPr>
        <w:pStyle w:val="BodyText"/>
        <w:spacing w:before="121" w:line="194" w:lineRule="auto"/>
        <w:ind w:left="2"/>
      </w:pPr>
      <w:r>
        <w:t>extent</w:t>
      </w:r>
      <w:r>
        <w:rPr>
          <w:spacing w:val="3"/>
        </w:rPr>
        <w:t>,</w:t>
      </w:r>
      <w:r>
        <w:t>This</w:t>
      </w:r>
      <w:r>
        <w:rPr>
          <w:spacing w:val="47"/>
        </w:rPr>
        <w:t xml:space="preserve"> </w:t>
      </w:r>
      <w:r>
        <w:t>paper</w:t>
      </w:r>
      <w:r>
        <w:rPr>
          <w:spacing w:val="47"/>
        </w:rPr>
        <w:t xml:space="preserve"> </w:t>
      </w:r>
      <w:r>
        <w:t>USES</w:t>
      </w:r>
      <w:r>
        <w:rPr>
          <w:spacing w:val="53"/>
        </w:rPr>
        <w:t xml:space="preserve"> </w:t>
      </w:r>
      <w:r>
        <w:t>the</w:t>
      </w:r>
      <w:r>
        <w:rPr>
          <w:spacing w:val="64"/>
        </w:rPr>
        <w:t xml:space="preserve"> </w:t>
      </w:r>
      <w:r>
        <w:t>financial</w:t>
      </w:r>
      <w:r>
        <w:rPr>
          <w:spacing w:val="69"/>
        </w:rPr>
        <w:t xml:space="preserve"> </w:t>
      </w:r>
      <w:r>
        <w:t>statements</w:t>
      </w:r>
      <w:r>
        <w:rPr>
          <w:spacing w:val="63"/>
        </w:rPr>
        <w:t xml:space="preserve"> </w:t>
      </w:r>
      <w:r>
        <w:t>and</w:t>
      </w:r>
      <w:r>
        <w:rPr>
          <w:spacing w:val="61"/>
        </w:rPr>
        <w:t xml:space="preserve"> </w:t>
      </w:r>
      <w:r>
        <w:t>other</w:t>
      </w:r>
      <w:r>
        <w:rPr>
          <w:spacing w:val="48"/>
        </w:rPr>
        <w:t xml:space="preserve"> </w:t>
      </w:r>
      <w:r>
        <w:t>related</w:t>
      </w:r>
      <w:r>
        <w:rPr>
          <w:spacing w:val="51"/>
        </w:rPr>
        <w:t xml:space="preserve"> </w:t>
      </w:r>
      <w:r>
        <w:t>material</w:t>
      </w:r>
      <w:r>
        <w:rPr>
          <w:spacing w:val="3"/>
        </w:rPr>
        <w:t>,</w:t>
      </w:r>
      <w:r>
        <w:t>using</w:t>
      </w:r>
      <w:r>
        <w:rPr>
          <w:spacing w:val="64"/>
        </w:rPr>
        <w:t xml:space="preserve"> </w:t>
      </w:r>
      <w:r>
        <w:t>financial</w:t>
      </w:r>
      <w:r>
        <w:rPr>
          <w:spacing w:val="64"/>
        </w:rPr>
        <w:t xml:space="preserve"> </w:t>
      </w:r>
      <w:r>
        <w:t>analysis</w:t>
      </w:r>
    </w:p>
    <w:p>
      <w:pPr>
        <w:spacing w:line="378" w:lineRule="auto"/>
        <w:rPr>
          <w:rFonts w:ascii="Arial"/>
          <w:sz w:val="21"/>
        </w:rPr>
      </w:pPr>
    </w:p>
    <w:p>
      <w:pPr>
        <w:pStyle w:val="BodyText"/>
        <w:spacing w:before="122" w:line="194" w:lineRule="auto"/>
        <w:ind w:left="2"/>
      </w:pPr>
      <w:r>
        <w:t>of</w:t>
      </w:r>
      <w:r>
        <w:rPr>
          <w:spacing w:val="23"/>
        </w:rPr>
        <w:t xml:space="preserve"> </w:t>
      </w:r>
      <w:r>
        <w:t>specialized</w:t>
      </w:r>
      <w:r>
        <w:rPr>
          <w:spacing w:val="23"/>
        </w:rPr>
        <w:t xml:space="preserve"> </w:t>
      </w:r>
      <w:r>
        <w:t>method</w:t>
      </w:r>
      <w:r>
        <w:rPr>
          <w:spacing w:val="23"/>
        </w:rPr>
        <w:t>,</w:t>
      </w:r>
      <w:r>
        <w:t>the</w:t>
      </w:r>
      <w:r>
        <w:rPr>
          <w:spacing w:val="47"/>
        </w:rPr>
        <w:t xml:space="preserve"> </w:t>
      </w:r>
      <w:r>
        <w:t>system</w:t>
      </w:r>
      <w:r>
        <w:rPr>
          <w:spacing w:val="39"/>
        </w:rPr>
        <w:t xml:space="preserve"> </w:t>
      </w:r>
      <w:r>
        <w:t>analysis</w:t>
      </w:r>
      <w:r>
        <w:rPr>
          <w:spacing w:val="39"/>
        </w:rPr>
        <w:t xml:space="preserve"> </w:t>
      </w:r>
      <w:r>
        <w:t>and</w:t>
      </w:r>
      <w:r>
        <w:rPr>
          <w:spacing w:val="38"/>
        </w:rPr>
        <w:t xml:space="preserve"> </w:t>
      </w:r>
      <w:r>
        <w:t>evaluation</w:t>
      </w:r>
      <w:r>
        <w:rPr>
          <w:spacing w:val="38"/>
        </w:rPr>
        <w:t xml:space="preserve"> </w:t>
      </w:r>
      <w:r>
        <w:t>of</w:t>
      </w:r>
      <w:r>
        <w:rPr>
          <w:spacing w:val="23"/>
        </w:rPr>
        <w:t xml:space="preserve"> </w:t>
      </w:r>
      <w:r>
        <w:t>enterprise</w:t>
      </w:r>
      <w:r>
        <w:rPr>
          <w:spacing w:val="23"/>
        </w:rPr>
        <w:t>'</w:t>
      </w:r>
      <w:r>
        <w:t>s</w:t>
      </w:r>
      <w:r>
        <w:rPr>
          <w:spacing w:val="23"/>
        </w:rPr>
        <w:t xml:space="preserve"> </w:t>
      </w:r>
      <w:r>
        <w:t>past</w:t>
      </w:r>
      <w:r>
        <w:rPr>
          <w:spacing w:val="38"/>
        </w:rPr>
        <w:t xml:space="preserve"> </w:t>
      </w:r>
      <w:r>
        <w:t>and</w:t>
      </w:r>
      <w:r>
        <w:rPr>
          <w:spacing w:val="23"/>
        </w:rPr>
        <w:t xml:space="preserve"> </w:t>
      </w:r>
      <w:r>
        <w:t>present</w:t>
      </w:r>
      <w:r>
        <w:rPr>
          <w:spacing w:val="23"/>
        </w:rPr>
        <w:t xml:space="preserve"> </w:t>
      </w:r>
      <w:r>
        <w:t>results</w:t>
      </w:r>
      <w:r>
        <w:rPr>
          <w:spacing w:val="38"/>
        </w:rPr>
        <w:t xml:space="preserve"> </w:t>
      </w:r>
      <w:r>
        <w:t>of</w:t>
      </w:r>
    </w:p>
    <w:p>
      <w:pPr>
        <w:spacing w:line="379" w:lineRule="auto"/>
        <w:rPr>
          <w:rFonts w:ascii="Arial"/>
          <w:sz w:val="21"/>
        </w:rPr>
      </w:pPr>
    </w:p>
    <w:p>
      <w:pPr>
        <w:pStyle w:val="BodyText"/>
        <w:spacing w:before="120" w:line="892" w:lineRule="exact"/>
        <w:ind w:left="2"/>
      </w:pPr>
      <w:r>
        <w:rPr>
          <w:position w:val="42"/>
        </w:rPr>
        <w:t>operations</w:t>
      </w:r>
      <w:r>
        <w:rPr>
          <w:spacing w:val="6"/>
          <w:position w:val="42"/>
        </w:rPr>
        <w:t>,</w:t>
      </w:r>
      <w:r>
        <w:rPr>
          <w:position w:val="42"/>
        </w:rPr>
        <w:t>financial</w:t>
      </w:r>
      <w:r>
        <w:rPr>
          <w:spacing w:val="73"/>
          <w:position w:val="42"/>
        </w:rPr>
        <w:t xml:space="preserve"> </w:t>
      </w:r>
      <w:r>
        <w:rPr>
          <w:position w:val="42"/>
        </w:rPr>
        <w:t>status</w:t>
      </w:r>
      <w:r>
        <w:rPr>
          <w:spacing w:val="68"/>
          <w:position w:val="42"/>
        </w:rPr>
        <w:t xml:space="preserve"> </w:t>
      </w:r>
      <w:r>
        <w:rPr>
          <w:position w:val="42"/>
        </w:rPr>
        <w:t>and</w:t>
      </w:r>
      <w:r>
        <w:rPr>
          <w:spacing w:val="64"/>
          <w:position w:val="42"/>
        </w:rPr>
        <w:t xml:space="preserve"> </w:t>
      </w:r>
      <w:r>
        <w:rPr>
          <w:position w:val="42"/>
        </w:rPr>
        <w:t>its</w:t>
      </w:r>
      <w:r>
        <w:rPr>
          <w:spacing w:val="67"/>
          <w:position w:val="42"/>
        </w:rPr>
        <w:t xml:space="preserve"> </w:t>
      </w:r>
      <w:r>
        <w:rPr>
          <w:position w:val="42"/>
        </w:rPr>
        <w:t>change</w:t>
      </w:r>
      <w:r>
        <w:rPr>
          <w:spacing w:val="6"/>
          <w:position w:val="42"/>
        </w:rPr>
        <w:t>,</w:t>
      </w:r>
      <w:r>
        <w:rPr>
          <w:position w:val="42"/>
        </w:rPr>
        <w:t>the</w:t>
      </w:r>
      <w:r>
        <w:rPr>
          <w:spacing w:val="51"/>
          <w:position w:val="42"/>
        </w:rPr>
        <w:t xml:space="preserve"> </w:t>
      </w:r>
      <w:r>
        <w:rPr>
          <w:position w:val="42"/>
        </w:rPr>
        <w:t>purpose</w:t>
      </w:r>
      <w:r>
        <w:rPr>
          <w:spacing w:val="65"/>
          <w:position w:val="42"/>
        </w:rPr>
        <w:t xml:space="preserve"> </w:t>
      </w:r>
      <w:r>
        <w:rPr>
          <w:position w:val="42"/>
        </w:rPr>
        <w:t>is</w:t>
      </w:r>
      <w:r>
        <w:rPr>
          <w:spacing w:val="57"/>
          <w:position w:val="42"/>
        </w:rPr>
        <w:t xml:space="preserve"> </w:t>
      </w:r>
      <w:r>
        <w:rPr>
          <w:position w:val="42"/>
        </w:rPr>
        <w:t>to</w:t>
      </w:r>
      <w:r>
        <w:rPr>
          <w:spacing w:val="53"/>
          <w:position w:val="42"/>
        </w:rPr>
        <w:t xml:space="preserve"> </w:t>
      </w:r>
      <w:r>
        <w:rPr>
          <w:position w:val="42"/>
        </w:rPr>
        <w:t>understand</w:t>
      </w:r>
      <w:r>
        <w:rPr>
          <w:spacing w:val="68"/>
          <w:position w:val="42"/>
        </w:rPr>
        <w:t xml:space="preserve"> </w:t>
      </w:r>
      <w:r>
        <w:rPr>
          <w:position w:val="42"/>
        </w:rPr>
        <w:t>enterprise</w:t>
      </w:r>
      <w:r>
        <w:rPr>
          <w:spacing w:val="51"/>
          <w:position w:val="42"/>
        </w:rPr>
        <w:t xml:space="preserve"> </w:t>
      </w:r>
      <w:r>
        <w:rPr>
          <w:position w:val="42"/>
        </w:rPr>
        <w:t>past</w:t>
      </w:r>
      <w:r>
        <w:rPr>
          <w:spacing w:val="6"/>
          <w:position w:val="42"/>
        </w:rPr>
        <w:t>,</w:t>
      </w:r>
      <w:r>
        <w:rPr>
          <w:position w:val="42"/>
        </w:rPr>
        <w:t>evaluation</w:t>
      </w:r>
      <w:r>
        <w:rPr>
          <w:spacing w:val="56"/>
          <w:position w:val="42"/>
        </w:rPr>
        <w:t xml:space="preserve"> </w:t>
      </w:r>
      <w:r>
        <w:rPr>
          <w:position w:val="42"/>
        </w:rPr>
        <w:t>now</w:t>
      </w:r>
      <w:r>
        <w:rPr>
          <w:spacing w:val="6"/>
          <w:position w:val="42"/>
        </w:rPr>
        <w:t>,</w:t>
      </w:r>
    </w:p>
    <w:p>
      <w:pPr>
        <w:pStyle w:val="BodyText"/>
        <w:spacing w:before="2" w:line="193" w:lineRule="auto"/>
        <w:ind w:left="2"/>
      </w:pPr>
      <w:r>
        <w:t>predict</w:t>
      </w:r>
      <w:r>
        <w:rPr>
          <w:spacing w:val="47"/>
        </w:rPr>
        <w:t xml:space="preserve"> </w:t>
      </w:r>
      <w:r>
        <w:t>the</w:t>
      </w:r>
      <w:r>
        <w:rPr>
          <w:spacing w:val="60"/>
        </w:rPr>
        <w:t xml:space="preserve"> </w:t>
      </w:r>
      <w:r>
        <w:t>future</w:t>
      </w:r>
      <w:r>
        <w:rPr>
          <w:spacing w:val="1"/>
        </w:rPr>
        <w:t>,</w:t>
      </w:r>
      <w:r>
        <w:t>helping</w:t>
      </w:r>
      <w:r>
        <w:rPr>
          <w:spacing w:val="64"/>
        </w:rPr>
        <w:t xml:space="preserve"> </w:t>
      </w:r>
      <w:r>
        <w:t>special</w:t>
      </w:r>
      <w:r>
        <w:rPr>
          <w:spacing w:val="55"/>
        </w:rPr>
        <w:t xml:space="preserve"> </w:t>
      </w:r>
      <w:r>
        <w:t>interest</w:t>
      </w:r>
      <w:r>
        <w:rPr>
          <w:spacing w:val="55"/>
        </w:rPr>
        <w:t xml:space="preserve"> </w:t>
      </w:r>
      <w:r>
        <w:t>groups</w:t>
      </w:r>
      <w:r>
        <w:rPr>
          <w:spacing w:val="47"/>
        </w:rPr>
        <w:t xml:space="preserve"> </w:t>
      </w:r>
      <w:r>
        <w:t>make</w:t>
      </w:r>
      <w:r>
        <w:rPr>
          <w:spacing w:val="59"/>
        </w:rPr>
        <w:t xml:space="preserve"> </w:t>
      </w:r>
      <w:r>
        <w:t>and</w:t>
      </w:r>
      <w:r>
        <w:rPr>
          <w:spacing w:val="54"/>
        </w:rPr>
        <w:t xml:space="preserve"> </w:t>
      </w:r>
      <w:r>
        <w:t>improve</w:t>
      </w:r>
      <w:r>
        <w:rPr>
          <w:spacing w:val="58"/>
        </w:rPr>
        <w:t xml:space="preserve"> </w:t>
      </w:r>
      <w:r>
        <w:t>decision</w:t>
      </w:r>
      <w:r>
        <w:rPr>
          <w:spacing w:val="1"/>
        </w:rPr>
        <w:t>-</w:t>
      </w:r>
      <w:r>
        <w:t>making</w:t>
      </w:r>
      <w:r>
        <w:rPr>
          <w:spacing w:val="1"/>
        </w:rPr>
        <w:t>.</w:t>
      </w:r>
      <w:r>
        <w:t>This</w:t>
      </w:r>
      <w:r>
        <w:rPr>
          <w:spacing w:val="58"/>
        </w:rPr>
        <w:t xml:space="preserve"> </w:t>
      </w:r>
      <w:r>
        <w:t>article</w:t>
      </w:r>
    </w:p>
    <w:p>
      <w:pPr>
        <w:spacing w:line="378" w:lineRule="auto"/>
        <w:rPr>
          <w:rFonts w:ascii="Arial"/>
          <w:sz w:val="21"/>
        </w:rPr>
      </w:pPr>
    </w:p>
    <w:p>
      <w:pPr>
        <w:pStyle w:val="BodyText"/>
        <w:spacing w:before="121" w:line="194" w:lineRule="auto"/>
        <w:ind w:left="2"/>
      </w:pPr>
      <w:r>
        <w:t>mainly</w:t>
      </w:r>
      <w:r>
        <w:rPr>
          <w:spacing w:val="87"/>
        </w:rPr>
        <w:t xml:space="preserve"> </w:t>
      </w:r>
      <w:r>
        <w:t>from</w:t>
      </w:r>
      <w:r>
        <w:rPr>
          <w:spacing w:val="91"/>
        </w:rPr>
        <w:t xml:space="preserve"> </w:t>
      </w:r>
      <w:r>
        <w:t>shandong</w:t>
      </w:r>
      <w:r>
        <w:rPr>
          <w:spacing w:val="77"/>
        </w:rPr>
        <w:t xml:space="preserve"> </w:t>
      </w:r>
      <w:r>
        <w:t>HaiHua</w:t>
      </w:r>
      <w:r>
        <w:rPr>
          <w:spacing w:val="69"/>
        </w:rPr>
        <w:t xml:space="preserve"> </w:t>
      </w:r>
      <w:r>
        <w:t>basic</w:t>
      </w:r>
      <w:r>
        <w:rPr>
          <w:spacing w:val="8"/>
        </w:rPr>
        <w:t>,</w:t>
      </w:r>
      <w:r>
        <w:t>enterprise</w:t>
      </w:r>
      <w:r>
        <w:rPr>
          <w:spacing w:val="91"/>
        </w:rPr>
        <w:t xml:space="preserve"> </w:t>
      </w:r>
      <w:r>
        <w:t>solvency</w:t>
      </w:r>
      <w:r>
        <w:rPr>
          <w:spacing w:val="8"/>
        </w:rPr>
        <w:t>,</w:t>
      </w:r>
      <w:r>
        <w:t>operation</w:t>
      </w:r>
      <w:r>
        <w:rPr>
          <w:spacing w:val="85"/>
        </w:rPr>
        <w:t xml:space="preserve"> </w:t>
      </w:r>
      <w:r>
        <w:t>ability</w:t>
      </w:r>
      <w:r>
        <w:rPr>
          <w:spacing w:val="8"/>
        </w:rPr>
        <w:t>,</w:t>
      </w:r>
      <w:r>
        <w:t>profitability</w:t>
      </w:r>
      <w:r>
        <w:rPr>
          <w:spacing w:val="8"/>
        </w:rPr>
        <w:t>,</w:t>
      </w:r>
    </w:p>
    <w:p>
      <w:pPr>
        <w:spacing w:line="378" w:lineRule="auto"/>
        <w:rPr>
          <w:rFonts w:ascii="Arial"/>
          <w:sz w:val="21"/>
        </w:rPr>
      </w:pPr>
    </w:p>
    <w:p>
      <w:pPr>
        <w:pStyle w:val="BodyText"/>
        <w:spacing w:before="121" w:line="194" w:lineRule="auto"/>
        <w:ind w:left="2"/>
      </w:pPr>
      <w:r>
        <w:t>comprehensive</w:t>
      </w:r>
      <w:r>
        <w:rPr>
          <w:spacing w:val="50"/>
        </w:rPr>
        <w:t xml:space="preserve"> </w:t>
      </w:r>
      <w:r>
        <w:t>ability,deeply</w:t>
      </w:r>
      <w:r>
        <w:rPr>
          <w:spacing w:val="49"/>
        </w:rPr>
        <w:t xml:space="preserve"> </w:t>
      </w:r>
      <w:r>
        <w:t>discuss</w:t>
      </w:r>
      <w:r>
        <w:rPr>
          <w:spacing w:val="39"/>
        </w:rPr>
        <w:t xml:space="preserve"> </w:t>
      </w:r>
      <w:r>
        <w:rPr>
          <w:spacing w:val="-1"/>
        </w:rPr>
        <w:t>the</w:t>
      </w:r>
      <w:r>
        <w:rPr>
          <w:spacing w:val="50"/>
        </w:rPr>
        <w:t xml:space="preserve"> </w:t>
      </w:r>
      <w:r>
        <w:rPr>
          <w:spacing w:val="-1"/>
        </w:rPr>
        <w:t>aspects</w:t>
      </w:r>
      <w:r>
        <w:rPr>
          <w:spacing w:val="55"/>
        </w:rPr>
        <w:t xml:space="preserve"> </w:t>
      </w:r>
      <w:r>
        <w:rPr>
          <w:spacing w:val="-1"/>
        </w:rPr>
        <w:t>such</w:t>
      </w:r>
      <w:r>
        <w:rPr>
          <w:spacing w:val="51"/>
        </w:rPr>
        <w:t xml:space="preserve"> </w:t>
      </w:r>
      <w:r>
        <w:rPr>
          <w:spacing w:val="-1"/>
        </w:rPr>
        <w:t>as</w:t>
      </w:r>
      <w:r>
        <w:rPr>
          <w:spacing w:val="55"/>
        </w:rPr>
        <w:t xml:space="preserve"> </w:t>
      </w:r>
      <w:r>
        <w:rPr>
          <w:spacing w:val="-1"/>
        </w:rPr>
        <w:t>shandong</w:t>
      </w:r>
      <w:r>
        <w:rPr>
          <w:spacing w:val="42"/>
        </w:rPr>
        <w:t xml:space="preserve"> </w:t>
      </w:r>
      <w:r>
        <w:rPr>
          <w:spacing w:val="-1"/>
        </w:rPr>
        <w:t>HaiHua</w:t>
      </w:r>
      <w:r>
        <w:rPr>
          <w:spacing w:val="51"/>
        </w:rPr>
        <w:t xml:space="preserve"> </w:t>
      </w:r>
      <w:r>
        <w:rPr>
          <w:spacing w:val="-1"/>
        </w:rPr>
        <w:t>existing</w:t>
      </w:r>
      <w:r>
        <w:rPr>
          <w:spacing w:val="47"/>
        </w:rPr>
        <w:t xml:space="preserve"> </w:t>
      </w:r>
      <w:r>
        <w:rPr>
          <w:spacing w:val="-1"/>
        </w:rPr>
        <w:t>in</w:t>
      </w:r>
      <w:r>
        <w:rPr>
          <w:spacing w:val="39"/>
        </w:rPr>
        <w:t xml:space="preserve"> </w:t>
      </w:r>
      <w:r>
        <w:rPr>
          <w:spacing w:val="-1"/>
        </w:rPr>
        <w:t>the</w:t>
      </w:r>
    </w:p>
    <w:p>
      <w:pPr>
        <w:spacing w:line="378" w:lineRule="auto"/>
        <w:rPr>
          <w:rFonts w:ascii="Arial"/>
          <w:sz w:val="21"/>
        </w:rPr>
      </w:pPr>
    </w:p>
    <w:p>
      <w:pPr>
        <w:pStyle w:val="BodyText"/>
        <w:spacing w:before="122" w:line="892" w:lineRule="exact"/>
        <w:ind w:left="2"/>
      </w:pPr>
      <w:r>
        <w:rPr>
          <w:position w:val="42"/>
        </w:rPr>
        <w:t>management</w:t>
      </w:r>
      <w:r>
        <w:rPr>
          <w:spacing w:val="43"/>
          <w:position w:val="42"/>
        </w:rPr>
        <w:t xml:space="preserve"> </w:t>
      </w:r>
      <w:r>
        <w:rPr>
          <w:position w:val="42"/>
        </w:rPr>
        <w:t>of</w:t>
      </w:r>
      <w:r>
        <w:rPr>
          <w:spacing w:val="20"/>
          <w:position w:val="42"/>
        </w:rPr>
        <w:t xml:space="preserve"> </w:t>
      </w:r>
      <w:r>
        <w:rPr>
          <w:position w:val="42"/>
        </w:rPr>
        <w:t>the</w:t>
      </w:r>
      <w:r>
        <w:rPr>
          <w:spacing w:val="42"/>
          <w:position w:val="42"/>
        </w:rPr>
        <w:t xml:space="preserve"> </w:t>
      </w:r>
      <w:r>
        <w:rPr>
          <w:position w:val="42"/>
        </w:rPr>
        <w:t>financial</w:t>
      </w:r>
      <w:r>
        <w:rPr>
          <w:spacing w:val="46"/>
          <w:position w:val="42"/>
        </w:rPr>
        <w:t xml:space="preserve"> </w:t>
      </w:r>
      <w:r>
        <w:rPr>
          <w:position w:val="42"/>
        </w:rPr>
        <w:t>situation</w:t>
      </w:r>
      <w:r>
        <w:rPr>
          <w:spacing w:val="41"/>
          <w:position w:val="42"/>
        </w:rPr>
        <w:t xml:space="preserve"> </w:t>
      </w:r>
      <w:r>
        <w:rPr>
          <w:position w:val="42"/>
        </w:rPr>
        <w:t>of</w:t>
      </w:r>
      <w:r>
        <w:rPr>
          <w:spacing w:val="20"/>
          <w:position w:val="42"/>
        </w:rPr>
        <w:t xml:space="preserve"> </w:t>
      </w:r>
      <w:r>
        <w:rPr>
          <w:position w:val="42"/>
        </w:rPr>
        <w:t>the</w:t>
      </w:r>
      <w:r>
        <w:rPr>
          <w:spacing w:val="40"/>
          <w:position w:val="42"/>
        </w:rPr>
        <w:t xml:space="preserve"> </w:t>
      </w:r>
      <w:r>
        <w:rPr>
          <w:position w:val="42"/>
        </w:rPr>
        <w:t>current</w:t>
      </w:r>
      <w:r>
        <w:rPr>
          <w:spacing w:val="45"/>
          <w:position w:val="42"/>
        </w:rPr>
        <w:t xml:space="preserve"> </w:t>
      </w:r>
      <w:r>
        <w:rPr>
          <w:position w:val="42"/>
        </w:rPr>
        <w:t>situation</w:t>
      </w:r>
      <w:r>
        <w:rPr>
          <w:spacing w:val="41"/>
          <w:position w:val="42"/>
        </w:rPr>
        <w:t xml:space="preserve"> </w:t>
      </w:r>
      <w:r>
        <w:rPr>
          <w:position w:val="42"/>
        </w:rPr>
        <w:t>and</w:t>
      </w:r>
      <w:r>
        <w:rPr>
          <w:spacing w:val="20"/>
          <w:position w:val="42"/>
        </w:rPr>
        <w:t xml:space="preserve"> </w:t>
      </w:r>
      <w:r>
        <w:rPr>
          <w:position w:val="42"/>
        </w:rPr>
        <w:t>problems</w:t>
      </w:r>
      <w:r>
        <w:rPr>
          <w:spacing w:val="20"/>
          <w:position w:val="42"/>
        </w:rPr>
        <w:t>,</w:t>
      </w:r>
      <w:r>
        <w:rPr>
          <w:position w:val="42"/>
        </w:rPr>
        <w:t>find</w:t>
      </w:r>
      <w:r>
        <w:rPr>
          <w:spacing w:val="40"/>
          <w:position w:val="42"/>
        </w:rPr>
        <w:t xml:space="preserve"> </w:t>
      </w:r>
      <w:r>
        <w:rPr>
          <w:position w:val="42"/>
        </w:rPr>
        <w:t>causes</w:t>
      </w:r>
      <w:r>
        <w:rPr>
          <w:spacing w:val="40"/>
          <w:position w:val="42"/>
        </w:rPr>
        <w:t xml:space="preserve"> </w:t>
      </w:r>
      <w:r>
        <w:rPr>
          <w:position w:val="42"/>
        </w:rPr>
        <w:t>of</w:t>
      </w:r>
      <w:r>
        <w:rPr>
          <w:spacing w:val="-19"/>
          <w:position w:val="42"/>
        </w:rPr>
        <w:t xml:space="preserve"> </w:t>
      </w:r>
      <w:r>
        <w:rPr>
          <w:position w:val="42"/>
        </w:rPr>
        <w:t>problems</w:t>
      </w:r>
      <w:r>
        <w:rPr>
          <w:spacing w:val="20"/>
          <w:position w:val="42"/>
        </w:rPr>
        <w:t>,</w:t>
      </w:r>
    </w:p>
    <w:p>
      <w:pPr>
        <w:pStyle w:val="BodyText"/>
        <w:spacing w:before="2" w:line="193" w:lineRule="auto"/>
        <w:ind w:left="2"/>
      </w:pPr>
      <w:r>
        <w:t>and</w:t>
      </w:r>
      <w:r>
        <w:rPr>
          <w:spacing w:val="33"/>
        </w:rPr>
        <w:t xml:space="preserve"> </w:t>
      </w:r>
      <w:r>
        <w:t>future</w:t>
      </w:r>
      <w:r>
        <w:rPr>
          <w:spacing w:val="34"/>
        </w:rPr>
        <w:t xml:space="preserve"> </w:t>
      </w:r>
      <w:r>
        <w:t>financial</w:t>
      </w:r>
      <w:r>
        <w:rPr>
          <w:spacing w:val="21"/>
        </w:rPr>
        <w:t xml:space="preserve"> </w:t>
      </w:r>
      <w:r>
        <w:t>management</w:t>
      </w:r>
      <w:r>
        <w:rPr>
          <w:spacing w:val="21"/>
        </w:rPr>
        <w:t xml:space="preserve"> </w:t>
      </w:r>
      <w:r>
        <w:t>puts</w:t>
      </w:r>
      <w:r>
        <w:rPr>
          <w:spacing w:val="34"/>
        </w:rPr>
        <w:t xml:space="preserve"> </w:t>
      </w:r>
      <w:r>
        <w:t>forward</w:t>
      </w:r>
      <w:r>
        <w:rPr>
          <w:spacing w:val="21"/>
        </w:rPr>
        <w:t xml:space="preserve"> </w:t>
      </w:r>
      <w:r>
        <w:t>reasonable</w:t>
      </w:r>
      <w:r>
        <w:rPr>
          <w:spacing w:val="44"/>
        </w:rPr>
        <w:t xml:space="preserve"> </w:t>
      </w:r>
      <w:r>
        <w:t>Suggestions</w:t>
      </w:r>
      <w:r>
        <w:rPr>
          <w:spacing w:val="21"/>
        </w:rPr>
        <w:t>.</w:t>
      </w:r>
    </w:p>
    <w:p>
      <w:pPr>
        <w:spacing w:line="346" w:lineRule="auto"/>
        <w:rPr>
          <w:rFonts w:ascii="Arial"/>
          <w:sz w:val="21"/>
        </w:rPr>
      </w:pPr>
    </w:p>
    <w:p>
      <w:pPr>
        <w:spacing w:line="346" w:lineRule="auto"/>
        <w:rPr>
          <w:rFonts w:ascii="Arial"/>
          <w:sz w:val="21"/>
        </w:rPr>
        <w:sectPr>
          <w:pgSz w:w="22849" w:h="31680"/>
          <w:pgMar w:top="2692" w:right="2208" w:bottom="0" w:left="2858" w:header="0" w:footer="0" w:gutter="0"/>
          <w:cols w:space="708"/>
        </w:sectPr>
      </w:pPr>
    </w:p>
    <w:p>
      <w:pPr>
        <w:pStyle w:val="BodyText"/>
        <w:spacing w:before="137" w:line="214" w:lineRule="auto"/>
      </w:pPr>
      <w:r>
        <w:rPr>
          <w:rFonts w:ascii="SimSun" w:eastAsia="SimSun" w:hAnsi="SimSun" w:cs="SimSun"/>
          <w:b/>
          <w:bCs/>
          <w:spacing w:val="1"/>
        </w:rPr>
        <w:t>【</w:t>
      </w:r>
      <w:r>
        <w:rPr>
          <w:b/>
          <w:bCs/>
        </w:rPr>
        <w:t>Key</w:t>
      </w:r>
      <w:r>
        <w:rPr>
          <w:b/>
          <w:bCs/>
          <w:spacing w:val="1"/>
        </w:rPr>
        <w:t xml:space="preserve">  </w:t>
      </w:r>
      <w:r>
        <w:rPr>
          <w:b/>
          <w:bCs/>
        </w:rPr>
        <w:t>words</w:t>
      </w:r>
      <w:r>
        <w:rPr>
          <w:rFonts w:ascii="SimSun" w:eastAsia="SimSun" w:hAnsi="SimSun" w:cs="SimSun"/>
          <w:b/>
          <w:bCs/>
          <w:spacing w:val="1"/>
        </w:rPr>
        <w:t>】</w:t>
      </w:r>
      <w:r>
        <w:t>Financial</w:t>
      </w:r>
      <w:r>
        <w:rPr>
          <w:spacing w:val="1"/>
        </w:rPr>
        <w:t xml:space="preserve">  </w:t>
      </w:r>
      <w:r>
        <w:t>condition</w:t>
      </w:r>
      <w:r>
        <w:rPr>
          <w:spacing w:val="1"/>
        </w:rPr>
        <w:t>;</w:t>
      </w:r>
      <w:r>
        <w:t>Financial</w:t>
      </w:r>
      <w:r>
        <w:rPr>
          <w:spacing w:val="1"/>
        </w:rPr>
        <w:t xml:space="preserve">  </w:t>
      </w:r>
      <w:r>
        <w:t>analysis</w:t>
      </w:r>
      <w:r>
        <w:rPr>
          <w:spacing w:val="1"/>
        </w:rPr>
        <w:t>;</w:t>
      </w:r>
      <w:r>
        <w:t>Questions</w:t>
      </w:r>
      <w:r>
        <w:rPr>
          <w:spacing w:val="1"/>
        </w:rPr>
        <w:t xml:space="preserve">  </w:t>
      </w:r>
      <w:r>
        <w:t>and</w:t>
      </w:r>
      <w:r>
        <w:rPr>
          <w:spacing w:val="1"/>
        </w:rPr>
        <w:t xml:space="preserve">  </w:t>
      </w:r>
      <w:r>
        <w:t>Suggestions</w:t>
      </w:r>
    </w:p>
    <w:p>
      <w:pPr>
        <w:spacing w:line="402" w:lineRule="auto"/>
        <w:rPr>
          <w:rFonts w:ascii="Arial"/>
          <w:sz w:val="21"/>
        </w:rPr>
      </w:pPr>
    </w:p>
    <w:p>
      <w:pPr>
        <w:spacing w:before="172" w:line="226" w:lineRule="auto"/>
        <w:ind w:left="10"/>
        <w:rPr>
          <w:rFonts w:ascii="SimHei" w:eastAsia="SimHei" w:hAnsi="SimHei" w:cs="SimHei"/>
          <w:sz w:val="53"/>
          <w:szCs w:val="53"/>
        </w:rPr>
      </w:pPr>
      <w:r>
        <w:rPr>
          <w:rFonts w:ascii="SimHei" w:eastAsia="SimHei" w:hAnsi="SimHei" w:cs="SimHei"/>
          <w:b/>
          <w:bCs/>
          <w:spacing w:val="-40"/>
          <w:sz w:val="53"/>
          <w:szCs w:val="53"/>
        </w:rPr>
        <w:t>1</w:t>
      </w:r>
      <w:r>
        <w:rPr>
          <w:rFonts w:ascii="SimHei" w:eastAsia="SimHei" w:hAnsi="SimHei" w:cs="SimHei"/>
          <w:spacing w:val="141"/>
          <w:sz w:val="53"/>
          <w:szCs w:val="53"/>
        </w:rPr>
        <w:t xml:space="preserve"> </w:t>
      </w:r>
      <w:r>
        <w:rPr>
          <w:rFonts w:ascii="SimHei" w:eastAsia="SimHei" w:hAnsi="SimHei" w:cs="SimHei"/>
          <w:b/>
          <w:bCs/>
          <w:spacing w:val="-40"/>
          <w:sz w:val="53"/>
          <w:szCs w:val="53"/>
        </w:rPr>
        <w:t>引</w:t>
      </w:r>
      <w:r>
        <w:rPr>
          <w:rFonts w:ascii="SimHei" w:eastAsia="SimHei" w:hAnsi="SimHei" w:cs="SimHei"/>
          <w:spacing w:val="-99"/>
          <w:sz w:val="53"/>
          <w:szCs w:val="53"/>
        </w:rPr>
        <w:t xml:space="preserve"> </w:t>
      </w:r>
      <w:r>
        <w:rPr>
          <w:rFonts w:ascii="SimHei" w:eastAsia="SimHei" w:hAnsi="SimHei" w:cs="SimHei"/>
          <w:b/>
          <w:bCs/>
          <w:spacing w:val="-40"/>
          <w:sz w:val="53"/>
          <w:szCs w:val="53"/>
        </w:rPr>
        <w:t>言</w:t>
      </w:r>
    </w:p>
    <w:p>
      <w:pPr>
        <w:spacing w:line="226" w:lineRule="auto"/>
        <w:rPr>
          <w:rFonts w:ascii="SimHei" w:eastAsia="SimHei" w:hAnsi="SimHei" w:cs="SimHei"/>
          <w:sz w:val="53"/>
          <w:szCs w:val="53"/>
        </w:rPr>
        <w:sectPr>
          <w:type w:val="nextPage"/>
          <w:pgSz w:w="22849" w:h="31680"/>
          <w:pgMar w:top="2692" w:right="2208" w:bottom="0" w:left="2858" w:header="0" w:footer="0" w:gutter="0"/>
          <w:pgNumType w:start="2"/>
          <w:cols w:space="708"/>
          <w:titlePg w:val="0"/>
        </w:sectPr>
      </w:pPr>
    </w:p>
    <w:p>
      <w:pPr>
        <w:spacing w:line="243" w:lineRule="auto"/>
        <w:rPr>
          <w:rFonts w:ascii="Arial"/>
          <w:sz w:val="21"/>
        </w:rPr>
      </w:pPr>
    </w:p>
    <w:p>
      <w:pPr>
        <w:spacing w:before="159" w:line="361" w:lineRule="auto"/>
        <w:ind w:right="211" w:firstLine="1315"/>
        <w:jc w:val="both"/>
        <w:rPr>
          <w:rFonts w:ascii="SimSun" w:eastAsia="SimSun" w:hAnsi="SimSun" w:cs="SimSun"/>
          <w:sz w:val="49"/>
          <w:szCs w:val="49"/>
        </w:rPr>
      </w:pPr>
      <w:r>
        <w:rPr>
          <w:rFonts w:ascii="SimSun" w:eastAsia="SimSun" w:hAnsi="SimSun" w:cs="SimSun"/>
          <w:spacing w:val="-1"/>
          <w:sz w:val="49"/>
          <w:szCs w:val="49"/>
        </w:rPr>
        <w:t>财务分析是以会计核算和报表资料及其他相关资料为依据，采用一系列专门</w:t>
      </w:r>
      <w:r>
        <w:rPr>
          <w:rFonts w:ascii="SimSun" w:eastAsia="SimSun" w:hAnsi="SimSun" w:cs="SimSun"/>
          <w:sz w:val="49"/>
          <w:szCs w:val="49"/>
        </w:rPr>
        <w:t xml:space="preserve"> </w:t>
      </w:r>
      <w:r>
        <w:rPr>
          <w:rFonts w:ascii="SimSun" w:eastAsia="SimSun" w:hAnsi="SimSun" w:cs="SimSun"/>
          <w:spacing w:val="-3"/>
          <w:sz w:val="49"/>
          <w:szCs w:val="49"/>
        </w:rPr>
        <w:t>的分析技术和方法，对企业等经济组织过去和现在有关筹资活动、投资</w:t>
      </w:r>
      <w:r>
        <w:rPr>
          <w:rFonts w:ascii="SimSun" w:eastAsia="SimSun" w:hAnsi="SimSun" w:cs="SimSun"/>
          <w:spacing w:val="-4"/>
          <w:sz w:val="49"/>
          <w:szCs w:val="49"/>
        </w:rPr>
        <w:t>活动、经营</w:t>
      </w:r>
      <w:r>
        <w:rPr>
          <w:rFonts w:ascii="SimSun" w:eastAsia="SimSun" w:hAnsi="SimSun" w:cs="SimSun"/>
          <w:sz w:val="49"/>
          <w:szCs w:val="49"/>
        </w:rPr>
        <w:t xml:space="preserve"> </w:t>
      </w:r>
      <w:r>
        <w:rPr>
          <w:rFonts w:ascii="SimSun" w:eastAsia="SimSun" w:hAnsi="SimSun" w:cs="SimSun"/>
          <w:spacing w:val="-4"/>
          <w:sz w:val="49"/>
          <w:szCs w:val="49"/>
        </w:rPr>
        <w:t>活动、分配活动的盈利能力、营运能力、偿债能力和增长能力状况等进行分析与评</w:t>
      </w:r>
      <w:r>
        <w:rPr>
          <w:rFonts w:ascii="SimSun" w:eastAsia="SimSun" w:hAnsi="SimSun" w:cs="SimSun"/>
          <w:spacing w:val="17"/>
          <w:sz w:val="49"/>
          <w:szCs w:val="49"/>
        </w:rPr>
        <w:t xml:space="preserve"> </w:t>
      </w:r>
      <w:r>
        <w:rPr>
          <w:rFonts w:ascii="SimSun" w:eastAsia="SimSun" w:hAnsi="SimSun" w:cs="SimSun"/>
          <w:spacing w:val="-3"/>
          <w:sz w:val="49"/>
          <w:szCs w:val="49"/>
        </w:rPr>
        <w:t>价的经济管理活动。它是为企业的投资者、债权人、经营</w:t>
      </w:r>
      <w:r>
        <w:rPr>
          <w:rFonts w:ascii="SimSun" w:eastAsia="SimSun" w:hAnsi="SimSun" w:cs="SimSun"/>
          <w:spacing w:val="-4"/>
          <w:sz w:val="49"/>
          <w:szCs w:val="49"/>
        </w:rPr>
        <w:t>者及其他关心企业的组织</w:t>
      </w:r>
      <w:r>
        <w:rPr>
          <w:rFonts w:ascii="SimSun" w:eastAsia="SimSun" w:hAnsi="SimSun" w:cs="SimSun"/>
          <w:sz w:val="49"/>
          <w:szCs w:val="49"/>
        </w:rPr>
        <w:t xml:space="preserve"> </w:t>
      </w:r>
      <w:r>
        <w:rPr>
          <w:rFonts w:ascii="SimSun" w:eastAsia="SimSun" w:hAnsi="SimSun" w:cs="SimSun"/>
          <w:spacing w:val="-3"/>
          <w:sz w:val="49"/>
          <w:szCs w:val="49"/>
        </w:rPr>
        <w:t>或个人了解企业过去、评价企业现状、预测企业未来做出正确决策提供准确的信息</w:t>
      </w:r>
    </w:p>
    <w:p>
      <w:pPr>
        <w:spacing w:line="220" w:lineRule="auto"/>
        <w:rPr>
          <w:rFonts w:ascii="SimSun" w:eastAsia="SimSun" w:hAnsi="SimSun" w:cs="SimSun"/>
          <w:sz w:val="49"/>
          <w:szCs w:val="49"/>
        </w:rPr>
      </w:pPr>
      <w:r>
        <w:rPr>
          <w:rFonts w:ascii="SimSun" w:eastAsia="SimSun" w:hAnsi="SimSun" w:cs="SimSun"/>
          <w:spacing w:val="-9"/>
          <w:sz w:val="49"/>
          <w:szCs w:val="49"/>
        </w:rPr>
        <w:t>或依据的经济应用学科。</w:t>
      </w:r>
    </w:p>
    <w:p>
      <w:pPr>
        <w:spacing w:line="254" w:lineRule="auto"/>
        <w:rPr>
          <w:rFonts w:ascii="Arial"/>
          <w:sz w:val="21"/>
        </w:rPr>
      </w:pPr>
    </w:p>
    <w:p>
      <w:pPr>
        <w:spacing w:before="159" w:line="353" w:lineRule="auto"/>
        <w:ind w:firstLine="1050"/>
        <w:rPr>
          <w:rFonts w:ascii="SimSun" w:eastAsia="SimSun" w:hAnsi="SimSun" w:cs="SimSun"/>
          <w:sz w:val="49"/>
          <w:szCs w:val="49"/>
        </w:rPr>
      </w:pPr>
      <w:r>
        <w:rPr>
          <w:rFonts w:ascii="SimSun" w:eastAsia="SimSun" w:hAnsi="SimSun" w:cs="SimSun"/>
          <w:spacing w:val="-6"/>
          <w:sz w:val="49"/>
          <w:szCs w:val="49"/>
        </w:rPr>
        <w:t xml:space="preserve">财务分析是在企业经济分析、财务管理和会计基础上发展形成的一门综合性边 </w:t>
      </w:r>
      <w:r>
        <w:rPr>
          <w:rFonts w:ascii="SimSun" w:eastAsia="SimSun" w:hAnsi="SimSun" w:cs="SimSun"/>
          <w:spacing w:val="-2"/>
          <w:sz w:val="49"/>
          <w:szCs w:val="49"/>
        </w:rPr>
        <w:t>缘性学科。从财务分析的内涵、财务分析的目的、财务分析的作用</w:t>
      </w:r>
      <w:r>
        <w:rPr>
          <w:rFonts w:ascii="SimSun" w:eastAsia="SimSun" w:hAnsi="SimSun" w:cs="SimSun"/>
          <w:spacing w:val="-3"/>
          <w:sz w:val="49"/>
          <w:szCs w:val="49"/>
        </w:rPr>
        <w:t>、财务分析的内</w:t>
      </w:r>
      <w:r>
        <w:rPr>
          <w:rFonts w:ascii="SimSun" w:eastAsia="SimSun" w:hAnsi="SimSun" w:cs="SimSun"/>
          <w:sz w:val="49"/>
          <w:szCs w:val="49"/>
        </w:rPr>
        <w:t xml:space="preserve"> </w:t>
      </w:r>
      <w:r>
        <w:rPr>
          <w:rFonts w:ascii="SimSun" w:eastAsia="SimSun" w:hAnsi="SimSun" w:cs="SimSun"/>
          <w:spacing w:val="-2"/>
          <w:sz w:val="49"/>
          <w:szCs w:val="49"/>
        </w:rPr>
        <w:t>容，到财务分析的原则、财务分析的形式、财务分析的组织等，都</w:t>
      </w:r>
      <w:r>
        <w:rPr>
          <w:rFonts w:ascii="SimSun" w:eastAsia="SimSun" w:hAnsi="SimSun" w:cs="SimSun"/>
          <w:spacing w:val="-3"/>
          <w:sz w:val="49"/>
          <w:szCs w:val="49"/>
        </w:rPr>
        <w:t>日趋成熟。财务</w:t>
      </w:r>
      <w:r>
        <w:rPr>
          <w:rFonts w:ascii="SimSun" w:eastAsia="SimSun" w:hAnsi="SimSun" w:cs="SimSun"/>
          <w:sz w:val="49"/>
          <w:szCs w:val="49"/>
        </w:rPr>
        <w:t xml:space="preserve"> </w:t>
      </w:r>
      <w:r>
        <w:rPr>
          <w:rFonts w:ascii="SimSun" w:eastAsia="SimSun" w:hAnsi="SimSun" w:cs="SimSun"/>
          <w:spacing w:val="-3"/>
          <w:sz w:val="49"/>
          <w:szCs w:val="49"/>
        </w:rPr>
        <w:t>分析优专门的技术方法，如水平分析法、垂直分</w:t>
      </w:r>
      <w:r>
        <w:rPr>
          <w:rFonts w:ascii="SimSun" w:eastAsia="SimSun" w:hAnsi="SimSun" w:cs="SimSun"/>
          <w:spacing w:val="-4"/>
          <w:sz w:val="49"/>
          <w:szCs w:val="49"/>
        </w:rPr>
        <w:t>析法、趋势分析法、比率分析法等</w:t>
      </w:r>
      <w:r>
        <w:rPr>
          <w:rFonts w:ascii="SimSun" w:eastAsia="SimSun" w:hAnsi="SimSun" w:cs="SimSun"/>
          <w:sz w:val="49"/>
          <w:szCs w:val="49"/>
        </w:rPr>
        <w:t xml:space="preserve"> </w:t>
      </w:r>
      <w:r>
        <w:rPr>
          <w:rFonts w:ascii="SimSun" w:eastAsia="SimSun" w:hAnsi="SimSun" w:cs="SimSun"/>
          <w:spacing w:val="-3"/>
          <w:sz w:val="49"/>
          <w:szCs w:val="49"/>
        </w:rPr>
        <w:t>都是财务分析的专门和有效的分析方法。从财务分析的服</w:t>
      </w:r>
      <w:r>
        <w:rPr>
          <w:rFonts w:ascii="SimSun" w:eastAsia="SimSun" w:hAnsi="SimSun" w:cs="SimSun"/>
          <w:spacing w:val="-4"/>
          <w:sz w:val="49"/>
          <w:szCs w:val="49"/>
        </w:rPr>
        <w:t xml:space="preserve">务对象看，财务分析不仅 </w:t>
      </w:r>
      <w:r>
        <w:rPr>
          <w:rFonts w:ascii="SimSun" w:eastAsia="SimSun" w:hAnsi="SimSun" w:cs="SimSun"/>
          <w:spacing w:val="-3"/>
          <w:sz w:val="49"/>
          <w:szCs w:val="49"/>
        </w:rPr>
        <w:t>对企业内部生产经营管理有着重要的作用，而且对企业外</w:t>
      </w:r>
      <w:r>
        <w:rPr>
          <w:rFonts w:ascii="SimSun" w:eastAsia="SimSun" w:hAnsi="SimSun" w:cs="SimSun"/>
          <w:spacing w:val="-4"/>
          <w:sz w:val="49"/>
          <w:szCs w:val="49"/>
        </w:rPr>
        <w:t xml:space="preserve">部投资决策、贷款决策、 </w:t>
      </w:r>
      <w:r>
        <w:rPr>
          <w:rFonts w:ascii="SimSun" w:eastAsia="SimSun" w:hAnsi="SimSun" w:cs="SimSun"/>
          <w:spacing w:val="-11"/>
          <w:sz w:val="49"/>
          <w:szCs w:val="49"/>
        </w:rPr>
        <w:t>赊销决策等有着重要作用。从财务分析的职能作用来看，它对于预测、决策、计划、</w:t>
      </w:r>
    </w:p>
    <w:p>
      <w:pPr>
        <w:spacing w:before="1" w:line="219" w:lineRule="auto"/>
        <w:rPr>
          <w:rFonts w:ascii="SimSun" w:eastAsia="SimSun" w:hAnsi="SimSun" w:cs="SimSun"/>
          <w:sz w:val="49"/>
          <w:szCs w:val="49"/>
        </w:rPr>
      </w:pPr>
      <w:r>
        <w:rPr>
          <w:rFonts w:ascii="SimSun" w:eastAsia="SimSun" w:hAnsi="SimSun" w:cs="SimSun"/>
          <w:spacing w:val="-5"/>
          <w:sz w:val="49"/>
          <w:szCs w:val="49"/>
        </w:rPr>
        <w:t>控制、考核、评价都有重要作用。</w:t>
      </w:r>
    </w:p>
    <w:p>
      <w:pPr>
        <w:spacing w:before="329" w:line="223" w:lineRule="auto"/>
        <w:ind w:left="7"/>
        <w:rPr>
          <w:rFonts w:ascii="SimHei" w:eastAsia="SimHei" w:hAnsi="SimHei" w:cs="SimHei"/>
          <w:sz w:val="55"/>
          <w:szCs w:val="55"/>
        </w:rPr>
      </w:pPr>
      <w:r>
        <w:rPr>
          <w:rFonts w:ascii="SimHei" w:eastAsia="SimHei" w:hAnsi="SimHei" w:cs="SimHei"/>
          <w:b/>
          <w:bCs/>
          <w:spacing w:val="-3"/>
          <w:sz w:val="55"/>
          <w:szCs w:val="55"/>
        </w:rPr>
        <w:t>2</w:t>
      </w:r>
      <w:r>
        <w:rPr>
          <w:rFonts w:ascii="SimHei" w:eastAsia="SimHei" w:hAnsi="SimHei" w:cs="SimHei"/>
          <w:spacing w:val="93"/>
          <w:sz w:val="55"/>
          <w:szCs w:val="55"/>
        </w:rPr>
        <w:t xml:space="preserve"> </w:t>
      </w:r>
      <w:r>
        <w:rPr>
          <w:rFonts w:ascii="SimHei" w:eastAsia="SimHei" w:hAnsi="SimHei" w:cs="SimHei"/>
          <w:b/>
          <w:bCs/>
          <w:spacing w:val="-3"/>
          <w:sz w:val="55"/>
          <w:szCs w:val="55"/>
        </w:rPr>
        <w:t>公司概况</w:t>
      </w:r>
    </w:p>
    <w:p>
      <w:pPr>
        <w:spacing w:line="457" w:lineRule="auto"/>
        <w:rPr>
          <w:rFonts w:ascii="Arial"/>
          <w:sz w:val="21"/>
        </w:rPr>
      </w:pPr>
    </w:p>
    <w:p>
      <w:pPr>
        <w:spacing w:before="160" w:line="354" w:lineRule="auto"/>
        <w:ind w:right="82" w:firstLine="1359"/>
        <w:rPr>
          <w:rFonts w:ascii="SimSun" w:eastAsia="SimSun" w:hAnsi="SimSun" w:cs="SimSun"/>
          <w:sz w:val="49"/>
          <w:szCs w:val="49"/>
        </w:rPr>
      </w:pPr>
      <w:r>
        <w:rPr>
          <w:rFonts w:ascii="SimSun" w:eastAsia="SimSun" w:hAnsi="SimSun" w:cs="SimSun"/>
          <w:spacing w:val="9"/>
          <w:sz w:val="49"/>
          <w:szCs w:val="49"/>
        </w:rPr>
        <w:t>山东海化集团是于1995年8月由原潍坊纯碱厂和山东羊口盐场两个国有大型</w:t>
      </w:r>
      <w:r>
        <w:rPr>
          <w:rFonts w:ascii="SimSun" w:eastAsia="SimSun" w:hAnsi="SimSun" w:cs="SimSun"/>
          <w:spacing w:val="16"/>
          <w:sz w:val="49"/>
          <w:szCs w:val="49"/>
        </w:rPr>
        <w:t xml:space="preserve"> </w:t>
      </w:r>
      <w:r>
        <w:rPr>
          <w:rFonts w:ascii="SimSun" w:eastAsia="SimSun" w:hAnsi="SimSun" w:cs="SimSun"/>
          <w:spacing w:val="-4"/>
          <w:sz w:val="49"/>
          <w:szCs w:val="49"/>
        </w:rPr>
        <w:t>企业为龙头组建的，以发展海洋化工新兴产业为主导，集科、工、贸等为一体的现</w:t>
      </w:r>
      <w:r>
        <w:rPr>
          <w:rFonts w:ascii="SimSun" w:eastAsia="SimSun" w:hAnsi="SimSun" w:cs="SimSun"/>
          <w:spacing w:val="17"/>
          <w:sz w:val="49"/>
          <w:szCs w:val="49"/>
        </w:rPr>
        <w:t xml:space="preserve"> </w:t>
      </w:r>
      <w:r>
        <w:rPr>
          <w:rFonts w:ascii="SimSun" w:eastAsia="SimSun" w:hAnsi="SimSun" w:cs="SimSun"/>
          <w:spacing w:val="3"/>
          <w:sz w:val="49"/>
          <w:szCs w:val="49"/>
        </w:rPr>
        <w:t>代化特大型企业，是“全国120家试点企业集团”和山东省重点培育的大型骨干企</w:t>
      </w:r>
      <w:r>
        <w:rPr>
          <w:rFonts w:ascii="SimSun" w:eastAsia="SimSun" w:hAnsi="SimSun" w:cs="SimSun"/>
          <w:spacing w:val="10"/>
          <w:sz w:val="49"/>
          <w:szCs w:val="49"/>
        </w:rPr>
        <w:t xml:space="preserve"> </w:t>
      </w:r>
      <w:r>
        <w:rPr>
          <w:rFonts w:ascii="SimSun" w:eastAsia="SimSun" w:hAnsi="SimSun" w:cs="SimSun"/>
          <w:spacing w:val="17"/>
          <w:sz w:val="49"/>
          <w:szCs w:val="49"/>
        </w:rPr>
        <w:t>业集团之一。集团现有职工21000余人，资产总额180多亿元，下设43个分、子</w:t>
      </w:r>
      <w:r>
        <w:rPr>
          <w:rFonts w:ascii="SimSun" w:eastAsia="SimSun" w:hAnsi="SimSun" w:cs="SimSun"/>
          <w:spacing w:val="6"/>
          <w:sz w:val="49"/>
          <w:szCs w:val="49"/>
        </w:rPr>
        <w:t xml:space="preserve">  </w:t>
      </w:r>
      <w:r>
        <w:rPr>
          <w:rFonts w:ascii="SimSun" w:eastAsia="SimSun" w:hAnsi="SimSun" w:cs="SimSun"/>
          <w:sz w:val="49"/>
          <w:szCs w:val="49"/>
        </w:rPr>
        <w:t>公司和一个国家级技术中心，建有企业博士后工作站。主要产品有40多种，其中，</w:t>
      </w:r>
      <w:r>
        <w:rPr>
          <w:rFonts w:ascii="SimSun" w:eastAsia="SimSun" w:hAnsi="SimSun" w:cs="SimSun"/>
          <w:spacing w:val="16"/>
          <w:sz w:val="49"/>
          <w:szCs w:val="49"/>
        </w:rPr>
        <w:t xml:space="preserve"> </w:t>
      </w:r>
      <w:r>
        <w:rPr>
          <w:rFonts w:ascii="SimSun" w:eastAsia="SimSun" w:hAnsi="SimSun" w:cs="SimSun"/>
          <w:spacing w:val="-4"/>
          <w:sz w:val="49"/>
          <w:szCs w:val="49"/>
        </w:rPr>
        <w:t>合成纯碱、硝盐、固体氯化钙三种产品产量居世界第一，原盐、溴素、溴化物</w:t>
      </w:r>
      <w:r>
        <w:rPr>
          <w:rFonts w:ascii="SimSun" w:eastAsia="SimSun" w:hAnsi="SimSun" w:cs="SimSun"/>
          <w:spacing w:val="-5"/>
          <w:sz w:val="49"/>
          <w:szCs w:val="49"/>
        </w:rPr>
        <w:t>、水</w:t>
      </w:r>
      <w:r>
        <w:rPr>
          <w:rFonts w:ascii="SimSun" w:eastAsia="SimSun" w:hAnsi="SimSun" w:cs="SimSun"/>
          <w:sz w:val="49"/>
          <w:szCs w:val="49"/>
        </w:rPr>
        <w:t xml:space="preserve"> </w:t>
      </w:r>
      <w:r>
        <w:rPr>
          <w:rFonts w:ascii="SimSun" w:eastAsia="SimSun" w:hAnsi="SimSun" w:cs="SimSun"/>
          <w:spacing w:val="-4"/>
          <w:sz w:val="49"/>
          <w:szCs w:val="49"/>
        </w:rPr>
        <w:t>玻璃、白炭黑等八种产品产量居全国第一，是全国最大的海洋化工生产和出口创汇</w:t>
      </w:r>
    </w:p>
    <w:p>
      <w:pPr>
        <w:spacing w:before="2" w:line="227" w:lineRule="auto"/>
        <w:rPr>
          <w:rFonts w:ascii="SimSun" w:eastAsia="SimSun" w:hAnsi="SimSun" w:cs="SimSun"/>
          <w:sz w:val="49"/>
          <w:szCs w:val="49"/>
        </w:rPr>
      </w:pPr>
      <w:r>
        <w:rPr>
          <w:rFonts w:ascii="SimSun" w:eastAsia="SimSun" w:hAnsi="SimSun" w:cs="SimSun"/>
          <w:spacing w:val="-18"/>
          <w:sz w:val="49"/>
          <w:szCs w:val="49"/>
        </w:rPr>
        <w:t>基地。</w:t>
      </w:r>
    </w:p>
    <w:p>
      <w:pPr>
        <w:spacing w:line="259" w:lineRule="auto"/>
        <w:rPr>
          <w:rFonts w:ascii="Arial"/>
          <w:sz w:val="21"/>
        </w:rPr>
      </w:pPr>
    </w:p>
    <w:p>
      <w:pPr>
        <w:pStyle w:val="BodyText"/>
        <w:spacing w:before="159" w:line="367" w:lineRule="auto"/>
        <w:ind w:right="97" w:firstLine="1050"/>
        <w:jc w:val="both"/>
        <w:rPr>
          <w:rFonts w:ascii="SimSun" w:eastAsia="SimSun" w:hAnsi="SimSun" w:cs="SimSun"/>
          <w:sz w:val="49"/>
          <w:szCs w:val="49"/>
        </w:rPr>
      </w:pPr>
      <w:r>
        <w:rPr>
          <w:rFonts w:ascii="SimSun" w:eastAsia="SimSun" w:hAnsi="SimSun" w:cs="SimSun"/>
          <w:spacing w:val="-4"/>
          <w:sz w:val="49"/>
          <w:szCs w:val="49"/>
        </w:rPr>
        <w:t>1998年，以山东海化集团母公司作为独家发起人，采用募集方</w:t>
      </w:r>
      <w:r>
        <w:rPr>
          <w:rFonts w:ascii="SimSun" w:eastAsia="SimSun" w:hAnsi="SimSun" w:cs="SimSun"/>
          <w:spacing w:val="-5"/>
          <w:sz w:val="49"/>
          <w:szCs w:val="49"/>
        </w:rPr>
        <w:t>式设立了山东海</w:t>
      </w:r>
      <w:r>
        <w:rPr>
          <w:rFonts w:ascii="SimSun" w:eastAsia="SimSun" w:hAnsi="SimSun" w:cs="SimSun"/>
          <w:sz w:val="49"/>
          <w:szCs w:val="49"/>
        </w:rPr>
        <w:t xml:space="preserve"> </w:t>
      </w:r>
      <w:r>
        <w:rPr>
          <w:rFonts w:ascii="SimSun" w:eastAsia="SimSun" w:hAnsi="SimSun" w:cs="SimSun"/>
          <w:spacing w:val="-1"/>
          <w:sz w:val="49"/>
          <w:szCs w:val="49"/>
        </w:rPr>
        <w:t>化股份有限公司。同年5月，  “山东海化”1.2</w:t>
      </w:r>
      <w:r>
        <w:rPr>
          <w:rFonts w:ascii="SimSun" w:eastAsia="SimSun" w:hAnsi="SimSun" w:cs="SimSun"/>
          <w:spacing w:val="-2"/>
          <w:sz w:val="49"/>
          <w:szCs w:val="49"/>
        </w:rPr>
        <w:t>亿</w:t>
      </w:r>
      <w:r>
        <w:rPr>
          <w:spacing w:val="-2"/>
          <w:sz w:val="49"/>
          <w:szCs w:val="49"/>
        </w:rPr>
        <w:t>A</w:t>
      </w:r>
      <w:r>
        <w:rPr>
          <w:spacing w:val="-30"/>
          <w:sz w:val="49"/>
          <w:szCs w:val="49"/>
        </w:rPr>
        <w:t xml:space="preserve"> </w:t>
      </w:r>
      <w:r>
        <w:rPr>
          <w:rFonts w:ascii="SimSun" w:eastAsia="SimSun" w:hAnsi="SimSun" w:cs="SimSun"/>
          <w:spacing w:val="-2"/>
          <w:sz w:val="49"/>
          <w:szCs w:val="49"/>
        </w:rPr>
        <w:t>股在深圳证券交易所成功上网</w:t>
      </w:r>
      <w:r>
        <w:rPr>
          <w:rFonts w:ascii="SimSun" w:eastAsia="SimSun" w:hAnsi="SimSun" w:cs="SimSun"/>
          <w:sz w:val="49"/>
          <w:szCs w:val="49"/>
        </w:rPr>
        <w:t xml:space="preserve"> </w:t>
      </w:r>
      <w:r>
        <w:rPr>
          <w:rFonts w:ascii="SimSun" w:eastAsia="SimSun" w:hAnsi="SimSun" w:cs="SimSun"/>
          <w:spacing w:val="-10"/>
          <w:sz w:val="49"/>
          <w:szCs w:val="49"/>
        </w:rPr>
        <w:t>发行，募集资金6.27亿元，</w:t>
      </w:r>
      <w:r>
        <w:rPr>
          <w:rFonts w:ascii="SimSun" w:eastAsia="SimSun" w:hAnsi="SimSun" w:cs="SimSun"/>
          <w:spacing w:val="161"/>
          <w:sz w:val="49"/>
          <w:szCs w:val="49"/>
        </w:rPr>
        <w:t xml:space="preserve"> </w:t>
      </w:r>
      <w:r>
        <w:rPr>
          <w:rFonts w:ascii="SimSun" w:eastAsia="SimSun" w:hAnsi="SimSun" w:cs="SimSun"/>
          <w:spacing w:val="-10"/>
          <w:sz w:val="49"/>
          <w:szCs w:val="49"/>
        </w:rPr>
        <w:t>“山东海化”成为中国海洋化工科技第一股。20</w:t>
      </w:r>
      <w:r>
        <w:rPr>
          <w:rFonts w:ascii="SimSun" w:eastAsia="SimSun" w:hAnsi="SimSun" w:cs="SimSun"/>
          <w:spacing w:val="-11"/>
          <w:sz w:val="49"/>
          <w:szCs w:val="49"/>
        </w:rPr>
        <w:t>01年，</w:t>
      </w:r>
    </w:p>
    <w:p>
      <w:pPr>
        <w:spacing w:before="1" w:line="220" w:lineRule="auto"/>
        <w:rPr>
          <w:rFonts w:ascii="SimSun" w:eastAsia="SimSun" w:hAnsi="SimSun" w:cs="SimSun"/>
          <w:sz w:val="49"/>
          <w:szCs w:val="49"/>
        </w:rPr>
      </w:pPr>
      <w:r>
        <w:rPr>
          <w:rFonts w:ascii="SimSun" w:eastAsia="SimSun" w:hAnsi="SimSun" w:cs="SimSun"/>
          <w:spacing w:val="-3"/>
          <w:sz w:val="49"/>
          <w:szCs w:val="49"/>
        </w:rPr>
        <w:t>面对当时国内证券市场股票指数大起大落，市场波动</w:t>
      </w:r>
      <w:r>
        <w:rPr>
          <w:rFonts w:ascii="SimSun" w:eastAsia="SimSun" w:hAnsi="SimSun" w:cs="SimSun"/>
          <w:spacing w:val="-4"/>
          <w:sz w:val="49"/>
          <w:szCs w:val="49"/>
        </w:rPr>
        <w:t>较大的不利形势，依靠公司上</w:t>
      </w:r>
    </w:p>
    <w:p>
      <w:pPr>
        <w:spacing w:line="220" w:lineRule="auto"/>
        <w:rPr>
          <w:rFonts w:ascii="SimSun" w:eastAsia="SimSun" w:hAnsi="SimSun" w:cs="SimSun"/>
          <w:sz w:val="49"/>
          <w:szCs w:val="49"/>
        </w:rPr>
        <w:sectPr>
          <w:pgSz w:w="22849" w:h="31680"/>
          <w:pgMar w:top="2692" w:right="2252" w:bottom="0" w:left="2852" w:header="0" w:footer="0" w:gutter="0"/>
          <w:pgNumType w:start="3"/>
          <w:cols w:space="708"/>
        </w:sectPr>
      </w:pPr>
    </w:p>
    <w:p>
      <w:pPr>
        <w:spacing w:before="399" w:line="361" w:lineRule="auto"/>
        <w:ind w:right="70"/>
        <w:jc w:val="both"/>
        <w:rPr>
          <w:rFonts w:ascii="SimSun" w:eastAsia="SimSun" w:hAnsi="SimSun" w:cs="SimSun"/>
          <w:sz w:val="49"/>
          <w:szCs w:val="49"/>
        </w:rPr>
      </w:pPr>
      <w:r>
        <w:rPr>
          <w:rFonts w:ascii="SimSun" w:eastAsia="SimSun" w:hAnsi="SimSun" w:cs="SimSun"/>
          <w:spacing w:val="18"/>
          <w:sz w:val="49"/>
          <w:szCs w:val="49"/>
        </w:rPr>
        <w:t>市以来的良好业绩和卓有成效的工作，成功实施了</w:t>
      </w:r>
      <w:r>
        <w:rPr>
          <w:rFonts w:ascii="SimSun" w:eastAsia="SimSun" w:hAnsi="SimSun" w:cs="SimSun"/>
          <w:spacing w:val="17"/>
          <w:sz w:val="49"/>
          <w:szCs w:val="49"/>
        </w:rPr>
        <w:t>10配3的配股方案，成为山东</w:t>
      </w:r>
      <w:r>
        <w:rPr>
          <w:rFonts w:ascii="SimSun" w:eastAsia="SimSun" w:hAnsi="SimSun" w:cs="SimSun"/>
          <w:sz w:val="49"/>
          <w:szCs w:val="49"/>
        </w:rPr>
        <w:t xml:space="preserve"> </w:t>
      </w:r>
      <w:r>
        <w:rPr>
          <w:rFonts w:ascii="SimSun" w:eastAsia="SimSun" w:hAnsi="SimSun" w:cs="SimSun"/>
          <w:spacing w:val="16"/>
          <w:sz w:val="49"/>
          <w:szCs w:val="49"/>
        </w:rPr>
        <w:t>省当年度成功配股的第一家，募集资金3.87亿元。20</w:t>
      </w:r>
      <w:r>
        <w:rPr>
          <w:rFonts w:ascii="SimSun" w:eastAsia="SimSun" w:hAnsi="SimSun" w:cs="SimSun"/>
          <w:spacing w:val="15"/>
          <w:sz w:val="49"/>
          <w:szCs w:val="49"/>
        </w:rPr>
        <w:t>04年9月，“山东海化”可</w:t>
      </w:r>
      <w:r>
        <w:rPr>
          <w:rFonts w:ascii="SimSun" w:eastAsia="SimSun" w:hAnsi="SimSun" w:cs="SimSun"/>
          <w:sz w:val="49"/>
          <w:szCs w:val="49"/>
        </w:rPr>
        <w:t xml:space="preserve"> </w:t>
      </w:r>
      <w:r>
        <w:rPr>
          <w:rFonts w:ascii="SimSun" w:eastAsia="SimSun" w:hAnsi="SimSun" w:cs="SimSun"/>
          <w:spacing w:val="10"/>
          <w:sz w:val="49"/>
          <w:szCs w:val="49"/>
        </w:rPr>
        <w:t>转换债券获得证监会发行审核委员会全票通过，9月7日成功发行，募集资金10亿</w:t>
      </w:r>
      <w:r>
        <w:rPr>
          <w:rFonts w:ascii="SimSun" w:eastAsia="SimSun" w:hAnsi="SimSun" w:cs="SimSun"/>
          <w:sz w:val="49"/>
          <w:szCs w:val="49"/>
        </w:rPr>
        <w:t xml:space="preserve"> </w:t>
      </w:r>
      <w:r>
        <w:rPr>
          <w:rFonts w:ascii="SimSun" w:eastAsia="SimSun" w:hAnsi="SimSun" w:cs="SimSun"/>
          <w:spacing w:val="-3"/>
          <w:sz w:val="49"/>
          <w:szCs w:val="49"/>
        </w:rPr>
        <w:t>元，成为当年全省首家成功发行可转债的上市公司。从股票上</w:t>
      </w:r>
      <w:r>
        <w:rPr>
          <w:rFonts w:ascii="SimSun" w:eastAsia="SimSun" w:hAnsi="SimSun" w:cs="SimSun"/>
          <w:spacing w:val="-4"/>
          <w:sz w:val="49"/>
          <w:szCs w:val="49"/>
        </w:rPr>
        <w:t>市到实施配股、发行</w:t>
      </w:r>
    </w:p>
    <w:p>
      <w:pPr>
        <w:spacing w:line="220" w:lineRule="auto"/>
        <w:rPr>
          <w:rFonts w:ascii="SimSun" w:eastAsia="SimSun" w:hAnsi="SimSun" w:cs="SimSun"/>
          <w:sz w:val="49"/>
          <w:szCs w:val="49"/>
        </w:rPr>
      </w:pPr>
      <w:r>
        <w:rPr>
          <w:rFonts w:ascii="SimSun" w:eastAsia="SimSun" w:hAnsi="SimSun" w:cs="SimSun"/>
          <w:spacing w:val="3"/>
          <w:sz w:val="49"/>
          <w:szCs w:val="49"/>
        </w:rPr>
        <w:t>可转换债券，八年间三次融资共计20 亿元，为企业持续、健康、快速发展提供了</w:t>
      </w:r>
    </w:p>
    <w:p>
      <w:pPr>
        <w:spacing w:before="379" w:line="221" w:lineRule="auto"/>
        <w:rPr>
          <w:rFonts w:ascii="SimSun" w:eastAsia="SimSun" w:hAnsi="SimSun" w:cs="SimSun"/>
          <w:sz w:val="49"/>
          <w:szCs w:val="49"/>
        </w:rPr>
      </w:pPr>
      <w:r>
        <w:rPr>
          <w:rFonts w:ascii="SimSun" w:eastAsia="SimSun" w:hAnsi="SimSun" w:cs="SimSun"/>
          <w:spacing w:val="-11"/>
          <w:sz w:val="49"/>
          <w:szCs w:val="49"/>
        </w:rPr>
        <w:t>强有力的资金保障。</w:t>
      </w:r>
    </w:p>
    <w:p>
      <w:pPr>
        <w:spacing w:before="234" w:line="223" w:lineRule="auto"/>
        <w:ind w:left="6"/>
        <w:rPr>
          <w:rFonts w:ascii="SimHei" w:eastAsia="SimHei" w:hAnsi="SimHei" w:cs="SimHei"/>
          <w:sz w:val="55"/>
          <w:szCs w:val="55"/>
        </w:rPr>
      </w:pPr>
      <w:r>
        <w:rPr>
          <w:rFonts w:ascii="SimHei" w:eastAsia="SimHei" w:hAnsi="SimHei" w:cs="SimHei"/>
          <w:b/>
          <w:bCs/>
          <w:spacing w:val="7"/>
          <w:sz w:val="55"/>
          <w:szCs w:val="55"/>
        </w:rPr>
        <w:t>3</w:t>
      </w:r>
      <w:r>
        <w:rPr>
          <w:rFonts w:ascii="SimHei" w:eastAsia="SimHei" w:hAnsi="SimHei" w:cs="SimHei"/>
          <w:spacing w:val="97"/>
          <w:sz w:val="55"/>
          <w:szCs w:val="55"/>
        </w:rPr>
        <w:t xml:space="preserve"> </w:t>
      </w:r>
      <w:r>
        <w:rPr>
          <w:rFonts w:ascii="SimHei" w:eastAsia="SimHei" w:hAnsi="SimHei" w:cs="SimHei"/>
          <w:b/>
          <w:bCs/>
          <w:spacing w:val="7"/>
          <w:sz w:val="55"/>
          <w:szCs w:val="55"/>
        </w:rPr>
        <w:t>山东海化股份有限公司基本财务指标分析</w:t>
      </w:r>
    </w:p>
    <w:p>
      <w:pPr>
        <w:spacing w:line="465" w:lineRule="auto"/>
        <w:rPr>
          <w:rFonts w:ascii="Arial"/>
          <w:sz w:val="21"/>
        </w:rPr>
      </w:pPr>
    </w:p>
    <w:p>
      <w:pPr>
        <w:spacing w:before="159" w:line="229" w:lineRule="auto"/>
        <w:ind w:left="7"/>
        <w:outlineLvl w:val="0"/>
        <w:rPr>
          <w:rFonts w:ascii="KaiTi" w:eastAsia="KaiTi" w:hAnsi="KaiTi" w:cs="KaiTi"/>
          <w:sz w:val="49"/>
          <w:szCs w:val="49"/>
        </w:rPr>
      </w:pPr>
      <w:r>
        <w:rPr>
          <w:rFonts w:ascii="KaiTi" w:eastAsia="KaiTi" w:hAnsi="KaiTi" w:cs="KaiTi"/>
          <w:b/>
          <w:bCs/>
          <w:spacing w:val="8"/>
          <w:sz w:val="49"/>
          <w:szCs w:val="49"/>
        </w:rPr>
        <w:t>3.1企业的偿债能力</w:t>
      </w:r>
    </w:p>
    <w:p>
      <w:pPr>
        <w:spacing w:before="304" w:line="362" w:lineRule="auto"/>
        <w:ind w:right="77" w:firstLine="1254"/>
        <w:rPr>
          <w:rFonts w:ascii="SimSun" w:eastAsia="SimSun" w:hAnsi="SimSun" w:cs="SimSun"/>
          <w:sz w:val="49"/>
          <w:szCs w:val="49"/>
        </w:rPr>
      </w:pPr>
      <w:r>
        <w:rPr>
          <w:rFonts w:ascii="SimSun" w:eastAsia="SimSun" w:hAnsi="SimSun" w:cs="SimSun"/>
          <w:spacing w:val="-1"/>
          <w:sz w:val="49"/>
          <w:szCs w:val="49"/>
        </w:rPr>
        <w:t>偿债能力是指企业用其资产偿还长期债务与短期债务的能力。企业有无支付</w:t>
      </w:r>
      <w:r>
        <w:rPr>
          <w:rFonts w:ascii="SimSun" w:eastAsia="SimSun" w:hAnsi="SimSun" w:cs="SimSun"/>
          <w:spacing w:val="8"/>
          <w:sz w:val="49"/>
          <w:szCs w:val="49"/>
        </w:rPr>
        <w:t xml:space="preserve"> </w:t>
      </w:r>
      <w:r>
        <w:rPr>
          <w:rFonts w:ascii="SimSun" w:eastAsia="SimSun" w:hAnsi="SimSun" w:cs="SimSun"/>
          <w:spacing w:val="-3"/>
          <w:sz w:val="49"/>
          <w:szCs w:val="49"/>
        </w:rPr>
        <w:t>现金的能力和偿还债务能力，是企业能否健康生存和</w:t>
      </w:r>
      <w:r>
        <w:rPr>
          <w:rFonts w:ascii="SimSun" w:eastAsia="SimSun" w:hAnsi="SimSun" w:cs="SimSun"/>
          <w:spacing w:val="-4"/>
          <w:sz w:val="49"/>
          <w:szCs w:val="49"/>
        </w:rPr>
        <w:t>发展的关键。企业偿债能力是</w:t>
      </w:r>
      <w:r>
        <w:rPr>
          <w:rFonts w:ascii="SimSun" w:eastAsia="SimSun" w:hAnsi="SimSun" w:cs="SimSun"/>
          <w:sz w:val="49"/>
          <w:szCs w:val="49"/>
        </w:rPr>
        <w:t xml:space="preserve"> </w:t>
      </w:r>
      <w:r>
        <w:rPr>
          <w:rFonts w:ascii="SimSun" w:eastAsia="SimSun" w:hAnsi="SimSun" w:cs="SimSun"/>
          <w:spacing w:val="-3"/>
          <w:sz w:val="49"/>
          <w:szCs w:val="49"/>
        </w:rPr>
        <w:t>反映企业财务状况和经营能力的重要标志。偿债能力</w:t>
      </w:r>
      <w:r>
        <w:rPr>
          <w:rFonts w:ascii="SimSun" w:eastAsia="SimSun" w:hAnsi="SimSun" w:cs="SimSun"/>
          <w:spacing w:val="-4"/>
          <w:sz w:val="49"/>
          <w:szCs w:val="49"/>
        </w:rPr>
        <w:t>是企业偿还到期债务的承受能</w:t>
      </w:r>
      <w:r>
        <w:rPr>
          <w:rFonts w:ascii="SimSun" w:eastAsia="SimSun" w:hAnsi="SimSun" w:cs="SimSun"/>
          <w:sz w:val="49"/>
          <w:szCs w:val="49"/>
        </w:rPr>
        <w:t xml:space="preserve"> </w:t>
      </w:r>
      <w:r>
        <w:rPr>
          <w:rFonts w:ascii="SimSun" w:eastAsia="SimSun" w:hAnsi="SimSun" w:cs="SimSun"/>
          <w:spacing w:val="-5"/>
          <w:sz w:val="49"/>
          <w:szCs w:val="49"/>
        </w:rPr>
        <w:t>力或保证程度，包括偿还短期债务和长期债务的能力。</w:t>
      </w:r>
      <w:r>
        <w:rPr>
          <w:rFonts w:ascii="SimSun" w:eastAsia="SimSun" w:hAnsi="SimSun" w:cs="SimSun"/>
          <w:spacing w:val="-6"/>
          <w:sz w:val="49"/>
          <w:szCs w:val="49"/>
        </w:rPr>
        <w:t>企业偿债能力，静态的讲，</w:t>
      </w:r>
      <w:r>
        <w:rPr>
          <w:rFonts w:ascii="SimSun" w:eastAsia="SimSun" w:hAnsi="SimSun" w:cs="SimSun"/>
          <w:sz w:val="49"/>
          <w:szCs w:val="49"/>
        </w:rPr>
        <w:t xml:space="preserve"> </w:t>
      </w:r>
      <w:r>
        <w:rPr>
          <w:rFonts w:ascii="SimSun" w:eastAsia="SimSun" w:hAnsi="SimSun" w:cs="SimSun"/>
          <w:spacing w:val="-4"/>
          <w:sz w:val="49"/>
          <w:szCs w:val="49"/>
        </w:rPr>
        <w:t>就是用企业资产清偿企业债务的能力；动态的讲，就是用企业资产和经营过程创造</w:t>
      </w:r>
      <w:r>
        <w:rPr>
          <w:rFonts w:ascii="SimSun" w:eastAsia="SimSun" w:hAnsi="SimSun" w:cs="SimSun"/>
          <w:spacing w:val="17"/>
          <w:sz w:val="49"/>
          <w:szCs w:val="49"/>
        </w:rPr>
        <w:t xml:space="preserve"> </w:t>
      </w:r>
      <w:r>
        <w:rPr>
          <w:rFonts w:ascii="SimSun" w:eastAsia="SimSun" w:hAnsi="SimSun" w:cs="SimSun"/>
          <w:spacing w:val="-3"/>
          <w:sz w:val="49"/>
          <w:szCs w:val="49"/>
        </w:rPr>
        <w:t>的收益偿还债务的能力。企业有无现金支付能力和偿债能力是企业能否健康发展的</w:t>
      </w:r>
    </w:p>
    <w:p>
      <w:pPr>
        <w:spacing w:before="3" w:line="221" w:lineRule="auto"/>
        <w:rPr>
          <w:rFonts w:ascii="SimSun" w:eastAsia="SimSun" w:hAnsi="SimSun" w:cs="SimSun"/>
          <w:sz w:val="49"/>
          <w:szCs w:val="49"/>
        </w:rPr>
      </w:pPr>
      <w:r>
        <w:rPr>
          <w:rFonts w:ascii="SimSun" w:eastAsia="SimSun" w:hAnsi="SimSun" w:cs="SimSun"/>
          <w:spacing w:val="-20"/>
          <w:sz w:val="49"/>
          <w:szCs w:val="49"/>
        </w:rPr>
        <w:t>关键。</w:t>
      </w:r>
    </w:p>
    <w:p>
      <w:pPr>
        <w:spacing w:before="372" w:line="221" w:lineRule="auto"/>
        <w:rPr>
          <w:rFonts w:ascii="SimSun" w:eastAsia="SimSun" w:hAnsi="SimSun" w:cs="SimSun"/>
          <w:sz w:val="49"/>
          <w:szCs w:val="49"/>
        </w:rPr>
      </w:pPr>
      <w:r>
        <w:rPr>
          <w:rFonts w:ascii="SimSun" w:eastAsia="SimSun" w:hAnsi="SimSun" w:cs="SimSun"/>
          <w:spacing w:val="-9"/>
          <w:sz w:val="49"/>
          <w:szCs w:val="49"/>
        </w:rPr>
        <w:t>3.1.1</w:t>
      </w:r>
      <w:r>
        <w:rPr>
          <w:rFonts w:ascii="SimSun" w:eastAsia="SimSun" w:hAnsi="SimSun" w:cs="SimSun"/>
          <w:spacing w:val="70"/>
          <w:sz w:val="49"/>
          <w:szCs w:val="49"/>
        </w:rPr>
        <w:t xml:space="preserve"> </w:t>
      </w:r>
      <w:r>
        <w:rPr>
          <w:rFonts w:ascii="SimSun" w:eastAsia="SimSun" w:hAnsi="SimSun" w:cs="SimSun"/>
          <w:spacing w:val="-9"/>
          <w:sz w:val="49"/>
          <w:szCs w:val="49"/>
        </w:rPr>
        <w:t>短期偿债能力分析</w:t>
      </w:r>
    </w:p>
    <w:p>
      <w:pPr>
        <w:spacing w:before="354" w:line="353" w:lineRule="auto"/>
        <w:ind w:firstLine="1006"/>
        <w:jc w:val="both"/>
        <w:rPr>
          <w:rFonts w:ascii="SimSun" w:eastAsia="SimSun" w:hAnsi="SimSun" w:cs="SimSun"/>
          <w:sz w:val="49"/>
          <w:szCs w:val="49"/>
        </w:rPr>
      </w:pPr>
      <w:r>
        <w:rPr>
          <w:rFonts w:ascii="SimSun" w:eastAsia="SimSun" w:hAnsi="SimSun" w:cs="SimSun"/>
          <w:spacing w:val="-2"/>
          <w:sz w:val="49"/>
          <w:szCs w:val="49"/>
        </w:rPr>
        <w:t>短期偿债能力是指企业以流动资产偿还流动负债的能力，它反映企业偿付日常</w:t>
      </w:r>
      <w:r>
        <w:rPr>
          <w:rFonts w:ascii="SimSun" w:eastAsia="SimSun" w:hAnsi="SimSun" w:cs="SimSun"/>
          <w:spacing w:val="11"/>
          <w:sz w:val="49"/>
          <w:szCs w:val="49"/>
        </w:rPr>
        <w:t xml:space="preserve"> </w:t>
      </w:r>
      <w:r>
        <w:rPr>
          <w:rFonts w:ascii="SimSun" w:eastAsia="SimSun" w:hAnsi="SimSun" w:cs="SimSun"/>
          <w:spacing w:val="-2"/>
          <w:sz w:val="49"/>
          <w:szCs w:val="49"/>
        </w:rPr>
        <w:t>到期债务的能力。对债权人来说，企业要具有充分的偿还能力才能保证其债权的安</w:t>
      </w:r>
      <w:r>
        <w:rPr>
          <w:rFonts w:ascii="SimSun" w:eastAsia="SimSun" w:hAnsi="SimSun" w:cs="SimSun"/>
          <w:sz w:val="49"/>
          <w:szCs w:val="49"/>
        </w:rPr>
        <w:t xml:space="preserve"> </w:t>
      </w:r>
      <w:r>
        <w:rPr>
          <w:rFonts w:ascii="SimSun" w:eastAsia="SimSun" w:hAnsi="SimSun" w:cs="SimSun"/>
          <w:spacing w:val="-3"/>
          <w:sz w:val="49"/>
          <w:szCs w:val="49"/>
        </w:rPr>
        <w:t>全，按期取得利息，到期取回本金；对投资者来</w:t>
      </w:r>
      <w:r>
        <w:rPr>
          <w:rFonts w:ascii="SimSun" w:eastAsia="SimSun" w:hAnsi="SimSun" w:cs="SimSun"/>
          <w:spacing w:val="-4"/>
          <w:sz w:val="49"/>
          <w:szCs w:val="49"/>
        </w:rPr>
        <w:t>说，如果企业的短期偿债能力发生</w:t>
      </w:r>
      <w:r>
        <w:rPr>
          <w:rFonts w:ascii="SimSun" w:eastAsia="SimSun" w:hAnsi="SimSun" w:cs="SimSun"/>
          <w:sz w:val="49"/>
          <w:szCs w:val="49"/>
        </w:rPr>
        <w:t xml:space="preserve"> </w:t>
      </w:r>
      <w:r>
        <w:rPr>
          <w:rFonts w:ascii="SimSun" w:eastAsia="SimSun" w:hAnsi="SimSun" w:cs="SimSun"/>
          <w:spacing w:val="-3"/>
          <w:sz w:val="49"/>
          <w:szCs w:val="49"/>
        </w:rPr>
        <w:t>问题，就会牵制企业经营的管理人员耗费大</w:t>
      </w:r>
      <w:r>
        <w:rPr>
          <w:rFonts w:ascii="SimSun" w:eastAsia="SimSun" w:hAnsi="SimSun" w:cs="SimSun"/>
          <w:spacing w:val="-4"/>
          <w:sz w:val="49"/>
          <w:szCs w:val="49"/>
        </w:rPr>
        <w:t>量精力去筹集资金，以应付还债，还会</w:t>
      </w:r>
      <w:r>
        <w:rPr>
          <w:rFonts w:ascii="SimSun" w:eastAsia="SimSun" w:hAnsi="SimSun" w:cs="SimSun"/>
          <w:sz w:val="49"/>
          <w:szCs w:val="49"/>
        </w:rPr>
        <w:t xml:space="preserve"> </w:t>
      </w:r>
      <w:r>
        <w:rPr>
          <w:rFonts w:ascii="SimSun" w:eastAsia="SimSun" w:hAnsi="SimSun" w:cs="SimSun"/>
          <w:spacing w:val="-3"/>
          <w:sz w:val="49"/>
          <w:szCs w:val="49"/>
        </w:rPr>
        <w:t>增加企业筹资的难度，或加大临时紧急筹资的成本，</w:t>
      </w:r>
      <w:r>
        <w:rPr>
          <w:rFonts w:ascii="SimSun" w:eastAsia="SimSun" w:hAnsi="SimSun" w:cs="SimSun"/>
          <w:spacing w:val="-4"/>
          <w:sz w:val="49"/>
          <w:szCs w:val="49"/>
        </w:rPr>
        <w:t>影响企业的盈利能力。评价企</w:t>
      </w:r>
    </w:p>
    <w:p>
      <w:pPr>
        <w:spacing w:line="221" w:lineRule="auto"/>
        <w:rPr>
          <w:rFonts w:ascii="SimSun" w:eastAsia="SimSun" w:hAnsi="SimSun" w:cs="SimSun"/>
          <w:sz w:val="49"/>
          <w:szCs w:val="49"/>
        </w:rPr>
      </w:pPr>
      <w:r>
        <w:rPr>
          <w:rFonts w:ascii="SimSun" w:eastAsia="SimSun" w:hAnsi="SimSun" w:cs="SimSun"/>
          <w:spacing w:val="-5"/>
          <w:sz w:val="49"/>
          <w:szCs w:val="49"/>
        </w:rPr>
        <w:t>业短期偿债能力的指标主要有流动比率、速动比率和现金比率。</w:t>
      </w:r>
    </w:p>
    <w:p>
      <w:pPr>
        <w:spacing w:line="354" w:lineRule="auto"/>
        <w:rPr>
          <w:rFonts w:ascii="Arial"/>
          <w:sz w:val="21"/>
        </w:rPr>
      </w:pPr>
    </w:p>
    <w:p>
      <w:pPr>
        <w:spacing w:before="151" w:line="223" w:lineRule="auto"/>
        <w:rPr>
          <w:rFonts w:ascii="SimSun" w:eastAsia="SimSun" w:hAnsi="SimSun" w:cs="SimSun"/>
          <w:sz w:val="46"/>
          <w:szCs w:val="46"/>
        </w:rPr>
      </w:pPr>
      <w:hyperlink r:id="rId4" w:history="1">
        <w:r>
          <w:rPr>
            <w:rFonts w:ascii="SimSun" w:eastAsia="SimSun" w:hAnsi="SimSun" w:cs="SimSun"/>
            <w:spacing w:val="9"/>
            <w:sz w:val="46"/>
            <w:szCs w:val="46"/>
          </w:rPr>
          <w:t>3.1.1.1</w:t>
        </w:r>
      </w:hyperlink>
      <w:r>
        <w:rPr>
          <w:rFonts w:ascii="SimSun" w:eastAsia="SimSun" w:hAnsi="SimSun" w:cs="SimSun"/>
          <w:spacing w:val="102"/>
          <w:sz w:val="46"/>
          <w:szCs w:val="46"/>
        </w:rPr>
        <w:t xml:space="preserve"> </w:t>
      </w:r>
      <w:r>
        <w:rPr>
          <w:rFonts w:ascii="SimSun" w:eastAsia="SimSun" w:hAnsi="SimSun" w:cs="SimSun"/>
          <w:spacing w:val="9"/>
          <w:sz w:val="46"/>
          <w:szCs w:val="46"/>
        </w:rPr>
        <w:t>流动比率</w:t>
      </w:r>
    </w:p>
    <w:p>
      <w:pPr>
        <w:spacing w:before="373" w:line="963" w:lineRule="exact"/>
        <w:ind w:left="1254"/>
        <w:rPr>
          <w:rFonts w:ascii="SimSun" w:eastAsia="SimSun" w:hAnsi="SimSun" w:cs="SimSun"/>
          <w:sz w:val="49"/>
          <w:szCs w:val="49"/>
        </w:rPr>
      </w:pPr>
      <w:r>
        <w:rPr>
          <w:rFonts w:ascii="SimSun" w:eastAsia="SimSun" w:hAnsi="SimSun" w:cs="SimSun"/>
          <w:spacing w:val="-1"/>
          <w:position w:val="35"/>
          <w:sz w:val="49"/>
          <w:szCs w:val="49"/>
        </w:rPr>
        <w:t>流动比率是流动资产对流动负债的比率，用来衡量企业流动资产在短期债务</w:t>
      </w:r>
    </w:p>
    <w:p>
      <w:pPr>
        <w:spacing w:line="221" w:lineRule="auto"/>
        <w:rPr>
          <w:rFonts w:ascii="SimSun" w:eastAsia="SimSun" w:hAnsi="SimSun" w:cs="SimSun"/>
          <w:sz w:val="49"/>
          <w:szCs w:val="49"/>
        </w:rPr>
      </w:pPr>
      <w:r>
        <w:rPr>
          <w:rFonts w:ascii="SimSun" w:eastAsia="SimSun" w:hAnsi="SimSun" w:cs="SimSun"/>
          <w:spacing w:val="-7"/>
          <w:sz w:val="49"/>
          <w:szCs w:val="49"/>
        </w:rPr>
        <w:t>到期以前，可以变为现金用于偿还负债的能力。</w:t>
      </w:r>
    </w:p>
    <w:p>
      <w:pPr>
        <w:spacing w:before="350" w:line="221" w:lineRule="auto"/>
        <w:ind w:left="1254"/>
        <w:rPr>
          <w:rFonts w:ascii="SimSun" w:eastAsia="SimSun" w:hAnsi="SimSun" w:cs="SimSun"/>
          <w:sz w:val="49"/>
          <w:szCs w:val="49"/>
        </w:rPr>
      </w:pPr>
      <w:r>
        <w:rPr>
          <w:rFonts w:ascii="SimSun" w:eastAsia="SimSun" w:hAnsi="SimSun" w:cs="SimSun"/>
          <w:spacing w:val="-5"/>
          <w:sz w:val="49"/>
          <w:szCs w:val="49"/>
        </w:rPr>
        <w:t>计算公式：流动比率=流动资产/流动负债</w:t>
      </w:r>
    </w:p>
    <w:p>
      <w:pPr>
        <w:spacing w:line="221" w:lineRule="auto"/>
        <w:rPr>
          <w:rFonts w:ascii="SimSun" w:eastAsia="SimSun" w:hAnsi="SimSun" w:cs="SimSun"/>
          <w:sz w:val="49"/>
          <w:szCs w:val="49"/>
        </w:rPr>
        <w:sectPr>
          <w:pgSz w:w="22849" w:h="31680"/>
          <w:pgMar w:top="2692" w:right="2366" w:bottom="0" w:left="2870" w:header="0" w:footer="0" w:gutter="0"/>
          <w:pgNumType w:start="4"/>
          <w:cols w:space="708"/>
        </w:sectPr>
      </w:pPr>
    </w:p>
    <w:p>
      <w:pPr>
        <w:spacing w:line="260" w:lineRule="auto"/>
        <w:rPr>
          <w:rFonts w:ascii="Arial"/>
          <w:sz w:val="21"/>
        </w:rPr>
      </w:pPr>
    </w:p>
    <w:p>
      <w:pPr>
        <w:spacing w:before="160" w:line="361" w:lineRule="auto"/>
        <w:ind w:right="182" w:firstLine="1006"/>
        <w:rPr>
          <w:rFonts w:ascii="SimSun" w:eastAsia="SimSun" w:hAnsi="SimSun" w:cs="SimSun"/>
          <w:sz w:val="49"/>
          <w:szCs w:val="49"/>
        </w:rPr>
      </w:pPr>
      <w:r>
        <w:rPr>
          <w:rFonts w:ascii="SimSun" w:eastAsia="SimSun" w:hAnsi="SimSun" w:cs="SimSun"/>
          <w:spacing w:val="-3"/>
          <w:sz w:val="49"/>
          <w:szCs w:val="49"/>
        </w:rPr>
        <w:t xml:space="preserve">其中流动资产是指企业可以在一年或者越过一年的一个营业周期内变现或者  </w:t>
      </w:r>
      <w:r>
        <w:rPr>
          <w:rFonts w:ascii="SimSun" w:eastAsia="SimSun" w:hAnsi="SimSun" w:cs="SimSun"/>
          <w:spacing w:val="-3"/>
          <w:sz w:val="49"/>
          <w:szCs w:val="49"/>
        </w:rPr>
        <w:t>运用的资产，是企业资产中必不可少的组成部分。流动资产的内容包括货币资金、</w:t>
      </w:r>
      <w:r>
        <w:rPr>
          <w:rFonts w:ascii="SimSun" w:eastAsia="SimSun" w:hAnsi="SimSun" w:cs="SimSun"/>
          <w:spacing w:val="4"/>
          <w:sz w:val="49"/>
          <w:szCs w:val="49"/>
        </w:rPr>
        <w:t xml:space="preserve"> </w:t>
      </w:r>
      <w:r>
        <w:rPr>
          <w:rFonts w:ascii="SimSun" w:eastAsia="SimSun" w:hAnsi="SimSun" w:cs="SimSun"/>
          <w:spacing w:val="4"/>
          <w:sz w:val="49"/>
          <w:szCs w:val="49"/>
        </w:rPr>
        <w:t>短期投资、应收票据、应收账款和存货等。短期负债也叫流动负</w:t>
      </w:r>
      <w:r>
        <w:rPr>
          <w:rFonts w:ascii="SimSun" w:eastAsia="SimSun" w:hAnsi="SimSun" w:cs="SimSun"/>
          <w:spacing w:val="3"/>
          <w:sz w:val="49"/>
          <w:szCs w:val="49"/>
        </w:rPr>
        <w:t>债，是指将在1年</w:t>
      </w:r>
      <w:r>
        <w:rPr>
          <w:rFonts w:ascii="SimSun" w:eastAsia="SimSun" w:hAnsi="SimSun" w:cs="SimSun"/>
          <w:sz w:val="49"/>
          <w:szCs w:val="49"/>
        </w:rPr>
        <w:t xml:space="preserve"> </w:t>
      </w:r>
      <w:r>
        <w:rPr>
          <w:rFonts w:ascii="SimSun" w:eastAsia="SimSun" w:hAnsi="SimSun" w:cs="SimSun"/>
          <w:spacing w:val="10"/>
          <w:sz w:val="49"/>
          <w:szCs w:val="49"/>
        </w:rPr>
        <w:t>(含1年)或者超过1年的一个营业周期内偿还的债务，包括短期借款、应付票据、</w:t>
      </w:r>
      <w:r>
        <w:rPr>
          <w:rFonts w:ascii="SimSun" w:eastAsia="SimSun" w:hAnsi="SimSun" w:cs="SimSun"/>
          <w:spacing w:val="16"/>
          <w:sz w:val="49"/>
          <w:szCs w:val="49"/>
        </w:rPr>
        <w:t xml:space="preserve"> </w:t>
      </w:r>
      <w:r>
        <w:rPr>
          <w:rFonts w:ascii="SimSun" w:eastAsia="SimSun" w:hAnsi="SimSun" w:cs="SimSun"/>
          <w:spacing w:val="-3"/>
          <w:sz w:val="49"/>
          <w:szCs w:val="49"/>
        </w:rPr>
        <w:t>应付账款、预收账款、应付工资、应付福利费、应付股利、应交税金、其它暂收应</w:t>
      </w:r>
    </w:p>
    <w:p>
      <w:pPr>
        <w:spacing w:line="220" w:lineRule="auto"/>
        <w:rPr>
          <w:rFonts w:ascii="SimSun" w:eastAsia="SimSun" w:hAnsi="SimSun" w:cs="SimSun"/>
          <w:sz w:val="49"/>
          <w:szCs w:val="49"/>
        </w:rPr>
      </w:pPr>
      <w:r>
        <w:rPr>
          <w:rFonts w:ascii="SimSun" w:eastAsia="SimSun" w:hAnsi="SimSun" w:cs="SimSun"/>
          <w:spacing w:val="-6"/>
          <w:sz w:val="49"/>
          <w:szCs w:val="49"/>
        </w:rPr>
        <w:t>付款项、预提费用和一年内到期的长期借款</w:t>
      </w:r>
      <w:r>
        <w:rPr>
          <w:rFonts w:ascii="SimSun" w:eastAsia="SimSun" w:hAnsi="SimSun" w:cs="SimSun"/>
          <w:spacing w:val="-7"/>
          <w:sz w:val="49"/>
          <w:szCs w:val="49"/>
        </w:rPr>
        <w:t>等。</w:t>
      </w:r>
    </w:p>
    <w:p>
      <w:pPr>
        <w:spacing w:before="380" w:line="353" w:lineRule="auto"/>
        <w:ind w:firstLine="1006"/>
        <w:rPr>
          <w:rFonts w:ascii="SimSun" w:eastAsia="SimSun" w:hAnsi="SimSun" w:cs="SimSun"/>
          <w:sz w:val="49"/>
          <w:szCs w:val="49"/>
        </w:rPr>
      </w:pPr>
      <w:r>
        <w:rPr>
          <w:rFonts w:ascii="SimSun" w:eastAsia="SimSun" w:hAnsi="SimSun" w:cs="SimSun"/>
          <w:spacing w:val="-4"/>
          <w:sz w:val="49"/>
          <w:szCs w:val="49"/>
        </w:rPr>
        <w:t>一般情况下，流动比率越高，反映企业短期偿债能力越强，债权人的权益越有</w:t>
      </w:r>
      <w:r>
        <w:rPr>
          <w:rFonts w:ascii="SimSun" w:eastAsia="SimSun" w:hAnsi="SimSun" w:cs="SimSun"/>
          <w:spacing w:val="15"/>
          <w:sz w:val="49"/>
          <w:szCs w:val="49"/>
        </w:rPr>
        <w:t xml:space="preserve"> </w:t>
      </w:r>
      <w:r>
        <w:rPr>
          <w:rFonts w:ascii="SimSun" w:eastAsia="SimSun" w:hAnsi="SimSun" w:cs="SimSun"/>
          <w:spacing w:val="-2"/>
          <w:sz w:val="49"/>
          <w:szCs w:val="49"/>
        </w:rPr>
        <w:t>保证。流动比率高，不仅反映企业拥有的营运资金多，可用以抵偿债务，而且表明</w:t>
      </w:r>
      <w:r>
        <w:rPr>
          <w:rFonts w:ascii="SimSun" w:eastAsia="SimSun" w:hAnsi="SimSun" w:cs="SimSun"/>
          <w:spacing w:val="6"/>
          <w:sz w:val="49"/>
          <w:szCs w:val="49"/>
        </w:rPr>
        <w:t xml:space="preserve"> </w:t>
      </w:r>
      <w:r>
        <w:rPr>
          <w:rFonts w:ascii="SimSun" w:eastAsia="SimSun" w:hAnsi="SimSun" w:cs="SimSun"/>
          <w:spacing w:val="-11"/>
          <w:sz w:val="49"/>
          <w:szCs w:val="49"/>
        </w:rPr>
        <w:t>企业可以变现的资产数额大，债权人遭受损失的风险小。按照西方企业的长期经验，</w:t>
      </w:r>
      <w:r>
        <w:rPr>
          <w:rFonts w:ascii="SimSun" w:eastAsia="SimSun" w:hAnsi="SimSun" w:cs="SimSun"/>
          <w:sz w:val="49"/>
          <w:szCs w:val="49"/>
        </w:rPr>
        <w:t xml:space="preserve"> </w:t>
      </w:r>
      <w:r>
        <w:rPr>
          <w:rFonts w:ascii="SimSun" w:eastAsia="SimSun" w:hAnsi="SimSun" w:cs="SimSun"/>
          <w:spacing w:val="9"/>
          <w:sz w:val="49"/>
          <w:szCs w:val="49"/>
        </w:rPr>
        <w:t xml:space="preserve">一般认为合理的最低流动比率2:1,它表明企业财务状况稳定可靠，除了满足日常 </w:t>
      </w:r>
      <w:r>
        <w:rPr>
          <w:rFonts w:ascii="SimSun" w:eastAsia="SimSun" w:hAnsi="SimSun" w:cs="SimSun"/>
          <w:spacing w:val="-5"/>
          <w:sz w:val="49"/>
          <w:szCs w:val="49"/>
        </w:rPr>
        <w:t>生产经营的流动资金需要外，还有足够的财力偿付到期短期债务。流动比率过低，</w:t>
      </w:r>
      <w:r>
        <w:rPr>
          <w:rFonts w:ascii="SimSun" w:eastAsia="SimSun" w:hAnsi="SimSun" w:cs="SimSun"/>
          <w:spacing w:val="7"/>
          <w:sz w:val="49"/>
          <w:szCs w:val="49"/>
        </w:rPr>
        <w:t xml:space="preserve">  </w:t>
      </w:r>
      <w:r>
        <w:rPr>
          <w:rFonts w:ascii="SimSun" w:eastAsia="SimSun" w:hAnsi="SimSun" w:cs="SimSun"/>
          <w:spacing w:val="-10"/>
          <w:sz w:val="49"/>
          <w:szCs w:val="49"/>
        </w:rPr>
        <w:t>企业可能面临清偿到期债务的困难；流动比率过高，表明企业持有不能盈</w:t>
      </w:r>
      <w:r>
        <w:rPr>
          <w:rFonts w:ascii="SimSun" w:eastAsia="SimSun" w:hAnsi="SimSun" w:cs="SimSun"/>
          <w:spacing w:val="-11"/>
          <w:sz w:val="49"/>
          <w:szCs w:val="49"/>
        </w:rPr>
        <w:t xml:space="preserve">利的闲置  </w:t>
      </w:r>
      <w:r>
        <w:rPr>
          <w:rFonts w:ascii="SimSun" w:eastAsia="SimSun" w:hAnsi="SimSun" w:cs="SimSun"/>
          <w:spacing w:val="-28"/>
          <w:sz w:val="49"/>
          <w:szCs w:val="49"/>
        </w:rPr>
        <w:t xml:space="preserve">的流动资产，企业流动资产利用率低下，管理松懈，资金浪费，同时表明企业过于保   </w:t>
      </w:r>
      <w:r>
        <w:rPr>
          <w:rFonts w:ascii="SimSun" w:eastAsia="SimSun" w:hAnsi="SimSun" w:cs="SimSun"/>
          <w:spacing w:val="-10"/>
          <w:sz w:val="49"/>
          <w:szCs w:val="49"/>
        </w:rPr>
        <w:t>守，没有充分使用目前的借款能力，会影响资金的使用效率和企业的获利</w:t>
      </w:r>
      <w:r>
        <w:rPr>
          <w:rFonts w:ascii="SimSun" w:eastAsia="SimSun" w:hAnsi="SimSun" w:cs="SimSun"/>
          <w:spacing w:val="-11"/>
          <w:sz w:val="49"/>
          <w:szCs w:val="49"/>
        </w:rPr>
        <w:t xml:space="preserve">能力。流  </w:t>
      </w:r>
      <w:r>
        <w:rPr>
          <w:rFonts w:ascii="SimSun" w:eastAsia="SimSun" w:hAnsi="SimSun" w:cs="SimSun"/>
          <w:spacing w:val="-4"/>
          <w:sz w:val="49"/>
          <w:szCs w:val="49"/>
        </w:rPr>
        <w:t xml:space="preserve">动比率过高还可能是由于应收账款占用过多，在产品、产成品呆滞、积压的结果。 </w:t>
      </w:r>
      <w:r>
        <w:rPr>
          <w:rFonts w:ascii="SimSun" w:eastAsia="SimSun" w:hAnsi="SimSun" w:cs="SimSun"/>
          <w:spacing w:val="-3"/>
          <w:sz w:val="49"/>
          <w:szCs w:val="49"/>
        </w:rPr>
        <w:t>因此，在分析流动比率时还需注意流动资产的结构、流动资产的周转情况、流</w:t>
      </w:r>
      <w:r>
        <w:rPr>
          <w:rFonts w:ascii="SimSun" w:eastAsia="SimSun" w:hAnsi="SimSun" w:cs="SimSun"/>
          <w:spacing w:val="-4"/>
          <w:sz w:val="49"/>
          <w:szCs w:val="49"/>
        </w:rPr>
        <w:t>动负</w:t>
      </w:r>
    </w:p>
    <w:p>
      <w:pPr>
        <w:spacing w:line="221" w:lineRule="auto"/>
        <w:rPr>
          <w:rFonts w:ascii="SimSun" w:eastAsia="SimSun" w:hAnsi="SimSun" w:cs="SimSun"/>
          <w:sz w:val="49"/>
          <w:szCs w:val="49"/>
        </w:rPr>
      </w:pPr>
      <w:r>
        <w:rPr>
          <w:rFonts w:ascii="SimSun" w:eastAsia="SimSun" w:hAnsi="SimSun" w:cs="SimSun"/>
          <w:spacing w:val="-10"/>
          <w:sz w:val="49"/>
          <w:szCs w:val="49"/>
        </w:rPr>
        <w:t>债的数量与结构等情况。</w:t>
      </w:r>
    </w:p>
    <w:p>
      <w:pPr>
        <w:spacing w:line="400" w:lineRule="auto"/>
        <w:rPr>
          <w:rFonts w:ascii="Arial"/>
          <w:sz w:val="21"/>
        </w:rPr>
      </w:pPr>
    </w:p>
    <w:p>
      <w:pPr>
        <w:spacing w:before="159" w:line="354" w:lineRule="auto"/>
        <w:ind w:right="189" w:firstLine="1006"/>
        <w:jc w:val="both"/>
        <w:rPr>
          <w:rFonts w:ascii="SimSun" w:eastAsia="SimSun" w:hAnsi="SimSun" w:cs="SimSun"/>
          <w:sz w:val="49"/>
          <w:szCs w:val="49"/>
        </w:rPr>
      </w:pPr>
      <w:r>
        <w:rPr>
          <w:rFonts w:ascii="SimSun" w:eastAsia="SimSun" w:hAnsi="SimSun" w:cs="SimSun"/>
          <w:spacing w:val="25"/>
          <w:sz w:val="49"/>
          <w:szCs w:val="49"/>
        </w:rPr>
        <w:t>由表1可以看到，2008年的流动比率0.73,2</w:t>
      </w:r>
      <w:r>
        <w:rPr>
          <w:rFonts w:ascii="SimSun" w:eastAsia="SimSun" w:hAnsi="SimSun" w:cs="SimSun"/>
          <w:spacing w:val="24"/>
          <w:sz w:val="49"/>
          <w:szCs w:val="49"/>
        </w:rPr>
        <w:t>009年的流动比率0.55,2010年</w:t>
      </w:r>
      <w:r>
        <w:rPr>
          <w:rFonts w:ascii="SimSun" w:eastAsia="SimSun" w:hAnsi="SimSun" w:cs="SimSun"/>
          <w:sz w:val="49"/>
          <w:szCs w:val="49"/>
        </w:rPr>
        <w:t xml:space="preserve"> </w:t>
      </w:r>
      <w:r>
        <w:rPr>
          <w:rFonts w:ascii="SimSun" w:eastAsia="SimSun" w:hAnsi="SimSun" w:cs="SimSun"/>
          <w:spacing w:val="21"/>
          <w:sz w:val="49"/>
          <w:szCs w:val="49"/>
        </w:rPr>
        <w:t>的流动比率0.52,可见流动比率逐渐下降，流动比率都低于2甚至低于1,200</w:t>
      </w:r>
      <w:r>
        <w:rPr>
          <w:rFonts w:ascii="SimSun" w:eastAsia="SimSun" w:hAnsi="SimSun" w:cs="SimSun"/>
          <w:spacing w:val="20"/>
          <w:sz w:val="49"/>
          <w:szCs w:val="49"/>
        </w:rPr>
        <w:t>8年</w:t>
      </w:r>
      <w:r>
        <w:rPr>
          <w:rFonts w:ascii="SimSun" w:eastAsia="SimSun" w:hAnsi="SimSun" w:cs="SimSun"/>
          <w:sz w:val="49"/>
          <w:szCs w:val="49"/>
        </w:rPr>
        <w:t xml:space="preserve"> </w:t>
      </w:r>
      <w:r>
        <w:rPr>
          <w:rFonts w:ascii="SimSun" w:eastAsia="SimSun" w:hAnsi="SimSun" w:cs="SimSun"/>
          <w:spacing w:val="17"/>
          <w:sz w:val="49"/>
          <w:szCs w:val="49"/>
        </w:rPr>
        <w:t>的流动资产是2600288657.52,流动负债是35750</w:t>
      </w:r>
      <w:r>
        <w:rPr>
          <w:rFonts w:ascii="SimSun" w:eastAsia="SimSun" w:hAnsi="SimSun" w:cs="SimSun"/>
          <w:spacing w:val="16"/>
          <w:sz w:val="49"/>
          <w:szCs w:val="49"/>
        </w:rPr>
        <w:t>38232.20,2009年流动资产为08</w:t>
      </w:r>
      <w:r>
        <w:rPr>
          <w:rFonts w:ascii="SimSun" w:eastAsia="SimSun" w:hAnsi="SimSun" w:cs="SimSun"/>
          <w:sz w:val="49"/>
          <w:szCs w:val="49"/>
        </w:rPr>
        <w:t xml:space="preserve"> </w:t>
      </w:r>
      <w:r>
        <w:rPr>
          <w:rFonts w:ascii="SimSun" w:eastAsia="SimSun" w:hAnsi="SimSun" w:cs="SimSun"/>
          <w:spacing w:val="23"/>
          <w:sz w:val="49"/>
          <w:szCs w:val="49"/>
        </w:rPr>
        <w:t>年的78%,2009年流动负债是08的104.46%。2010年的流动</w:t>
      </w:r>
      <w:r>
        <w:rPr>
          <w:rFonts w:ascii="SimSun" w:eastAsia="SimSun" w:hAnsi="SimSun" w:cs="SimSun"/>
          <w:spacing w:val="22"/>
          <w:sz w:val="49"/>
          <w:szCs w:val="49"/>
        </w:rPr>
        <w:t>资产是09年87%,2011</w:t>
      </w:r>
      <w:r>
        <w:rPr>
          <w:rFonts w:ascii="SimSun" w:eastAsia="SimSun" w:hAnsi="SimSun" w:cs="SimSun"/>
          <w:sz w:val="49"/>
          <w:szCs w:val="49"/>
        </w:rPr>
        <w:t xml:space="preserve"> </w:t>
      </w:r>
      <w:r>
        <w:rPr>
          <w:rFonts w:ascii="SimSun" w:eastAsia="SimSun" w:hAnsi="SimSun" w:cs="SimSun"/>
          <w:spacing w:val="4"/>
          <w:sz w:val="49"/>
          <w:szCs w:val="49"/>
        </w:rPr>
        <w:t>年的流动负债是09年的91%。流动负债下降比率小于流</w:t>
      </w:r>
      <w:r>
        <w:rPr>
          <w:rFonts w:ascii="SimSun" w:eastAsia="SimSun" w:hAnsi="SimSun" w:cs="SimSun"/>
          <w:spacing w:val="3"/>
          <w:sz w:val="49"/>
          <w:szCs w:val="49"/>
        </w:rPr>
        <w:t>动资产。说明短期偿债能力</w:t>
      </w:r>
    </w:p>
    <w:p>
      <w:pPr>
        <w:spacing w:line="221" w:lineRule="auto"/>
        <w:rPr>
          <w:rFonts w:ascii="SimSun" w:eastAsia="SimSun" w:hAnsi="SimSun" w:cs="SimSun"/>
          <w:sz w:val="49"/>
          <w:szCs w:val="49"/>
        </w:rPr>
      </w:pPr>
      <w:r>
        <w:rPr>
          <w:rFonts w:ascii="SimSun" w:eastAsia="SimSun" w:hAnsi="SimSun" w:cs="SimSun"/>
          <w:spacing w:val="-8"/>
          <w:sz w:val="49"/>
          <w:szCs w:val="49"/>
        </w:rPr>
        <w:t>较差，偿债能力不容乐观。</w:t>
      </w:r>
    </w:p>
    <w:p>
      <w:pPr>
        <w:spacing w:line="320" w:lineRule="auto"/>
        <w:rPr>
          <w:rFonts w:ascii="Arial"/>
          <w:sz w:val="21"/>
        </w:rPr>
      </w:pPr>
    </w:p>
    <w:p>
      <w:pPr>
        <w:spacing w:before="160" w:line="221" w:lineRule="auto"/>
        <w:rPr>
          <w:rFonts w:ascii="SimSun" w:eastAsia="SimSun" w:hAnsi="SimSun" w:cs="SimSun"/>
          <w:sz w:val="49"/>
          <w:szCs w:val="49"/>
        </w:rPr>
      </w:pPr>
      <w:hyperlink r:id="rId5" w:history="1">
        <w:r>
          <w:rPr>
            <w:rFonts w:ascii="SimSun" w:eastAsia="SimSun" w:hAnsi="SimSun" w:cs="SimSun"/>
            <w:spacing w:val="-2"/>
            <w:sz w:val="49"/>
            <w:szCs w:val="49"/>
          </w:rPr>
          <w:t>3.1.1.2</w:t>
        </w:r>
      </w:hyperlink>
      <w:r>
        <w:rPr>
          <w:rFonts w:ascii="SimSun" w:eastAsia="SimSun" w:hAnsi="SimSun" w:cs="SimSun"/>
          <w:spacing w:val="-2"/>
          <w:sz w:val="49"/>
          <w:szCs w:val="49"/>
        </w:rPr>
        <w:t xml:space="preserve"> 速动比率</w:t>
      </w:r>
    </w:p>
    <w:p>
      <w:pPr>
        <w:pStyle w:val="BodyText"/>
        <w:spacing w:before="277" w:line="1018" w:lineRule="exact"/>
        <w:ind w:right="93"/>
        <w:jc w:val="right"/>
        <w:rPr>
          <w:rFonts w:ascii="SimSun" w:eastAsia="SimSun" w:hAnsi="SimSun" w:cs="SimSun"/>
          <w:sz w:val="49"/>
          <w:szCs w:val="49"/>
        </w:rPr>
      </w:pPr>
      <w:r>
        <w:rPr>
          <w:rFonts w:ascii="SimSun" w:eastAsia="SimSun" w:hAnsi="SimSun" w:cs="SimSun"/>
          <w:spacing w:val="4"/>
          <w:position w:val="40"/>
          <w:sz w:val="49"/>
          <w:szCs w:val="49"/>
        </w:rPr>
        <w:t>速动比率，又称“酸性测验比率”</w:t>
      </w:r>
      <w:r>
        <w:rPr>
          <w:rFonts w:ascii="SimSun" w:eastAsia="SimSun" w:hAnsi="SimSun" w:cs="SimSun"/>
          <w:spacing w:val="-60"/>
          <w:position w:val="40"/>
          <w:sz w:val="49"/>
          <w:szCs w:val="49"/>
        </w:rPr>
        <w:t xml:space="preserve"> </w:t>
      </w:r>
      <w:r>
        <w:rPr>
          <w:spacing w:val="4"/>
          <w:position w:val="40"/>
          <w:sz w:val="49"/>
          <w:szCs w:val="49"/>
        </w:rPr>
        <w:t>(</w:t>
      </w:r>
      <w:r>
        <w:rPr>
          <w:position w:val="40"/>
          <w:sz w:val="49"/>
          <w:szCs w:val="49"/>
        </w:rPr>
        <w:t>Acid</w:t>
      </w:r>
      <w:r>
        <w:rPr>
          <w:spacing w:val="4"/>
          <w:position w:val="40"/>
          <w:sz w:val="49"/>
          <w:szCs w:val="49"/>
        </w:rPr>
        <w:t>-</w:t>
      </w:r>
      <w:r>
        <w:rPr>
          <w:position w:val="40"/>
          <w:sz w:val="49"/>
          <w:szCs w:val="49"/>
        </w:rPr>
        <w:t>test</w:t>
      </w:r>
      <w:r>
        <w:rPr>
          <w:spacing w:val="4"/>
          <w:position w:val="40"/>
          <w:sz w:val="49"/>
          <w:szCs w:val="49"/>
        </w:rPr>
        <w:t xml:space="preserve">           </w:t>
      </w:r>
      <w:r>
        <w:rPr>
          <w:position w:val="40"/>
          <w:sz w:val="49"/>
          <w:szCs w:val="49"/>
        </w:rPr>
        <w:t>Ratio</w:t>
      </w:r>
      <w:r>
        <w:rPr>
          <w:spacing w:val="3"/>
          <w:position w:val="40"/>
          <w:sz w:val="49"/>
          <w:szCs w:val="49"/>
        </w:rPr>
        <w:t xml:space="preserve">), </w:t>
      </w:r>
      <w:r>
        <w:rPr>
          <w:rFonts w:ascii="SimSun" w:eastAsia="SimSun" w:hAnsi="SimSun" w:cs="SimSun"/>
          <w:spacing w:val="3"/>
          <w:position w:val="40"/>
          <w:sz w:val="49"/>
          <w:szCs w:val="49"/>
        </w:rPr>
        <w:t>是指速动资产对流</w:t>
      </w:r>
    </w:p>
    <w:p>
      <w:pPr>
        <w:spacing w:line="221" w:lineRule="auto"/>
        <w:rPr>
          <w:rFonts w:ascii="SimSun" w:eastAsia="SimSun" w:hAnsi="SimSun" w:cs="SimSun"/>
          <w:sz w:val="49"/>
          <w:szCs w:val="49"/>
        </w:rPr>
      </w:pPr>
      <w:r>
        <w:rPr>
          <w:rFonts w:ascii="SimSun" w:eastAsia="SimSun" w:hAnsi="SimSun" w:cs="SimSun"/>
          <w:spacing w:val="-2"/>
          <w:sz w:val="49"/>
          <w:szCs w:val="49"/>
        </w:rPr>
        <w:t>动负债的比率。它是衡量企业流动资产中可以立即变现用于偿还流动负债的能力。</w:t>
      </w:r>
    </w:p>
    <w:p>
      <w:pPr>
        <w:spacing w:line="250" w:lineRule="auto"/>
        <w:rPr>
          <w:rFonts w:ascii="Arial"/>
          <w:sz w:val="21"/>
        </w:rPr>
      </w:pPr>
    </w:p>
    <w:p>
      <w:pPr>
        <w:spacing w:before="160" w:line="221" w:lineRule="auto"/>
        <w:ind w:left="1298"/>
        <w:rPr>
          <w:rFonts w:ascii="SimSun" w:eastAsia="SimSun" w:hAnsi="SimSun" w:cs="SimSun"/>
          <w:sz w:val="49"/>
          <w:szCs w:val="49"/>
        </w:rPr>
      </w:pPr>
      <w:r>
        <w:rPr>
          <w:rFonts w:ascii="SimSun" w:eastAsia="SimSun" w:hAnsi="SimSun" w:cs="SimSun"/>
          <w:spacing w:val="-2"/>
          <w:sz w:val="49"/>
          <w:szCs w:val="49"/>
        </w:rPr>
        <w:t>计算公式：速动比率=速动资产/流动负债</w:t>
      </w:r>
    </w:p>
    <w:p>
      <w:pPr>
        <w:spacing w:line="221" w:lineRule="auto"/>
        <w:rPr>
          <w:rFonts w:ascii="SimSun" w:eastAsia="SimSun" w:hAnsi="SimSun" w:cs="SimSun"/>
          <w:sz w:val="49"/>
          <w:szCs w:val="49"/>
        </w:rPr>
        <w:sectPr>
          <w:pgSz w:w="22849" w:h="31680"/>
          <w:pgMar w:top="2692" w:right="2252" w:bottom="0" w:left="2870" w:header="0" w:footer="0" w:gutter="0"/>
          <w:pgNumType w:start="5"/>
          <w:cols w:space="708"/>
        </w:sectPr>
      </w:pPr>
    </w:p>
    <w:p>
      <w:pPr>
        <w:spacing w:line="282" w:lineRule="auto"/>
        <w:rPr>
          <w:rFonts w:ascii="Arial"/>
          <w:sz w:val="21"/>
        </w:rPr>
      </w:pPr>
    </w:p>
    <w:p>
      <w:pPr>
        <w:spacing w:before="159" w:line="353" w:lineRule="auto"/>
        <w:ind w:firstLine="1254"/>
        <w:jc w:val="both"/>
        <w:rPr>
          <w:rFonts w:ascii="SimSun" w:eastAsia="SimSun" w:hAnsi="SimSun" w:cs="SimSun"/>
          <w:sz w:val="49"/>
          <w:szCs w:val="49"/>
        </w:rPr>
      </w:pPr>
      <w:r>
        <w:rPr>
          <w:rFonts w:ascii="SimSun" w:eastAsia="SimSun" w:hAnsi="SimSun" w:cs="SimSun"/>
          <w:spacing w:val="-5"/>
          <w:sz w:val="49"/>
          <w:szCs w:val="49"/>
        </w:rPr>
        <w:t>速动资产包括货币资金、短期投资、应收票据、应收账款、其他应</w:t>
      </w:r>
      <w:r>
        <w:rPr>
          <w:rFonts w:ascii="SimSun" w:eastAsia="SimSun" w:hAnsi="SimSun" w:cs="SimSun"/>
          <w:spacing w:val="-6"/>
          <w:sz w:val="49"/>
          <w:szCs w:val="49"/>
        </w:rPr>
        <w:t>收款项等，</w:t>
      </w:r>
      <w:r>
        <w:rPr>
          <w:rFonts w:ascii="SimSun" w:eastAsia="SimSun" w:hAnsi="SimSun" w:cs="SimSun"/>
          <w:sz w:val="49"/>
          <w:szCs w:val="49"/>
        </w:rPr>
        <w:t xml:space="preserve"> </w:t>
      </w:r>
      <w:r>
        <w:rPr>
          <w:rFonts w:ascii="SimSun" w:eastAsia="SimSun" w:hAnsi="SimSun" w:cs="SimSun"/>
          <w:spacing w:val="2"/>
          <w:sz w:val="49"/>
          <w:szCs w:val="49"/>
        </w:rPr>
        <w:t>可以在较短时间内变现。而流动资产中存货、1年内到期的非流动资产及其他流动</w:t>
      </w:r>
    </w:p>
    <w:p>
      <w:pPr>
        <w:spacing w:line="221" w:lineRule="auto"/>
        <w:rPr>
          <w:rFonts w:ascii="SimSun" w:eastAsia="SimSun" w:hAnsi="SimSun" w:cs="SimSun"/>
          <w:sz w:val="49"/>
          <w:szCs w:val="49"/>
        </w:rPr>
      </w:pPr>
      <w:r>
        <w:rPr>
          <w:rFonts w:ascii="SimSun" w:eastAsia="SimSun" w:hAnsi="SimSun" w:cs="SimSun"/>
          <w:spacing w:val="-8"/>
          <w:sz w:val="49"/>
          <w:szCs w:val="49"/>
        </w:rPr>
        <w:t>资产等则不应计入。</w:t>
      </w:r>
    </w:p>
    <w:p>
      <w:pPr>
        <w:spacing w:before="380" w:line="361" w:lineRule="auto"/>
        <w:ind w:right="168" w:firstLine="1254"/>
        <w:jc w:val="both"/>
        <w:rPr>
          <w:rFonts w:ascii="SimSun" w:eastAsia="SimSun" w:hAnsi="SimSun" w:cs="SimSun"/>
          <w:sz w:val="49"/>
          <w:szCs w:val="49"/>
        </w:rPr>
      </w:pPr>
      <w:r>
        <w:rPr>
          <w:rFonts w:ascii="SimSun" w:eastAsia="SimSun" w:hAnsi="SimSun" w:cs="SimSun"/>
          <w:sz w:val="49"/>
          <w:szCs w:val="49"/>
        </w:rPr>
        <w:t>速动比率的高低能直接反映企业的短期偿债能力强弱，它</w:t>
      </w:r>
      <w:r>
        <w:rPr>
          <w:rFonts w:ascii="SimSun" w:eastAsia="SimSun" w:hAnsi="SimSun" w:cs="SimSun"/>
          <w:spacing w:val="-1"/>
          <w:sz w:val="49"/>
          <w:szCs w:val="49"/>
        </w:rPr>
        <w:t>是对流动比率的补</w:t>
      </w:r>
      <w:r>
        <w:rPr>
          <w:rFonts w:ascii="SimSun" w:eastAsia="SimSun" w:hAnsi="SimSun" w:cs="SimSun"/>
          <w:sz w:val="49"/>
          <w:szCs w:val="49"/>
        </w:rPr>
        <w:t xml:space="preserve"> </w:t>
      </w:r>
      <w:r>
        <w:rPr>
          <w:rFonts w:ascii="SimSun" w:eastAsia="SimSun" w:hAnsi="SimSun" w:cs="SimSun"/>
          <w:spacing w:val="-2"/>
          <w:sz w:val="49"/>
          <w:szCs w:val="49"/>
        </w:rPr>
        <w:t>充，并且比流动比率反映得更加直观可信。如果流动比率较高，但流动资产的流动</w:t>
      </w:r>
      <w:r>
        <w:rPr>
          <w:rFonts w:ascii="SimSun" w:eastAsia="SimSun" w:hAnsi="SimSun" w:cs="SimSun"/>
          <w:spacing w:val="5"/>
          <w:sz w:val="49"/>
          <w:szCs w:val="49"/>
        </w:rPr>
        <w:t xml:space="preserve"> </w:t>
      </w:r>
      <w:r>
        <w:rPr>
          <w:rFonts w:ascii="SimSun" w:eastAsia="SimSun" w:hAnsi="SimSun" w:cs="SimSun"/>
          <w:spacing w:val="-2"/>
          <w:sz w:val="49"/>
          <w:szCs w:val="49"/>
        </w:rPr>
        <w:t>性却很低，则企业的短期偿债能力仍然不高。在流动资产中有价证券一般可以立刻</w:t>
      </w:r>
      <w:r>
        <w:rPr>
          <w:rFonts w:ascii="SimSun" w:eastAsia="SimSun" w:hAnsi="SimSun" w:cs="SimSun"/>
          <w:spacing w:val="3"/>
          <w:sz w:val="49"/>
          <w:szCs w:val="49"/>
        </w:rPr>
        <w:t xml:space="preserve"> </w:t>
      </w:r>
      <w:r>
        <w:rPr>
          <w:rFonts w:ascii="SimSun" w:eastAsia="SimSun" w:hAnsi="SimSun" w:cs="SimSun"/>
          <w:spacing w:val="-2"/>
          <w:sz w:val="49"/>
          <w:szCs w:val="49"/>
        </w:rPr>
        <w:t>在证券市场上出售，转化为现金，应收账款，应收票据，预付账款等项目，</w:t>
      </w:r>
      <w:r>
        <w:rPr>
          <w:rFonts w:ascii="SimSun" w:eastAsia="SimSun" w:hAnsi="SimSun" w:cs="SimSun"/>
          <w:spacing w:val="-3"/>
          <w:sz w:val="49"/>
          <w:szCs w:val="49"/>
        </w:rPr>
        <w:t>可以在</w:t>
      </w:r>
      <w:r>
        <w:rPr>
          <w:rFonts w:ascii="SimSun" w:eastAsia="SimSun" w:hAnsi="SimSun" w:cs="SimSun"/>
          <w:sz w:val="49"/>
          <w:szCs w:val="49"/>
        </w:rPr>
        <w:t xml:space="preserve"> </w:t>
      </w:r>
      <w:r>
        <w:rPr>
          <w:rFonts w:ascii="SimSun" w:eastAsia="SimSun" w:hAnsi="SimSun" w:cs="SimSun"/>
          <w:spacing w:val="-2"/>
          <w:sz w:val="49"/>
          <w:szCs w:val="49"/>
        </w:rPr>
        <w:t>短时期内变现，而存货、待摊费用等项目变现时间较长，特别是存货很可能发生积</w:t>
      </w:r>
      <w:r>
        <w:rPr>
          <w:rFonts w:ascii="SimSun" w:eastAsia="SimSun" w:hAnsi="SimSun" w:cs="SimSun"/>
          <w:spacing w:val="3"/>
          <w:sz w:val="49"/>
          <w:szCs w:val="49"/>
        </w:rPr>
        <w:t xml:space="preserve"> </w:t>
      </w:r>
      <w:r>
        <w:rPr>
          <w:rFonts w:ascii="SimSun" w:eastAsia="SimSun" w:hAnsi="SimSun" w:cs="SimSun"/>
          <w:spacing w:val="-2"/>
          <w:sz w:val="49"/>
          <w:szCs w:val="49"/>
        </w:rPr>
        <w:t>压，滞销、残次、冷背等情况，其流动性较差，因此流动比率较高的企业，</w:t>
      </w:r>
      <w:r>
        <w:rPr>
          <w:rFonts w:ascii="SimSun" w:eastAsia="SimSun" w:hAnsi="SimSun" w:cs="SimSun"/>
          <w:spacing w:val="-3"/>
          <w:sz w:val="49"/>
          <w:szCs w:val="49"/>
        </w:rPr>
        <w:t>并不一</w:t>
      </w:r>
      <w:r>
        <w:rPr>
          <w:rFonts w:ascii="SimSun" w:eastAsia="SimSun" w:hAnsi="SimSun" w:cs="SimSun"/>
          <w:sz w:val="49"/>
          <w:szCs w:val="49"/>
        </w:rPr>
        <w:t xml:space="preserve"> </w:t>
      </w:r>
      <w:r>
        <w:rPr>
          <w:rFonts w:ascii="SimSun" w:eastAsia="SimSun" w:hAnsi="SimSun" w:cs="SimSun"/>
          <w:spacing w:val="-3"/>
          <w:sz w:val="49"/>
          <w:szCs w:val="49"/>
        </w:rPr>
        <w:t>定偿还短期债务的能力很强，而速动比率就避免了</w:t>
      </w:r>
      <w:r>
        <w:rPr>
          <w:rFonts w:ascii="SimSun" w:eastAsia="SimSun" w:hAnsi="SimSun" w:cs="SimSun"/>
          <w:spacing w:val="-4"/>
          <w:sz w:val="49"/>
          <w:szCs w:val="49"/>
        </w:rPr>
        <w:t>这种情况的发生。速动比率一般</w:t>
      </w:r>
    </w:p>
    <w:p>
      <w:pPr>
        <w:spacing w:line="221" w:lineRule="auto"/>
        <w:rPr>
          <w:rFonts w:ascii="SimSun" w:eastAsia="SimSun" w:hAnsi="SimSun" w:cs="SimSun"/>
          <w:sz w:val="49"/>
          <w:szCs w:val="49"/>
        </w:rPr>
      </w:pPr>
      <w:r>
        <w:rPr>
          <w:rFonts w:ascii="SimSun" w:eastAsia="SimSun" w:hAnsi="SimSun" w:cs="SimSun"/>
          <w:spacing w:val="2"/>
          <w:sz w:val="49"/>
          <w:szCs w:val="49"/>
        </w:rPr>
        <w:t>应保持在100%以上。</w:t>
      </w:r>
    </w:p>
    <w:p>
      <w:pPr>
        <w:spacing w:line="260" w:lineRule="auto"/>
        <w:rPr>
          <w:rFonts w:ascii="Arial"/>
          <w:sz w:val="21"/>
        </w:rPr>
      </w:pPr>
    </w:p>
    <w:p>
      <w:pPr>
        <w:spacing w:before="159" w:line="353" w:lineRule="auto"/>
        <w:ind w:firstLine="1254"/>
        <w:jc w:val="both"/>
        <w:rPr>
          <w:rFonts w:ascii="SimSun" w:eastAsia="SimSun" w:hAnsi="SimSun" w:cs="SimSun"/>
          <w:sz w:val="49"/>
          <w:szCs w:val="49"/>
        </w:rPr>
      </w:pPr>
      <w:r>
        <w:rPr>
          <w:rFonts w:ascii="SimSun" w:eastAsia="SimSun" w:hAnsi="SimSun" w:cs="SimSun"/>
          <w:spacing w:val="-12"/>
          <w:sz w:val="49"/>
          <w:szCs w:val="49"/>
        </w:rPr>
        <w:t>流动性的资产中有两种资产形态，</w:t>
      </w:r>
      <w:r>
        <w:rPr>
          <w:rFonts w:ascii="SimSun" w:eastAsia="SimSun" w:hAnsi="SimSun" w:cs="SimSun"/>
          <w:spacing w:val="136"/>
          <w:sz w:val="49"/>
          <w:szCs w:val="49"/>
        </w:rPr>
        <w:t xml:space="preserve"> </w:t>
      </w:r>
      <w:r>
        <w:rPr>
          <w:rFonts w:ascii="SimSun" w:eastAsia="SimSun" w:hAnsi="SimSun" w:cs="SimSun"/>
          <w:spacing w:val="-12"/>
          <w:sz w:val="49"/>
          <w:szCs w:val="49"/>
        </w:rPr>
        <w:t>一种是存货，比如原材料、半</w:t>
      </w:r>
      <w:r>
        <w:rPr>
          <w:rFonts w:ascii="SimSun" w:eastAsia="SimSun" w:hAnsi="SimSun" w:cs="SimSun"/>
          <w:spacing w:val="-13"/>
          <w:sz w:val="49"/>
          <w:szCs w:val="49"/>
        </w:rPr>
        <w:t>成品等实物</w:t>
      </w:r>
      <w:r>
        <w:rPr>
          <w:rFonts w:ascii="SimSun" w:eastAsia="SimSun" w:hAnsi="SimSun" w:cs="SimSun"/>
          <w:sz w:val="49"/>
          <w:szCs w:val="49"/>
        </w:rPr>
        <w:t xml:space="preserve">  </w:t>
      </w:r>
      <w:r>
        <w:rPr>
          <w:rFonts w:ascii="SimSun" w:eastAsia="SimSun" w:hAnsi="SimSun" w:cs="SimSun"/>
          <w:spacing w:val="-2"/>
          <w:sz w:val="49"/>
          <w:szCs w:val="49"/>
        </w:rPr>
        <w:t>资产；另一种是速动资产。如上面讲到的证券等金融资产。显而易见，速动资产比</w:t>
      </w:r>
      <w:r>
        <w:rPr>
          <w:rFonts w:ascii="SimSun" w:eastAsia="SimSun" w:hAnsi="SimSun" w:cs="SimSun"/>
          <w:spacing w:val="1"/>
          <w:sz w:val="49"/>
          <w:szCs w:val="49"/>
        </w:rPr>
        <w:t xml:space="preserve"> </w:t>
      </w:r>
      <w:r>
        <w:rPr>
          <w:rFonts w:ascii="SimSun" w:eastAsia="SimSun" w:hAnsi="SimSun" w:cs="SimSun"/>
          <w:spacing w:val="-2"/>
          <w:sz w:val="49"/>
          <w:szCs w:val="49"/>
        </w:rPr>
        <w:t>存货更容易兑现，它的比重越大，资产流动性就越大。所以，拿速动资产与短期需</w:t>
      </w:r>
      <w:r>
        <w:rPr>
          <w:rFonts w:ascii="SimSun" w:eastAsia="SimSun" w:hAnsi="SimSun" w:cs="SimSun"/>
          <w:spacing w:val="1"/>
          <w:sz w:val="49"/>
          <w:szCs w:val="49"/>
        </w:rPr>
        <w:t xml:space="preserve"> </w:t>
      </w:r>
      <w:r>
        <w:rPr>
          <w:rFonts w:ascii="SimSun" w:eastAsia="SimSun" w:hAnsi="SimSun" w:cs="SimSun"/>
          <w:spacing w:val="-2"/>
          <w:sz w:val="49"/>
          <w:szCs w:val="49"/>
        </w:rPr>
        <w:t>偿还的债务额相比，就是速动比率。速动比率代表企业以速动资产偿还流动负债的</w:t>
      </w:r>
      <w:r>
        <w:rPr>
          <w:rFonts w:ascii="SimSun" w:eastAsia="SimSun" w:hAnsi="SimSun" w:cs="SimSun"/>
          <w:spacing w:val="9"/>
          <w:sz w:val="49"/>
          <w:szCs w:val="49"/>
        </w:rPr>
        <w:t xml:space="preserve"> </w:t>
      </w:r>
      <w:r>
        <w:rPr>
          <w:rFonts w:ascii="SimSun" w:eastAsia="SimSun" w:hAnsi="SimSun" w:cs="SimSun"/>
          <w:spacing w:val="11"/>
          <w:sz w:val="49"/>
          <w:szCs w:val="49"/>
        </w:rPr>
        <w:t>综合能力。速动比率通常以(流动资产-存货)/流动负债表示，速动资产是指从流</w:t>
      </w:r>
      <w:r>
        <w:rPr>
          <w:rFonts w:ascii="SimSun" w:eastAsia="SimSun" w:hAnsi="SimSun" w:cs="SimSun"/>
          <w:spacing w:val="3"/>
          <w:sz w:val="49"/>
          <w:szCs w:val="49"/>
        </w:rPr>
        <w:t xml:space="preserve"> </w:t>
      </w:r>
      <w:r>
        <w:rPr>
          <w:rFonts w:ascii="SimSun" w:eastAsia="SimSun" w:hAnsi="SimSun" w:cs="SimSun"/>
          <w:spacing w:val="-2"/>
          <w:sz w:val="49"/>
          <w:szCs w:val="49"/>
        </w:rPr>
        <w:t>动资产中扣除变现速度最慢的存货等资产后，可以直接用于偿</w:t>
      </w:r>
      <w:r>
        <w:rPr>
          <w:rFonts w:ascii="SimSun" w:eastAsia="SimSun" w:hAnsi="SimSun" w:cs="SimSun"/>
          <w:spacing w:val="-3"/>
          <w:sz w:val="49"/>
          <w:szCs w:val="49"/>
        </w:rPr>
        <w:t>还流动负债的那部分</w:t>
      </w:r>
      <w:r>
        <w:rPr>
          <w:rFonts w:ascii="SimSun" w:eastAsia="SimSun" w:hAnsi="SimSun" w:cs="SimSun"/>
          <w:sz w:val="49"/>
          <w:szCs w:val="49"/>
        </w:rPr>
        <w:t xml:space="preserve"> </w:t>
      </w:r>
      <w:r>
        <w:rPr>
          <w:rFonts w:ascii="SimSun" w:eastAsia="SimSun" w:hAnsi="SimSun" w:cs="SimSun"/>
          <w:spacing w:val="12"/>
          <w:sz w:val="49"/>
          <w:szCs w:val="49"/>
        </w:rPr>
        <w:t>流动资产。但也有观点认为，应以(流动资产-</w:t>
      </w:r>
      <w:r>
        <w:rPr>
          <w:rFonts w:ascii="SimSun" w:eastAsia="SimSun" w:hAnsi="SimSun" w:cs="SimSun"/>
          <w:spacing w:val="11"/>
          <w:sz w:val="49"/>
          <w:szCs w:val="49"/>
        </w:rPr>
        <w:t>待摊费用-存货-预付账款)/流动负</w:t>
      </w:r>
      <w:r>
        <w:rPr>
          <w:rFonts w:ascii="SimSun" w:eastAsia="SimSun" w:hAnsi="SimSun" w:cs="SimSun"/>
          <w:sz w:val="49"/>
          <w:szCs w:val="49"/>
        </w:rPr>
        <w:t xml:space="preserve"> </w:t>
      </w:r>
      <w:r>
        <w:rPr>
          <w:rFonts w:ascii="SimSun" w:eastAsia="SimSun" w:hAnsi="SimSun" w:cs="SimSun"/>
          <w:spacing w:val="-2"/>
          <w:sz w:val="49"/>
          <w:szCs w:val="49"/>
        </w:rPr>
        <w:t>债表示。这种观点比较稳健。由于流动资产中，存货变现能力较差；待摊费用是已</w:t>
      </w:r>
      <w:r>
        <w:rPr>
          <w:rFonts w:ascii="SimSun" w:eastAsia="SimSun" w:hAnsi="SimSun" w:cs="SimSun"/>
          <w:spacing w:val="3"/>
          <w:sz w:val="49"/>
          <w:szCs w:val="49"/>
        </w:rPr>
        <w:t xml:space="preserve"> </w:t>
      </w:r>
      <w:r>
        <w:rPr>
          <w:rFonts w:ascii="SimSun" w:eastAsia="SimSun" w:hAnsi="SimSun" w:cs="SimSun"/>
          <w:spacing w:val="-2"/>
          <w:sz w:val="49"/>
          <w:szCs w:val="49"/>
        </w:rPr>
        <w:t>经发生的支出，应由本期和以后各期分担的分摊期限在一年以内的</w:t>
      </w:r>
      <w:r>
        <w:rPr>
          <w:rFonts w:ascii="SimSun" w:eastAsia="SimSun" w:hAnsi="SimSun" w:cs="SimSun"/>
          <w:spacing w:val="-3"/>
          <w:sz w:val="49"/>
          <w:szCs w:val="49"/>
        </w:rPr>
        <w:t>各项费用，根本</w:t>
      </w:r>
      <w:r>
        <w:rPr>
          <w:rFonts w:ascii="SimSun" w:eastAsia="SimSun" w:hAnsi="SimSun" w:cs="SimSun"/>
          <w:sz w:val="49"/>
          <w:szCs w:val="49"/>
        </w:rPr>
        <w:t xml:space="preserve"> </w:t>
      </w:r>
      <w:r>
        <w:rPr>
          <w:rFonts w:ascii="SimSun" w:eastAsia="SimSun" w:hAnsi="SimSun" w:cs="SimSun"/>
          <w:spacing w:val="-11"/>
          <w:sz w:val="49"/>
          <w:szCs w:val="49"/>
        </w:rPr>
        <w:t>没有变现能力；而预付账款意义与存货等同，因此，这三项不包括在速动资产之内。</w:t>
      </w:r>
    </w:p>
    <w:p>
      <w:pPr>
        <w:spacing w:line="221" w:lineRule="auto"/>
        <w:rPr>
          <w:rFonts w:ascii="SimSun" w:eastAsia="SimSun" w:hAnsi="SimSun" w:cs="SimSun"/>
          <w:sz w:val="49"/>
          <w:szCs w:val="49"/>
        </w:rPr>
      </w:pPr>
      <w:r>
        <w:rPr>
          <w:rFonts w:ascii="SimSun" w:eastAsia="SimSun" w:hAnsi="SimSun" w:cs="SimSun"/>
          <w:spacing w:val="-12"/>
          <w:sz w:val="49"/>
          <w:szCs w:val="49"/>
        </w:rPr>
        <w:t>由此可见，速动比率比流动比率更能表现一个企业的</w:t>
      </w:r>
      <w:r>
        <w:rPr>
          <w:rFonts w:ascii="SimSun" w:eastAsia="SimSun" w:hAnsi="SimSun" w:cs="SimSun"/>
          <w:spacing w:val="-13"/>
          <w:sz w:val="49"/>
          <w:szCs w:val="49"/>
        </w:rPr>
        <w:t>短期偿债能力。</w:t>
      </w:r>
      <w:r>
        <w:rPr>
          <w:rFonts w:ascii="SimSun" w:eastAsia="SimSun" w:hAnsi="SimSun" w:cs="SimSun"/>
          <w:spacing w:val="99"/>
          <w:sz w:val="49"/>
          <w:szCs w:val="49"/>
        </w:rPr>
        <w:t xml:space="preserve"> </w:t>
      </w:r>
      <w:r>
        <w:rPr>
          <w:rFonts w:ascii="SimSun" w:eastAsia="SimSun" w:hAnsi="SimSun" w:cs="SimSun"/>
          <w:spacing w:val="-13"/>
          <w:sz w:val="49"/>
          <w:szCs w:val="49"/>
        </w:rPr>
        <w:t>一般情况下，</w:t>
      </w:r>
    </w:p>
    <w:p>
      <w:pPr>
        <w:spacing w:line="347" w:lineRule="auto"/>
        <w:rPr>
          <w:rFonts w:ascii="Arial"/>
          <w:sz w:val="21"/>
        </w:rPr>
      </w:pPr>
    </w:p>
    <w:p>
      <w:pPr>
        <w:spacing w:before="160" w:line="353" w:lineRule="auto"/>
        <w:ind w:right="172"/>
        <w:jc w:val="both"/>
        <w:rPr>
          <w:rFonts w:ascii="SimSun" w:eastAsia="SimSun" w:hAnsi="SimSun" w:cs="SimSun"/>
          <w:sz w:val="49"/>
          <w:szCs w:val="49"/>
        </w:rPr>
      </w:pPr>
      <w:r>
        <w:rPr>
          <w:rFonts w:ascii="SimSun" w:eastAsia="SimSun" w:hAnsi="SimSun" w:cs="SimSun"/>
          <w:spacing w:val="14"/>
          <w:sz w:val="49"/>
          <w:szCs w:val="49"/>
        </w:rPr>
        <w:t>把两者确定为1:1是比较讲得通的。因为一份债务有一份速动资产</w:t>
      </w:r>
      <w:r>
        <w:rPr>
          <w:rFonts w:ascii="SimSun" w:eastAsia="SimSun" w:hAnsi="SimSun" w:cs="SimSun"/>
          <w:spacing w:val="13"/>
          <w:sz w:val="49"/>
          <w:szCs w:val="49"/>
        </w:rPr>
        <w:t>来做保证，就</w:t>
      </w:r>
      <w:r>
        <w:rPr>
          <w:rFonts w:ascii="SimSun" w:eastAsia="SimSun" w:hAnsi="SimSun" w:cs="SimSun"/>
          <w:sz w:val="49"/>
          <w:szCs w:val="49"/>
        </w:rPr>
        <w:t xml:space="preserve"> </w:t>
      </w:r>
      <w:r>
        <w:rPr>
          <w:rFonts w:ascii="SimSun" w:eastAsia="SimSun" w:hAnsi="SimSun" w:cs="SimSun"/>
          <w:spacing w:val="-2"/>
          <w:sz w:val="49"/>
          <w:szCs w:val="49"/>
        </w:rPr>
        <w:t>不会发生问题。而且合适的速动比率可以保障公司在偿还债务的同时不会影响生产</w:t>
      </w:r>
    </w:p>
    <w:p>
      <w:pPr>
        <w:spacing w:before="2" w:line="221" w:lineRule="auto"/>
        <w:rPr>
          <w:rFonts w:ascii="SimSun" w:eastAsia="SimSun" w:hAnsi="SimSun" w:cs="SimSun"/>
          <w:sz w:val="49"/>
          <w:szCs w:val="49"/>
        </w:rPr>
      </w:pPr>
      <w:r>
        <w:rPr>
          <w:rFonts w:ascii="SimSun" w:eastAsia="SimSun" w:hAnsi="SimSun" w:cs="SimSun"/>
          <w:sz w:val="49"/>
          <w:szCs w:val="49"/>
        </w:rPr>
        <w:t>经营。</w:t>
      </w:r>
    </w:p>
    <w:p>
      <w:pPr>
        <w:spacing w:line="221" w:lineRule="auto"/>
        <w:rPr>
          <w:rFonts w:ascii="SimSun" w:eastAsia="SimSun" w:hAnsi="SimSun" w:cs="SimSun"/>
          <w:sz w:val="49"/>
          <w:szCs w:val="49"/>
        </w:rPr>
        <w:sectPr>
          <w:pgSz w:w="22849" w:h="31680"/>
          <w:pgMar w:top="2692" w:right="2234" w:bottom="0" w:left="2870" w:header="0" w:footer="0" w:gutter="0"/>
          <w:pgNumType w:start="6"/>
          <w:cols w:space="708"/>
        </w:sectPr>
      </w:pPr>
    </w:p>
    <w:p>
      <w:pPr>
        <w:spacing w:line="309" w:lineRule="auto"/>
        <w:rPr>
          <w:rFonts w:ascii="Arial"/>
          <w:sz w:val="21"/>
        </w:rPr>
      </w:pPr>
      <w:r>
        <w:drawing>
          <wp:anchor distT="0" distB="0" distL="0" distR="0" simplePos="0" relativeHeight="251658240" behindDoc="0" locked="0" layoutInCell="0" allowOverlap="1">
            <wp:simplePos x="0" y="0"/>
            <wp:positionH relativeFrom="page">
              <wp:posOffset>1671240</wp:posOffset>
            </wp:positionH>
            <wp:positionV relativeFrom="page">
              <wp:posOffset>17643640</wp:posOffset>
            </wp:positionV>
            <wp:extent cx="11098748" cy="11064"/>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6"/>
                    <a:stretch>
                      <a:fillRect/>
                    </a:stretch>
                  </pic:blipFill>
                  <pic:spPr>
                    <a:xfrm>
                      <a:off x="0" y="0"/>
                      <a:ext cx="11098748" cy="11064"/>
                    </a:xfrm>
                    <a:prstGeom prst="rect">
                      <a:avLst/>
                    </a:prstGeom>
                  </pic:spPr>
                </pic:pic>
              </a:graphicData>
            </a:graphic>
          </wp:anchor>
        </w:drawing>
      </w:r>
    </w:p>
    <w:p>
      <w:pPr>
        <w:spacing w:before="150" w:line="385" w:lineRule="auto"/>
        <w:ind w:left="326" w:right="277" w:firstLine="1307"/>
        <w:jc w:val="both"/>
        <w:rPr>
          <w:rFonts w:ascii="SimSun" w:eastAsia="SimSun" w:hAnsi="SimSun" w:cs="SimSun"/>
          <w:sz w:val="46"/>
          <w:szCs w:val="46"/>
        </w:rPr>
      </w:pPr>
      <w:r>
        <w:rPr>
          <w:rFonts w:ascii="SimSun" w:eastAsia="SimSun" w:hAnsi="SimSun" w:cs="SimSun"/>
          <w:spacing w:val="38"/>
          <w:sz w:val="46"/>
          <w:szCs w:val="46"/>
        </w:rPr>
        <w:t>由表1可以看到，2008年的速动比率0.54,2009年的速动比率</w:t>
      </w:r>
      <w:r>
        <w:rPr>
          <w:rFonts w:ascii="SimSun" w:eastAsia="SimSun" w:hAnsi="SimSun" w:cs="SimSun"/>
          <w:spacing w:val="37"/>
          <w:sz w:val="46"/>
          <w:szCs w:val="46"/>
        </w:rPr>
        <w:t>为0.42,2010</w:t>
      </w:r>
      <w:r>
        <w:rPr>
          <w:rFonts w:ascii="SimSun" w:eastAsia="SimSun" w:hAnsi="SimSun" w:cs="SimSun"/>
          <w:sz w:val="46"/>
          <w:szCs w:val="46"/>
        </w:rPr>
        <w:t xml:space="preserve"> </w:t>
      </w:r>
      <w:r>
        <w:rPr>
          <w:rFonts w:ascii="SimSun" w:eastAsia="SimSun" w:hAnsi="SimSun" w:cs="SimSun"/>
          <w:spacing w:val="40"/>
          <w:sz w:val="46"/>
          <w:szCs w:val="46"/>
        </w:rPr>
        <w:t>年的速动比率为0.37,可见三年比率都比较低，并且逐年下降，尤其是2010竟达</w:t>
      </w:r>
    </w:p>
    <w:p>
      <w:pPr>
        <w:spacing w:before="1" w:line="219" w:lineRule="auto"/>
        <w:ind w:left="326"/>
        <w:rPr>
          <w:rFonts w:ascii="SimSun" w:eastAsia="SimSun" w:hAnsi="SimSun" w:cs="SimSun"/>
          <w:sz w:val="46"/>
          <w:szCs w:val="46"/>
        </w:rPr>
      </w:pPr>
      <w:r>
        <w:rPr>
          <w:rFonts w:ascii="SimSun" w:eastAsia="SimSun" w:hAnsi="SimSun" w:cs="SimSun"/>
          <w:spacing w:val="35"/>
          <w:sz w:val="46"/>
          <w:szCs w:val="46"/>
        </w:rPr>
        <w:t>到0.37,从速动比率来看企业短期偿债能力之间下降风险增强。</w:t>
      </w:r>
    </w:p>
    <w:p>
      <w:pPr>
        <w:spacing w:line="261" w:lineRule="auto"/>
        <w:rPr>
          <w:rFonts w:ascii="Arial"/>
          <w:sz w:val="21"/>
        </w:rPr>
      </w:pPr>
    </w:p>
    <w:p>
      <w:pPr>
        <w:spacing w:before="149" w:line="223" w:lineRule="auto"/>
        <w:ind w:left="326"/>
        <w:rPr>
          <w:rFonts w:ascii="SimSun" w:eastAsia="SimSun" w:hAnsi="SimSun" w:cs="SimSun"/>
          <w:sz w:val="46"/>
          <w:szCs w:val="46"/>
        </w:rPr>
      </w:pPr>
      <w:hyperlink r:id="rId7" w:history="1">
        <w:r>
          <w:rPr>
            <w:rFonts w:ascii="SimSun" w:eastAsia="SimSun" w:hAnsi="SimSun" w:cs="SimSun"/>
            <w:spacing w:val="11"/>
            <w:sz w:val="46"/>
            <w:szCs w:val="46"/>
          </w:rPr>
          <w:t>3.1.1.3</w:t>
        </w:r>
      </w:hyperlink>
      <w:r>
        <w:rPr>
          <w:rFonts w:ascii="SimSun" w:eastAsia="SimSun" w:hAnsi="SimSun" w:cs="SimSun"/>
          <w:spacing w:val="114"/>
          <w:sz w:val="46"/>
          <w:szCs w:val="46"/>
        </w:rPr>
        <w:t xml:space="preserve"> </w:t>
      </w:r>
      <w:r>
        <w:rPr>
          <w:rFonts w:ascii="SimSun" w:eastAsia="SimSun" w:hAnsi="SimSun" w:cs="SimSun"/>
          <w:spacing w:val="11"/>
          <w:sz w:val="46"/>
          <w:szCs w:val="46"/>
        </w:rPr>
        <w:t>现金比率</w:t>
      </w:r>
    </w:p>
    <w:p>
      <w:pPr>
        <w:spacing w:line="262" w:lineRule="auto"/>
        <w:rPr>
          <w:rFonts w:ascii="Arial"/>
          <w:sz w:val="21"/>
        </w:rPr>
      </w:pPr>
    </w:p>
    <w:p>
      <w:pPr>
        <w:spacing w:before="149" w:line="957" w:lineRule="exact"/>
        <w:ind w:left="1333"/>
        <w:rPr>
          <w:rFonts w:ascii="SimSun" w:eastAsia="SimSun" w:hAnsi="SimSun" w:cs="SimSun"/>
          <w:sz w:val="46"/>
          <w:szCs w:val="46"/>
        </w:rPr>
      </w:pPr>
      <w:r>
        <w:rPr>
          <w:rFonts w:ascii="SimSun" w:eastAsia="SimSun" w:hAnsi="SimSun" w:cs="SimSun"/>
          <w:spacing w:val="27"/>
          <w:position w:val="37"/>
          <w:sz w:val="46"/>
          <w:szCs w:val="46"/>
        </w:rPr>
        <w:t>现金比率通过计算公司现金以及现金等价资</w:t>
      </w:r>
      <w:r>
        <w:rPr>
          <w:rFonts w:ascii="SimSun" w:eastAsia="SimSun" w:hAnsi="SimSun" w:cs="SimSun"/>
          <w:spacing w:val="26"/>
          <w:position w:val="37"/>
          <w:sz w:val="46"/>
          <w:szCs w:val="46"/>
        </w:rPr>
        <w:t>产总量与当前流动负债的比率，来</w:t>
      </w:r>
    </w:p>
    <w:p>
      <w:pPr>
        <w:spacing w:before="2" w:line="222" w:lineRule="auto"/>
        <w:ind w:left="326"/>
        <w:rPr>
          <w:rFonts w:ascii="SimSun" w:eastAsia="SimSun" w:hAnsi="SimSun" w:cs="SimSun"/>
          <w:sz w:val="46"/>
          <w:szCs w:val="46"/>
        </w:rPr>
      </w:pPr>
      <w:r>
        <w:rPr>
          <w:rFonts w:ascii="SimSun" w:eastAsia="SimSun" w:hAnsi="SimSun" w:cs="SimSun"/>
          <w:spacing w:val="23"/>
          <w:sz w:val="46"/>
          <w:szCs w:val="46"/>
        </w:rPr>
        <w:t>衡量公司资产的流动性。</w:t>
      </w:r>
    </w:p>
    <w:p>
      <w:pPr>
        <w:spacing w:before="388" w:line="222" w:lineRule="auto"/>
        <w:ind w:left="1333"/>
        <w:rPr>
          <w:rFonts w:ascii="SimSun" w:eastAsia="SimSun" w:hAnsi="SimSun" w:cs="SimSun"/>
          <w:sz w:val="46"/>
          <w:szCs w:val="46"/>
        </w:rPr>
      </w:pPr>
      <w:r>
        <w:rPr>
          <w:rFonts w:ascii="SimSun" w:eastAsia="SimSun" w:hAnsi="SimSun" w:cs="SimSun"/>
          <w:spacing w:val="43"/>
          <w:sz w:val="46"/>
          <w:szCs w:val="46"/>
        </w:rPr>
        <w:t>计算公式：现金比率=(货币资金+交易性金融资产)/流动负债</w:t>
      </w:r>
    </w:p>
    <w:p>
      <w:pPr>
        <w:spacing w:line="286" w:lineRule="auto"/>
        <w:rPr>
          <w:rFonts w:ascii="Arial"/>
          <w:sz w:val="21"/>
        </w:rPr>
      </w:pPr>
    </w:p>
    <w:p>
      <w:pPr>
        <w:spacing w:before="150" w:line="892" w:lineRule="exact"/>
        <w:ind w:left="1333"/>
        <w:rPr>
          <w:rFonts w:ascii="SimSun" w:eastAsia="SimSun" w:hAnsi="SimSun" w:cs="SimSun"/>
          <w:sz w:val="46"/>
          <w:szCs w:val="46"/>
        </w:rPr>
      </w:pPr>
      <w:r>
        <w:rPr>
          <w:rFonts w:ascii="SimSun" w:eastAsia="SimSun" w:hAnsi="SimSun" w:cs="SimSun"/>
          <w:spacing w:val="26"/>
          <w:position w:val="31"/>
          <w:sz w:val="46"/>
          <w:szCs w:val="46"/>
        </w:rPr>
        <w:t>现金比率只量度所有资产中相对于当前负债最具流动性的项目，因此它也是三</w:t>
      </w:r>
    </w:p>
    <w:p>
      <w:pPr>
        <w:pStyle w:val="BodyText"/>
        <w:spacing w:before="2" w:line="215" w:lineRule="auto"/>
        <w:ind w:left="326"/>
        <w:rPr>
          <w:sz w:val="46"/>
          <w:szCs w:val="46"/>
        </w:rPr>
      </w:pPr>
      <w:r>
        <w:rPr>
          <w:rFonts w:ascii="SimSun" w:eastAsia="SimSun" w:hAnsi="SimSun" w:cs="SimSun"/>
          <w:spacing w:val="31"/>
          <w:sz w:val="46"/>
          <w:szCs w:val="46"/>
        </w:rPr>
        <w:t>个流动性比率中最保守的一个。现金比率也被称之为流动资产比率</w:t>
      </w:r>
      <w:r>
        <w:rPr>
          <w:rFonts w:ascii="SimSun" w:eastAsia="SimSun" w:hAnsi="SimSun" w:cs="SimSun"/>
          <w:spacing w:val="-41"/>
          <w:sz w:val="46"/>
          <w:szCs w:val="46"/>
        </w:rPr>
        <w:t xml:space="preserve"> </w:t>
      </w:r>
      <w:r>
        <w:rPr>
          <w:spacing w:val="31"/>
          <w:sz w:val="46"/>
          <w:szCs w:val="46"/>
        </w:rPr>
        <w:t>(</w:t>
      </w:r>
      <w:r>
        <w:rPr>
          <w:sz w:val="46"/>
          <w:szCs w:val="46"/>
        </w:rPr>
        <w:t>Liquidity</w:t>
      </w:r>
    </w:p>
    <w:p>
      <w:pPr>
        <w:spacing w:line="255" w:lineRule="auto"/>
        <w:rPr>
          <w:rFonts w:ascii="Arial"/>
          <w:sz w:val="21"/>
        </w:rPr>
      </w:pPr>
    </w:p>
    <w:p>
      <w:pPr>
        <w:pStyle w:val="BodyText"/>
        <w:spacing w:before="149" w:line="390" w:lineRule="auto"/>
        <w:ind w:left="326" w:right="62"/>
        <w:rPr>
          <w:rFonts w:ascii="SimSun" w:eastAsia="SimSun" w:hAnsi="SimSun" w:cs="SimSun"/>
          <w:sz w:val="46"/>
          <w:szCs w:val="46"/>
        </w:rPr>
      </w:pPr>
      <w:r>
        <w:rPr>
          <w:sz w:val="46"/>
          <w:szCs w:val="46"/>
        </w:rPr>
        <w:t>Ratio</w:t>
      </w:r>
      <w:r>
        <w:rPr>
          <w:spacing w:val="19"/>
          <w:sz w:val="46"/>
          <w:szCs w:val="46"/>
        </w:rPr>
        <w:t xml:space="preserve">)    </w:t>
      </w:r>
      <w:r>
        <w:rPr>
          <w:rFonts w:ascii="SimSun" w:eastAsia="SimSun" w:hAnsi="SimSun" w:cs="SimSun"/>
          <w:spacing w:val="19"/>
          <w:sz w:val="46"/>
          <w:szCs w:val="46"/>
        </w:rPr>
        <w:t xml:space="preserve">或现金资产比率 </w:t>
      </w:r>
      <w:r>
        <w:rPr>
          <w:spacing w:val="19"/>
          <w:sz w:val="46"/>
          <w:szCs w:val="46"/>
        </w:rPr>
        <w:t>(</w:t>
      </w:r>
      <w:r>
        <w:rPr>
          <w:sz w:val="46"/>
          <w:szCs w:val="46"/>
        </w:rPr>
        <w:t>Cash</w:t>
      </w:r>
      <w:r>
        <w:rPr>
          <w:spacing w:val="19"/>
          <w:sz w:val="46"/>
          <w:szCs w:val="46"/>
        </w:rPr>
        <w:t xml:space="preserve">      </w:t>
      </w:r>
      <w:r>
        <w:rPr>
          <w:sz w:val="46"/>
          <w:szCs w:val="46"/>
        </w:rPr>
        <w:t>Asset</w:t>
      </w:r>
      <w:r>
        <w:rPr>
          <w:spacing w:val="19"/>
          <w:sz w:val="46"/>
          <w:szCs w:val="46"/>
        </w:rPr>
        <w:t xml:space="preserve">      </w:t>
      </w:r>
      <w:r>
        <w:rPr>
          <w:sz w:val="46"/>
          <w:szCs w:val="46"/>
        </w:rPr>
        <w:t>Ratio</w:t>
      </w:r>
      <w:r>
        <w:rPr>
          <w:spacing w:val="19"/>
          <w:sz w:val="46"/>
          <w:szCs w:val="46"/>
        </w:rPr>
        <w:t>)</w:t>
      </w:r>
      <w:r>
        <w:rPr>
          <w:rFonts w:ascii="SimSun" w:eastAsia="SimSun" w:hAnsi="SimSun" w:cs="SimSun"/>
          <w:spacing w:val="19"/>
          <w:sz w:val="46"/>
          <w:szCs w:val="46"/>
        </w:rPr>
        <w:t>。这个公式反映出公司在不依靠存</w:t>
      </w:r>
      <w:r>
        <w:rPr>
          <w:rFonts w:ascii="SimSun" w:eastAsia="SimSun" w:hAnsi="SimSun" w:cs="SimSun"/>
          <w:spacing w:val="4"/>
          <w:sz w:val="46"/>
          <w:szCs w:val="46"/>
        </w:rPr>
        <w:t xml:space="preserve">  </w:t>
      </w:r>
      <w:r>
        <w:rPr>
          <w:rFonts w:ascii="SimSun" w:eastAsia="SimSun" w:hAnsi="SimSun" w:cs="SimSun"/>
          <w:spacing w:val="17"/>
          <w:sz w:val="46"/>
          <w:szCs w:val="46"/>
        </w:rPr>
        <w:t>货销售及应收款的情况下，  支付当前债务的能力。另外</w:t>
      </w:r>
      <w:r>
        <w:rPr>
          <w:rFonts w:ascii="SimSun" w:eastAsia="SimSun" w:hAnsi="SimSun" w:cs="SimSun"/>
          <w:spacing w:val="16"/>
          <w:sz w:val="46"/>
          <w:szCs w:val="46"/>
        </w:rPr>
        <w:t>，运用此公式时需要注意，</w:t>
      </w:r>
    </w:p>
    <w:p>
      <w:pPr>
        <w:spacing w:before="3" w:line="221" w:lineRule="auto"/>
        <w:ind w:left="326"/>
        <w:rPr>
          <w:rFonts w:ascii="SimSun" w:eastAsia="SimSun" w:hAnsi="SimSun" w:cs="SimSun"/>
          <w:sz w:val="46"/>
          <w:szCs w:val="46"/>
        </w:rPr>
      </w:pPr>
      <w:r>
        <w:rPr>
          <w:rFonts w:ascii="SimSun" w:eastAsia="SimSun" w:hAnsi="SimSun" w:cs="SimSun"/>
          <w:spacing w:val="24"/>
          <w:sz w:val="46"/>
          <w:szCs w:val="46"/>
        </w:rPr>
        <w:t>现金比率不考虑现金收到以及现金支付的时间。</w:t>
      </w:r>
    </w:p>
    <w:p>
      <w:pPr>
        <w:spacing w:line="266" w:lineRule="auto"/>
        <w:rPr>
          <w:rFonts w:ascii="Arial"/>
          <w:sz w:val="21"/>
        </w:rPr>
      </w:pPr>
    </w:p>
    <w:p>
      <w:pPr>
        <w:spacing w:before="149" w:line="383" w:lineRule="auto"/>
        <w:ind w:left="326" w:right="62" w:firstLine="1006"/>
        <w:rPr>
          <w:rFonts w:ascii="SimSun" w:eastAsia="SimSun" w:hAnsi="SimSun" w:cs="SimSun"/>
          <w:sz w:val="46"/>
          <w:szCs w:val="46"/>
        </w:rPr>
      </w:pPr>
      <w:r>
        <w:rPr>
          <w:rFonts w:ascii="SimSun" w:eastAsia="SimSun" w:hAnsi="SimSun" w:cs="SimSun"/>
          <w:spacing w:val="27"/>
          <w:sz w:val="46"/>
          <w:szCs w:val="46"/>
        </w:rPr>
        <w:t>现金比率是速动资产扣除应收账款后的余额与流动负</w:t>
      </w:r>
      <w:r>
        <w:rPr>
          <w:rFonts w:ascii="SimSun" w:eastAsia="SimSun" w:hAnsi="SimSun" w:cs="SimSun"/>
          <w:spacing w:val="26"/>
          <w:sz w:val="46"/>
          <w:szCs w:val="46"/>
        </w:rPr>
        <w:t>债的比率。速动资产扣除</w:t>
      </w:r>
      <w:r>
        <w:rPr>
          <w:rFonts w:ascii="SimSun" w:eastAsia="SimSun" w:hAnsi="SimSun" w:cs="SimSun"/>
          <w:sz w:val="46"/>
          <w:szCs w:val="46"/>
        </w:rPr>
        <w:t xml:space="preserve"> </w:t>
      </w:r>
      <w:r>
        <w:rPr>
          <w:rFonts w:ascii="SimSun" w:eastAsia="SimSun" w:hAnsi="SimSun" w:cs="SimSun"/>
          <w:spacing w:val="29"/>
          <w:sz w:val="46"/>
          <w:szCs w:val="46"/>
        </w:rPr>
        <w:t>应收账款后计算出来的金额，最能反映企业直接偿付</w:t>
      </w:r>
      <w:r>
        <w:rPr>
          <w:rFonts w:ascii="SimSun" w:eastAsia="SimSun" w:hAnsi="SimSun" w:cs="SimSun"/>
          <w:spacing w:val="28"/>
          <w:sz w:val="46"/>
          <w:szCs w:val="46"/>
        </w:rPr>
        <w:t>流动负债的能力。现金比率一</w:t>
      </w:r>
      <w:r>
        <w:rPr>
          <w:rFonts w:ascii="SimSun" w:eastAsia="SimSun" w:hAnsi="SimSun" w:cs="SimSun"/>
          <w:sz w:val="46"/>
          <w:szCs w:val="46"/>
        </w:rPr>
        <w:t xml:space="preserve"> </w:t>
      </w:r>
      <w:r>
        <w:rPr>
          <w:rFonts w:ascii="SimSun" w:eastAsia="SimSun" w:hAnsi="SimSun" w:cs="SimSun"/>
          <w:spacing w:val="23"/>
          <w:sz w:val="46"/>
          <w:szCs w:val="46"/>
        </w:rPr>
        <w:t>般认为20%以上为好。但这一比率过高，就意味着企业流动负</w:t>
      </w:r>
      <w:r>
        <w:rPr>
          <w:rFonts w:ascii="SimSun" w:eastAsia="SimSun" w:hAnsi="SimSun" w:cs="SimSun"/>
          <w:spacing w:val="22"/>
          <w:sz w:val="46"/>
          <w:szCs w:val="46"/>
        </w:rPr>
        <w:t>债未能得到合理运用，</w:t>
      </w:r>
    </w:p>
    <w:p>
      <w:pPr>
        <w:spacing w:before="2" w:line="221" w:lineRule="auto"/>
        <w:ind w:left="326"/>
        <w:rPr>
          <w:rFonts w:ascii="SimSun" w:eastAsia="SimSun" w:hAnsi="SimSun" w:cs="SimSun"/>
          <w:sz w:val="46"/>
          <w:szCs w:val="46"/>
        </w:rPr>
      </w:pPr>
      <w:r>
        <w:rPr>
          <w:rFonts w:ascii="SimSun" w:eastAsia="SimSun" w:hAnsi="SimSun" w:cs="SimSun"/>
          <w:spacing w:val="26"/>
          <w:sz w:val="46"/>
          <w:szCs w:val="46"/>
        </w:rPr>
        <w:t>而现金类资产获利能力低，这类资产金额太高会导致企业机会成本增加。</w:t>
      </w:r>
    </w:p>
    <w:p>
      <w:pPr>
        <w:spacing w:line="297" w:lineRule="auto"/>
        <w:rPr>
          <w:rFonts w:ascii="Arial"/>
          <w:sz w:val="21"/>
        </w:rPr>
      </w:pPr>
    </w:p>
    <w:p>
      <w:pPr>
        <w:spacing w:before="150" w:line="379" w:lineRule="auto"/>
        <w:ind w:left="326" w:firstLine="1006"/>
        <w:rPr>
          <w:rFonts w:ascii="SimSun" w:eastAsia="SimSun" w:hAnsi="SimSun" w:cs="SimSun"/>
          <w:sz w:val="46"/>
          <w:szCs w:val="46"/>
        </w:rPr>
      </w:pPr>
      <w:r>
        <w:rPr>
          <w:rFonts w:ascii="SimSun" w:eastAsia="SimSun" w:hAnsi="SimSun" w:cs="SimSun"/>
          <w:spacing w:val="27"/>
          <w:sz w:val="46"/>
          <w:szCs w:val="46"/>
        </w:rPr>
        <w:t>现金比率是指流通中的现金与商业银行活期存款的比率。现金比率的高低与货</w:t>
      </w:r>
      <w:r>
        <w:rPr>
          <w:rFonts w:ascii="SimSun" w:eastAsia="SimSun" w:hAnsi="SimSun" w:cs="SimSun"/>
          <w:spacing w:val="2"/>
          <w:sz w:val="46"/>
          <w:szCs w:val="46"/>
        </w:rPr>
        <w:t xml:space="preserve"> </w:t>
      </w:r>
      <w:r>
        <w:rPr>
          <w:rFonts w:ascii="SimSun" w:eastAsia="SimSun" w:hAnsi="SimSun" w:cs="SimSun"/>
          <w:spacing w:val="26"/>
          <w:sz w:val="46"/>
          <w:szCs w:val="46"/>
        </w:rPr>
        <w:t>币需求的大小正相关。因此，凡影响货币需求的因素，都</w:t>
      </w:r>
      <w:r>
        <w:rPr>
          <w:rFonts w:ascii="SimSun" w:eastAsia="SimSun" w:hAnsi="SimSun" w:cs="SimSun"/>
          <w:spacing w:val="25"/>
          <w:sz w:val="46"/>
          <w:szCs w:val="46"/>
        </w:rPr>
        <w:t xml:space="preserve">可以影响现金比率。例如 </w:t>
      </w:r>
      <w:r>
        <w:rPr>
          <w:rFonts w:ascii="SimSun" w:eastAsia="SimSun" w:hAnsi="SimSun" w:cs="SimSun"/>
          <w:spacing w:val="27"/>
          <w:sz w:val="46"/>
          <w:szCs w:val="46"/>
        </w:rPr>
        <w:t>银行存款利息率下降，导致生息资产收益减少，人们就会减少在银行的存款而宁愿</w:t>
      </w:r>
      <w:r>
        <w:rPr>
          <w:rFonts w:ascii="SimSun" w:eastAsia="SimSun" w:hAnsi="SimSun" w:cs="SimSun"/>
          <w:spacing w:val="9"/>
          <w:sz w:val="46"/>
          <w:szCs w:val="46"/>
        </w:rPr>
        <w:t xml:space="preserve"> </w:t>
      </w:r>
      <w:r>
        <w:rPr>
          <w:rFonts w:ascii="SimSun" w:eastAsia="SimSun" w:hAnsi="SimSun" w:cs="SimSun"/>
          <w:spacing w:val="19"/>
          <w:sz w:val="46"/>
          <w:szCs w:val="46"/>
        </w:rPr>
        <w:t>多持有现金，这样就加大了现金比率。现金比率与货币乘数负相关，</w:t>
      </w:r>
      <w:r>
        <w:rPr>
          <w:rFonts w:ascii="SimSun" w:eastAsia="SimSun" w:hAnsi="SimSun" w:cs="SimSun"/>
          <w:spacing w:val="18"/>
          <w:sz w:val="46"/>
          <w:szCs w:val="46"/>
        </w:rPr>
        <w:t>现金比率越高，</w:t>
      </w:r>
      <w:r>
        <w:rPr>
          <w:rFonts w:ascii="SimSun" w:eastAsia="SimSun" w:hAnsi="SimSun" w:cs="SimSun"/>
          <w:sz w:val="46"/>
          <w:szCs w:val="46"/>
        </w:rPr>
        <w:t xml:space="preserve"> </w:t>
      </w:r>
      <w:r>
        <w:rPr>
          <w:rFonts w:ascii="SimSun" w:eastAsia="SimSun" w:hAnsi="SimSun" w:cs="SimSun"/>
          <w:spacing w:val="26"/>
          <w:sz w:val="46"/>
          <w:szCs w:val="46"/>
        </w:rPr>
        <w:t>说明现金退出存款货币的扩张过程而流入日常流通的量越多，因而直接减</w:t>
      </w:r>
      <w:r>
        <w:rPr>
          <w:rFonts w:ascii="SimSun" w:eastAsia="SimSun" w:hAnsi="SimSun" w:cs="SimSun"/>
          <w:spacing w:val="25"/>
          <w:sz w:val="46"/>
          <w:szCs w:val="46"/>
        </w:rPr>
        <w:t>少了银行</w:t>
      </w:r>
    </w:p>
    <w:p>
      <w:pPr>
        <w:spacing w:before="2" w:line="221" w:lineRule="auto"/>
        <w:ind w:left="326"/>
        <w:rPr>
          <w:rFonts w:ascii="SimSun" w:eastAsia="SimSun" w:hAnsi="SimSun" w:cs="SimSun"/>
          <w:sz w:val="46"/>
          <w:szCs w:val="46"/>
        </w:rPr>
      </w:pPr>
      <w:r>
        <w:rPr>
          <w:rFonts w:ascii="SimSun" w:eastAsia="SimSun" w:hAnsi="SimSun" w:cs="SimSun"/>
          <w:spacing w:val="24"/>
          <w:sz w:val="46"/>
          <w:szCs w:val="46"/>
        </w:rPr>
        <w:t>的可贷资金量，制约了存款派生能力，货币乘数就越小。</w:t>
      </w:r>
    </w:p>
    <w:p>
      <w:pPr>
        <w:spacing w:line="279" w:lineRule="auto"/>
        <w:rPr>
          <w:rFonts w:ascii="Arial"/>
          <w:sz w:val="21"/>
        </w:rPr>
      </w:pPr>
    </w:p>
    <w:p>
      <w:pPr>
        <w:spacing w:before="150" w:line="381" w:lineRule="auto"/>
        <w:ind w:left="326" w:right="249" w:firstLine="1006"/>
        <w:rPr>
          <w:rFonts w:ascii="SimSun" w:eastAsia="SimSun" w:hAnsi="SimSun" w:cs="SimSun"/>
          <w:sz w:val="46"/>
          <w:szCs w:val="46"/>
        </w:rPr>
        <w:sectPr>
          <w:footerReference w:type="default" r:id="rId8"/>
          <w:pgSz w:w="22849" w:h="31680"/>
          <w:pgMar w:top="2692" w:right="2212" w:bottom="2914" w:left="2587" w:header="0" w:footer="2896" w:gutter="0"/>
          <w:pgNumType w:start="7"/>
          <w:cols w:num="1" w:space="708" w:equalWidth="0">
            <w:col w:w="18049" w:space="0"/>
          </w:cols>
        </w:sectPr>
      </w:pPr>
      <w:r>
        <w:rPr>
          <w:rFonts w:ascii="SimSun" w:eastAsia="SimSun" w:hAnsi="SimSun" w:cs="SimSun"/>
          <w:spacing w:val="46"/>
          <w:sz w:val="46"/>
          <w:szCs w:val="46"/>
        </w:rPr>
        <w:t>由表1可以看到，2008年的现金比率0.17,2009年的现金比率0.17,2</w:t>
      </w:r>
      <w:r>
        <w:rPr>
          <w:rFonts w:ascii="SimSun" w:eastAsia="SimSun" w:hAnsi="SimSun" w:cs="SimSun"/>
          <w:spacing w:val="45"/>
          <w:sz w:val="46"/>
          <w:szCs w:val="46"/>
        </w:rPr>
        <w:t>010年</w:t>
      </w:r>
      <w:r>
        <w:rPr>
          <w:rFonts w:ascii="SimSun" w:eastAsia="SimSun" w:hAnsi="SimSun" w:cs="SimSun"/>
          <w:sz w:val="46"/>
          <w:szCs w:val="46"/>
        </w:rPr>
        <w:t xml:space="preserve"> </w:t>
      </w:r>
      <w:r>
        <w:rPr>
          <w:rFonts w:ascii="SimSun" w:eastAsia="SimSun" w:hAnsi="SimSun" w:cs="SimSun"/>
          <w:spacing w:val="46"/>
          <w:sz w:val="46"/>
          <w:szCs w:val="46"/>
        </w:rPr>
        <w:t>的现金比率为0.09,前两年现金比率略低于0.2,偿债能力基本可以，但是2010</w:t>
      </w:r>
    </w:p>
    <w:p>
      <w:pPr>
        <w:spacing w:before="2" w:line="219" w:lineRule="auto"/>
        <w:ind w:left="326"/>
        <w:rPr>
          <w:rFonts w:ascii="SimSun" w:eastAsia="SimSun" w:hAnsi="SimSun" w:cs="SimSun"/>
          <w:sz w:val="46"/>
          <w:szCs w:val="46"/>
        </w:rPr>
      </w:pPr>
      <w:r>
        <w:rPr>
          <w:rFonts w:ascii="SimSun" w:eastAsia="SimSun" w:hAnsi="SimSun" w:cs="SimSun"/>
          <w:spacing w:val="35"/>
          <w:sz w:val="46"/>
          <w:szCs w:val="46"/>
        </w:rPr>
        <w:t>年现金比率竟达到0.09,可见偿债能力有所下降，风险加大。</w:t>
      </w:r>
    </w:p>
    <w:p>
      <w:pPr>
        <w:spacing w:line="281" w:lineRule="auto"/>
        <w:rPr>
          <w:rFonts w:ascii="Arial"/>
          <w:sz w:val="21"/>
        </w:rPr>
      </w:pPr>
    </w:p>
    <w:p>
      <w:pPr>
        <w:spacing w:before="150" w:line="223" w:lineRule="auto"/>
        <w:ind w:left="1340"/>
        <w:rPr>
          <w:rFonts w:ascii="SimSun" w:eastAsia="SimSun" w:hAnsi="SimSun" w:cs="SimSun"/>
          <w:sz w:val="46"/>
          <w:szCs w:val="46"/>
        </w:rPr>
      </w:pPr>
      <w:r>
        <w:rPr>
          <w:rFonts w:ascii="SimSun" w:eastAsia="SimSun" w:hAnsi="SimSun" w:cs="SimSun"/>
          <w:b/>
          <w:bCs/>
          <w:spacing w:val="39"/>
          <w:sz w:val="46"/>
          <w:szCs w:val="46"/>
        </w:rPr>
        <w:t>表</w:t>
      </w:r>
      <w:r>
        <w:rPr>
          <w:rFonts w:ascii="SimSun" w:eastAsia="SimSun" w:hAnsi="SimSun" w:cs="SimSun"/>
          <w:spacing w:val="39"/>
          <w:sz w:val="46"/>
          <w:szCs w:val="46"/>
        </w:rPr>
        <w:t xml:space="preserve"> </w:t>
      </w:r>
      <w:r>
        <w:rPr>
          <w:rFonts w:ascii="SimSun" w:eastAsia="SimSun" w:hAnsi="SimSun" w:cs="SimSun"/>
          <w:b/>
          <w:bCs/>
          <w:spacing w:val="39"/>
          <w:sz w:val="46"/>
          <w:szCs w:val="46"/>
        </w:rPr>
        <w:t>1</w:t>
      </w:r>
      <w:r>
        <w:rPr>
          <w:rFonts w:ascii="SimSun" w:eastAsia="SimSun" w:hAnsi="SimSun" w:cs="SimSun"/>
          <w:spacing w:val="39"/>
          <w:sz w:val="46"/>
          <w:szCs w:val="46"/>
        </w:rPr>
        <w:t xml:space="preserve">  </w:t>
      </w:r>
      <w:r>
        <w:rPr>
          <w:rFonts w:ascii="SimSun" w:eastAsia="SimSun" w:hAnsi="SimSun" w:cs="SimSun"/>
          <w:b/>
          <w:bCs/>
          <w:spacing w:val="39"/>
          <w:sz w:val="46"/>
          <w:szCs w:val="46"/>
        </w:rPr>
        <w:t>山东海化股份有限公司2007-2009</w:t>
      </w:r>
      <w:r>
        <w:rPr>
          <w:rFonts w:ascii="SimSun" w:eastAsia="SimSun" w:hAnsi="SimSun" w:cs="SimSun"/>
          <w:b/>
          <w:bCs/>
          <w:spacing w:val="38"/>
          <w:sz w:val="46"/>
          <w:szCs w:val="46"/>
        </w:rPr>
        <w:t>短期偿债能力指标</w:t>
      </w:r>
    </w:p>
    <w:p>
      <w:pPr>
        <w:spacing w:before="100"/>
      </w:pPr>
    </w:p>
    <w:p>
      <w:pPr>
        <w:sectPr>
          <w:footerReference w:type="default" r:id="rId9"/>
          <w:type w:val="nextPage"/>
          <w:pgSz w:w="22849" w:h="31680"/>
          <w:pgMar w:top="2692" w:right="2212" w:bottom="2914" w:left="2587" w:header="0" w:footer="2896" w:gutter="0"/>
          <w:pgNumType w:start="8"/>
          <w:cols w:num="1" w:space="708" w:equalWidth="0">
            <w:col w:w="18049" w:space="0"/>
          </w:cols>
          <w:titlePg w:val="0"/>
        </w:sectPr>
      </w:pPr>
    </w:p>
    <w:p>
      <w:pPr>
        <w:spacing w:before="85" w:line="186" w:lineRule="auto"/>
        <w:ind w:left="971"/>
        <w:rPr>
          <w:rFonts w:ascii="SimSun" w:eastAsia="SimSun" w:hAnsi="SimSun" w:cs="SimSun"/>
          <w:sz w:val="43"/>
          <w:szCs w:val="43"/>
        </w:rPr>
      </w:pPr>
      <w:r>
        <w:rPr>
          <w:rFonts w:ascii="SimSun" w:eastAsia="SimSun" w:hAnsi="SimSun" w:cs="SimSun"/>
          <w:spacing w:val="49"/>
          <w:sz w:val="43"/>
          <w:szCs w:val="43"/>
        </w:rPr>
        <w:t>报告期(年)</w:t>
      </w:r>
    </w:p>
    <w:p>
      <w:pPr>
        <w:spacing w:line="14" w:lineRule="auto"/>
        <w:rPr>
          <w:rFonts w:ascii="Arial"/>
          <w:sz w:val="2"/>
        </w:rPr>
      </w:pPr>
      <w:r>
        <w:rPr>
          <w:rFonts w:ascii="Arial" w:eastAsia="Arial" w:hAnsi="Arial" w:cs="Arial"/>
          <w:sz w:val="2"/>
          <w:szCs w:val="2"/>
        </w:rPr>
        <w:br w:type="column"/>
      </w:r>
    </w:p>
    <w:p>
      <w:pPr>
        <w:spacing w:before="234" w:line="174" w:lineRule="auto"/>
        <w:rPr>
          <w:rFonts w:ascii="SimSun" w:eastAsia="SimSun" w:hAnsi="SimSun" w:cs="SimSun"/>
          <w:sz w:val="30"/>
          <w:szCs w:val="30"/>
        </w:rPr>
      </w:pPr>
      <w:r>
        <w:rPr>
          <w:rFonts w:ascii="SimSun" w:eastAsia="SimSun" w:hAnsi="SimSun" w:cs="SimSun"/>
          <w:sz w:val="30"/>
          <w:szCs w:val="30"/>
        </w:rPr>
        <w:t>2008</w:t>
      </w:r>
    </w:p>
    <w:p>
      <w:pPr>
        <w:spacing w:line="14" w:lineRule="auto"/>
        <w:rPr>
          <w:rFonts w:ascii="Arial"/>
          <w:sz w:val="2"/>
        </w:rPr>
      </w:pPr>
      <w:r>
        <w:rPr>
          <w:rFonts w:ascii="Arial" w:eastAsia="Arial" w:hAnsi="Arial" w:cs="Arial"/>
          <w:sz w:val="2"/>
          <w:szCs w:val="2"/>
        </w:rPr>
        <w:br w:type="column"/>
      </w:r>
    </w:p>
    <w:p>
      <w:pPr>
        <w:spacing w:before="234" w:line="174" w:lineRule="auto"/>
        <w:rPr>
          <w:rFonts w:ascii="SimSun" w:eastAsia="SimSun" w:hAnsi="SimSun" w:cs="SimSun"/>
          <w:sz w:val="30"/>
          <w:szCs w:val="30"/>
        </w:rPr>
      </w:pPr>
      <w:r>
        <w:rPr>
          <w:rFonts w:ascii="SimSun" w:eastAsia="SimSun" w:hAnsi="SimSun" w:cs="SimSun"/>
          <w:sz w:val="30"/>
          <w:szCs w:val="30"/>
        </w:rPr>
        <w:t>2009</w:t>
      </w:r>
    </w:p>
    <w:p>
      <w:pPr>
        <w:spacing w:line="14" w:lineRule="auto"/>
        <w:rPr>
          <w:rFonts w:ascii="Arial"/>
          <w:sz w:val="2"/>
        </w:rPr>
      </w:pPr>
      <w:r>
        <w:rPr>
          <w:rFonts w:ascii="Arial" w:eastAsia="Arial" w:hAnsi="Arial" w:cs="Arial"/>
          <w:sz w:val="2"/>
          <w:szCs w:val="2"/>
        </w:rPr>
        <w:br w:type="column"/>
      </w:r>
    </w:p>
    <w:p>
      <w:pPr>
        <w:spacing w:before="233" w:line="175" w:lineRule="auto"/>
        <w:rPr>
          <w:rFonts w:ascii="SimSun" w:eastAsia="SimSun" w:hAnsi="SimSun" w:cs="SimSun"/>
          <w:sz w:val="30"/>
          <w:szCs w:val="30"/>
        </w:rPr>
      </w:pPr>
      <w:r>
        <w:rPr>
          <w:rFonts w:ascii="SimSun" w:eastAsia="SimSun" w:hAnsi="SimSun" w:cs="SimSun"/>
          <w:sz w:val="30"/>
          <w:szCs w:val="30"/>
        </w:rPr>
        <w:t>2010</w:t>
      </w:r>
    </w:p>
    <w:p>
      <w:pPr>
        <w:spacing w:line="175" w:lineRule="auto"/>
        <w:rPr>
          <w:rFonts w:ascii="SimSun" w:eastAsia="SimSun" w:hAnsi="SimSun" w:cs="SimSun"/>
          <w:sz w:val="30"/>
          <w:szCs w:val="30"/>
        </w:rPr>
        <w:sectPr>
          <w:footerReference w:type="default" r:id="rId10"/>
          <w:type w:val="continuous"/>
          <w:pgSz w:w="22849" w:h="31680"/>
          <w:pgMar w:top="2692" w:right="2212" w:bottom="2914" w:left="2587" w:header="0" w:footer="2896" w:gutter="0"/>
          <w:pgNumType w:start="9"/>
          <w:cols w:num="4" w:space="708" w:equalWidth="0">
            <w:col w:w="6092" w:space="100"/>
            <w:col w:w="4263" w:space="100"/>
            <w:col w:w="4255" w:space="100"/>
            <w:col w:w="3141" w:space="0"/>
          </w:cols>
        </w:sectPr>
      </w:pPr>
    </w:p>
    <w:p>
      <w:pPr>
        <w:spacing w:line="111" w:lineRule="exact"/>
      </w:pPr>
    </w:p>
    <w:tbl>
      <w:tblPr>
        <w:tblStyle w:val="TableNormal0"/>
        <w:tblW w:w="17593" w:type="dxa"/>
        <w:tblInd w:w="0" w:type="dxa"/>
        <w:tblBorders>
          <w:top w:val="nil"/>
          <w:left w:val="nil"/>
          <w:bottom w:val="nil"/>
          <w:right w:val="nil"/>
          <w:insideH w:val="nil"/>
          <w:insideV w:val="nil"/>
        </w:tblBorders>
        <w:tblLayout w:type="fixed"/>
      </w:tblPr>
      <w:tblGrid>
        <w:gridCol w:w="4769"/>
        <w:gridCol w:w="4187"/>
        <w:gridCol w:w="4253"/>
        <w:gridCol w:w="4384"/>
      </w:tblGrid>
      <w:tr>
        <w:tblPrEx>
          <w:tblW w:w="17593" w:type="dxa"/>
          <w:tblInd w:w="0" w:type="dxa"/>
          <w:tblBorders>
            <w:top w:val="nil"/>
            <w:left w:val="nil"/>
            <w:bottom w:val="nil"/>
            <w:right w:val="nil"/>
            <w:insideH w:val="nil"/>
            <w:insideV w:val="nil"/>
          </w:tblBorders>
          <w:tblLayout w:type="fixed"/>
        </w:tblPrEx>
        <w:trPr>
          <w:trHeight w:val="1089"/>
        </w:trPr>
        <w:tc>
          <w:tcPr>
            <w:tcW w:w="4769" w:type="dxa"/>
            <w:tcBorders>
              <w:top w:val="single" w:sz="2" w:space="0" w:color="000000"/>
            </w:tcBorders>
            <w:vAlign w:val="top"/>
          </w:tcPr>
          <w:p>
            <w:pPr>
              <w:pStyle w:val="TableText"/>
              <w:spacing w:before="315" w:line="222" w:lineRule="auto"/>
              <w:ind w:left="362"/>
            </w:pPr>
            <w:r>
              <w:rPr>
                <w:spacing w:val="17"/>
              </w:rPr>
              <w:t>流动资产(元)</w:t>
            </w:r>
          </w:p>
        </w:tc>
        <w:tc>
          <w:tcPr>
            <w:tcW w:w="4187" w:type="dxa"/>
            <w:tcBorders>
              <w:top w:val="single" w:sz="2" w:space="0" w:color="000000"/>
            </w:tcBorders>
            <w:vAlign w:val="top"/>
          </w:tcPr>
          <w:p>
            <w:pPr>
              <w:spacing w:line="419" w:lineRule="auto"/>
              <w:rPr>
                <w:rFonts w:ascii="Arial"/>
                <w:sz w:val="21"/>
              </w:rPr>
            </w:pPr>
          </w:p>
          <w:p>
            <w:pPr>
              <w:pStyle w:val="TableText"/>
              <w:spacing w:before="134" w:line="185" w:lineRule="auto"/>
              <w:ind w:left="777"/>
            </w:pPr>
            <w:r>
              <w:t>2600288657.52</w:t>
            </w:r>
          </w:p>
        </w:tc>
        <w:tc>
          <w:tcPr>
            <w:tcW w:w="4253" w:type="dxa"/>
            <w:tcBorders>
              <w:top w:val="single" w:sz="2" w:space="0" w:color="000000"/>
            </w:tcBorders>
            <w:vAlign w:val="top"/>
          </w:tcPr>
          <w:p>
            <w:pPr>
              <w:spacing w:line="419" w:lineRule="auto"/>
              <w:rPr>
                <w:rFonts w:ascii="Arial"/>
                <w:sz w:val="21"/>
              </w:rPr>
            </w:pPr>
          </w:p>
          <w:p>
            <w:pPr>
              <w:pStyle w:val="TableText"/>
              <w:spacing w:before="134" w:line="185" w:lineRule="auto"/>
              <w:ind w:left="767"/>
            </w:pPr>
            <w:r>
              <w:t>2044320238.97</w:t>
            </w:r>
          </w:p>
        </w:tc>
        <w:tc>
          <w:tcPr>
            <w:tcW w:w="4384" w:type="dxa"/>
            <w:tcBorders>
              <w:top w:val="single" w:sz="2" w:space="0" w:color="000000"/>
            </w:tcBorders>
            <w:vAlign w:val="top"/>
          </w:tcPr>
          <w:p>
            <w:pPr>
              <w:spacing w:line="419" w:lineRule="auto"/>
              <w:rPr>
                <w:rFonts w:ascii="Arial"/>
                <w:sz w:val="21"/>
              </w:rPr>
            </w:pPr>
          </w:p>
          <w:p>
            <w:pPr>
              <w:pStyle w:val="TableText"/>
              <w:spacing w:before="134" w:line="185" w:lineRule="auto"/>
              <w:ind w:left="833"/>
            </w:pPr>
            <w:r>
              <w:rPr>
                <w:spacing w:val="-1"/>
              </w:rPr>
              <w:t>1781095790.91</w:t>
            </w:r>
          </w:p>
        </w:tc>
      </w:tr>
      <w:tr>
        <w:tblPrEx>
          <w:tblW w:w="17593" w:type="dxa"/>
          <w:tblInd w:w="0" w:type="dxa"/>
          <w:tblLayout w:type="fixed"/>
        </w:tblPrEx>
        <w:trPr>
          <w:trHeight w:val="918"/>
        </w:trPr>
        <w:tc>
          <w:tcPr>
            <w:tcW w:w="4769" w:type="dxa"/>
            <w:vAlign w:val="top"/>
          </w:tcPr>
          <w:p>
            <w:pPr>
              <w:pStyle w:val="TableText"/>
              <w:spacing w:before="233" w:line="222" w:lineRule="auto"/>
              <w:ind w:left="362"/>
            </w:pPr>
            <w:r>
              <w:rPr>
                <w:spacing w:val="17"/>
              </w:rPr>
              <w:t>速动资产(元)</w:t>
            </w:r>
          </w:p>
        </w:tc>
        <w:tc>
          <w:tcPr>
            <w:tcW w:w="4187" w:type="dxa"/>
            <w:vAlign w:val="top"/>
          </w:tcPr>
          <w:p>
            <w:pPr>
              <w:pStyle w:val="TableText"/>
              <w:spacing w:before="341" w:line="185" w:lineRule="auto"/>
              <w:ind w:left="821"/>
            </w:pPr>
            <w:r>
              <w:rPr>
                <w:spacing w:val="-2"/>
              </w:rPr>
              <w:t>1917066218</w:t>
            </w:r>
          </w:p>
        </w:tc>
        <w:tc>
          <w:tcPr>
            <w:tcW w:w="4253" w:type="dxa"/>
            <w:vAlign w:val="top"/>
          </w:tcPr>
          <w:p>
            <w:pPr>
              <w:pStyle w:val="TableText"/>
              <w:spacing w:before="341" w:line="185" w:lineRule="auto"/>
              <w:ind w:left="759"/>
            </w:pPr>
            <w:r>
              <w:rPr>
                <w:spacing w:val="-2"/>
              </w:rPr>
              <w:t>1568045701</w:t>
            </w:r>
          </w:p>
        </w:tc>
        <w:tc>
          <w:tcPr>
            <w:tcW w:w="4384" w:type="dxa"/>
            <w:vAlign w:val="top"/>
          </w:tcPr>
          <w:p>
            <w:pPr>
              <w:pStyle w:val="TableText"/>
              <w:spacing w:before="341" w:line="185" w:lineRule="auto"/>
              <w:ind w:left="1151"/>
            </w:pPr>
            <w:r>
              <w:rPr>
                <w:spacing w:val="-2"/>
              </w:rPr>
              <w:t>1268039650</w:t>
            </w:r>
          </w:p>
        </w:tc>
      </w:tr>
      <w:tr>
        <w:tblPrEx>
          <w:tblW w:w="17593" w:type="dxa"/>
          <w:tblInd w:w="0" w:type="dxa"/>
          <w:tblLayout w:type="fixed"/>
        </w:tblPrEx>
        <w:trPr>
          <w:trHeight w:val="967"/>
        </w:trPr>
        <w:tc>
          <w:tcPr>
            <w:tcW w:w="4769" w:type="dxa"/>
            <w:vAlign w:val="top"/>
          </w:tcPr>
          <w:p>
            <w:pPr>
              <w:pStyle w:val="TableText"/>
              <w:spacing w:before="277" w:line="221" w:lineRule="auto"/>
              <w:ind w:left="362"/>
            </w:pPr>
            <w:r>
              <w:rPr>
                <w:spacing w:val="17"/>
              </w:rPr>
              <w:t>货币现金(元)</w:t>
            </w:r>
          </w:p>
        </w:tc>
        <w:tc>
          <w:tcPr>
            <w:tcW w:w="4187" w:type="dxa"/>
            <w:vAlign w:val="top"/>
          </w:tcPr>
          <w:p>
            <w:pPr>
              <w:spacing w:line="250" w:lineRule="auto"/>
              <w:rPr>
                <w:rFonts w:ascii="Arial"/>
                <w:sz w:val="21"/>
              </w:rPr>
            </w:pPr>
          </w:p>
          <w:p>
            <w:pPr>
              <w:pStyle w:val="TableText"/>
              <w:spacing w:before="133" w:line="185" w:lineRule="auto"/>
              <w:ind w:left="883"/>
            </w:pPr>
            <w:r>
              <w:t>600424642.69</w:t>
            </w:r>
          </w:p>
        </w:tc>
        <w:tc>
          <w:tcPr>
            <w:tcW w:w="4253" w:type="dxa"/>
            <w:vAlign w:val="top"/>
          </w:tcPr>
          <w:p>
            <w:pPr>
              <w:spacing w:line="250" w:lineRule="auto"/>
              <w:rPr>
                <w:rFonts w:ascii="Arial"/>
                <w:sz w:val="21"/>
              </w:rPr>
            </w:pPr>
          </w:p>
          <w:p>
            <w:pPr>
              <w:pStyle w:val="TableText"/>
              <w:spacing w:before="133" w:line="185" w:lineRule="auto"/>
              <w:ind w:left="873"/>
            </w:pPr>
            <w:r>
              <w:t>634076090.74</w:t>
            </w:r>
          </w:p>
        </w:tc>
        <w:tc>
          <w:tcPr>
            <w:tcW w:w="4384" w:type="dxa"/>
            <w:vAlign w:val="top"/>
          </w:tcPr>
          <w:p>
            <w:pPr>
              <w:spacing w:line="250" w:lineRule="auto"/>
              <w:rPr>
                <w:rFonts w:ascii="Arial"/>
                <w:sz w:val="21"/>
              </w:rPr>
            </w:pPr>
          </w:p>
          <w:p>
            <w:pPr>
              <w:pStyle w:val="TableText"/>
              <w:spacing w:before="133" w:line="185" w:lineRule="auto"/>
              <w:ind w:left="939"/>
            </w:pPr>
            <w:r>
              <w:t>303686000.90</w:t>
            </w:r>
          </w:p>
        </w:tc>
      </w:tr>
      <w:tr>
        <w:tblPrEx>
          <w:tblW w:w="17593" w:type="dxa"/>
          <w:tblInd w:w="0" w:type="dxa"/>
          <w:tblLayout w:type="fixed"/>
        </w:tblPrEx>
        <w:trPr>
          <w:trHeight w:val="958"/>
        </w:trPr>
        <w:tc>
          <w:tcPr>
            <w:tcW w:w="4769" w:type="dxa"/>
            <w:vAlign w:val="top"/>
          </w:tcPr>
          <w:p>
            <w:pPr>
              <w:pStyle w:val="TableText"/>
              <w:spacing w:before="282" w:line="222" w:lineRule="auto"/>
              <w:ind w:left="362"/>
            </w:pPr>
            <w:r>
              <w:rPr>
                <w:spacing w:val="17"/>
              </w:rPr>
              <w:t>流动负债(元)</w:t>
            </w:r>
          </w:p>
        </w:tc>
        <w:tc>
          <w:tcPr>
            <w:tcW w:w="4187" w:type="dxa"/>
            <w:vAlign w:val="top"/>
          </w:tcPr>
          <w:p>
            <w:pPr>
              <w:spacing w:line="255" w:lineRule="auto"/>
              <w:rPr>
                <w:rFonts w:ascii="Arial"/>
                <w:sz w:val="21"/>
              </w:rPr>
            </w:pPr>
          </w:p>
          <w:p>
            <w:pPr>
              <w:pStyle w:val="TableText"/>
              <w:spacing w:before="133" w:line="185" w:lineRule="auto"/>
              <w:ind w:left="777"/>
            </w:pPr>
            <w:r>
              <w:t>3575038232.20</w:t>
            </w:r>
          </w:p>
        </w:tc>
        <w:tc>
          <w:tcPr>
            <w:tcW w:w="4253" w:type="dxa"/>
            <w:vAlign w:val="top"/>
          </w:tcPr>
          <w:p>
            <w:pPr>
              <w:spacing w:line="255" w:lineRule="auto"/>
              <w:rPr>
                <w:rFonts w:ascii="Arial"/>
                <w:sz w:val="21"/>
              </w:rPr>
            </w:pPr>
          </w:p>
          <w:p>
            <w:pPr>
              <w:pStyle w:val="TableText"/>
              <w:spacing w:before="133" w:line="185" w:lineRule="auto"/>
              <w:ind w:left="767"/>
            </w:pPr>
            <w:r>
              <w:t>3734664207.69</w:t>
            </w:r>
          </w:p>
        </w:tc>
        <w:tc>
          <w:tcPr>
            <w:tcW w:w="4384" w:type="dxa"/>
            <w:vAlign w:val="top"/>
          </w:tcPr>
          <w:p>
            <w:pPr>
              <w:spacing w:line="255" w:lineRule="auto"/>
              <w:rPr>
                <w:rFonts w:ascii="Arial"/>
                <w:sz w:val="21"/>
              </w:rPr>
            </w:pPr>
          </w:p>
          <w:p>
            <w:pPr>
              <w:pStyle w:val="TableText"/>
              <w:spacing w:before="133" w:line="185" w:lineRule="auto"/>
              <w:ind w:left="833"/>
            </w:pPr>
            <w:r>
              <w:t>3408358620.79</w:t>
            </w:r>
          </w:p>
        </w:tc>
      </w:tr>
      <w:tr>
        <w:tblPrEx>
          <w:tblW w:w="17593" w:type="dxa"/>
          <w:tblInd w:w="0" w:type="dxa"/>
          <w:tblLayout w:type="fixed"/>
        </w:tblPrEx>
        <w:trPr>
          <w:trHeight w:val="944"/>
        </w:trPr>
        <w:tc>
          <w:tcPr>
            <w:tcW w:w="4769" w:type="dxa"/>
            <w:vAlign w:val="top"/>
          </w:tcPr>
          <w:p>
            <w:pPr>
              <w:pStyle w:val="TableText"/>
              <w:spacing w:before="269" w:line="222" w:lineRule="auto"/>
              <w:ind w:left="362"/>
            </w:pPr>
            <w:r>
              <w:rPr>
                <w:spacing w:val="13"/>
              </w:rPr>
              <w:t>交易性金融资产(元)</w:t>
            </w:r>
          </w:p>
        </w:tc>
        <w:tc>
          <w:tcPr>
            <w:tcW w:w="4187" w:type="dxa"/>
            <w:vAlign w:val="top"/>
          </w:tcPr>
          <w:p>
            <w:pPr>
              <w:spacing w:line="242" w:lineRule="auto"/>
              <w:rPr>
                <w:rFonts w:ascii="Arial"/>
                <w:sz w:val="21"/>
              </w:rPr>
            </w:pPr>
          </w:p>
          <w:p>
            <w:pPr>
              <w:pStyle w:val="TableText"/>
              <w:spacing w:before="133" w:line="185" w:lineRule="auto"/>
              <w:ind w:left="1095"/>
            </w:pPr>
            <w:r>
              <w:rPr>
                <w:spacing w:val="1"/>
              </w:rPr>
              <w:t>4770386.25</w:t>
            </w:r>
          </w:p>
        </w:tc>
        <w:tc>
          <w:tcPr>
            <w:tcW w:w="4253" w:type="dxa"/>
            <w:vAlign w:val="top"/>
          </w:tcPr>
          <w:p>
            <w:pPr>
              <w:spacing w:line="242" w:lineRule="auto"/>
              <w:rPr>
                <w:rFonts w:ascii="Arial"/>
                <w:sz w:val="21"/>
              </w:rPr>
            </w:pPr>
          </w:p>
          <w:p>
            <w:pPr>
              <w:pStyle w:val="TableText"/>
              <w:spacing w:before="133" w:line="185" w:lineRule="auto"/>
              <w:ind w:left="1183"/>
            </w:pPr>
            <w:r>
              <w:t>878010.00</w:t>
            </w:r>
          </w:p>
        </w:tc>
        <w:tc>
          <w:tcPr>
            <w:tcW w:w="4384" w:type="dxa"/>
            <w:vAlign w:val="top"/>
          </w:tcPr>
          <w:p>
            <w:pPr>
              <w:spacing w:line="242" w:lineRule="auto"/>
              <w:rPr>
                <w:rFonts w:ascii="Arial"/>
                <w:sz w:val="21"/>
              </w:rPr>
            </w:pPr>
          </w:p>
          <w:p>
            <w:pPr>
              <w:pStyle w:val="TableText"/>
              <w:spacing w:before="133" w:line="185" w:lineRule="auto"/>
              <w:ind w:left="2079"/>
            </w:pPr>
            <w:r>
              <w:t>0</w:t>
            </w:r>
          </w:p>
        </w:tc>
      </w:tr>
      <w:tr>
        <w:tblPrEx>
          <w:tblW w:w="17593" w:type="dxa"/>
          <w:tblInd w:w="0" w:type="dxa"/>
          <w:tblLayout w:type="fixed"/>
        </w:tblPrEx>
        <w:trPr>
          <w:trHeight w:val="966"/>
        </w:trPr>
        <w:tc>
          <w:tcPr>
            <w:tcW w:w="4769" w:type="dxa"/>
            <w:vAlign w:val="top"/>
          </w:tcPr>
          <w:p>
            <w:pPr>
              <w:pStyle w:val="TableText"/>
              <w:spacing w:before="270" w:line="222" w:lineRule="auto"/>
              <w:ind w:left="362"/>
            </w:pPr>
            <w:r>
              <w:rPr>
                <w:spacing w:val="9"/>
              </w:rPr>
              <w:t>流动比率</w:t>
            </w:r>
          </w:p>
        </w:tc>
        <w:tc>
          <w:tcPr>
            <w:tcW w:w="4187" w:type="dxa"/>
            <w:vAlign w:val="top"/>
          </w:tcPr>
          <w:p>
            <w:pPr>
              <w:spacing w:line="243" w:lineRule="auto"/>
              <w:rPr>
                <w:rFonts w:ascii="Arial"/>
                <w:sz w:val="21"/>
              </w:rPr>
            </w:pPr>
          </w:p>
          <w:p>
            <w:pPr>
              <w:pStyle w:val="TableText"/>
              <w:spacing w:before="133" w:line="185" w:lineRule="auto"/>
              <w:ind w:left="1713"/>
            </w:pPr>
            <w:r>
              <w:rPr>
                <w:spacing w:val="-2"/>
              </w:rPr>
              <w:t>0.73</w:t>
            </w:r>
          </w:p>
        </w:tc>
        <w:tc>
          <w:tcPr>
            <w:tcW w:w="4253" w:type="dxa"/>
            <w:vAlign w:val="top"/>
          </w:tcPr>
          <w:p>
            <w:pPr>
              <w:spacing w:line="243" w:lineRule="auto"/>
              <w:rPr>
                <w:rFonts w:ascii="Arial"/>
                <w:sz w:val="21"/>
              </w:rPr>
            </w:pPr>
          </w:p>
          <w:p>
            <w:pPr>
              <w:pStyle w:val="TableText"/>
              <w:spacing w:before="133" w:line="185" w:lineRule="auto"/>
              <w:ind w:left="1704"/>
            </w:pPr>
            <w:r>
              <w:rPr>
                <w:spacing w:val="-2"/>
              </w:rPr>
              <w:t>0.55</w:t>
            </w:r>
          </w:p>
        </w:tc>
        <w:tc>
          <w:tcPr>
            <w:tcW w:w="4384" w:type="dxa"/>
            <w:vAlign w:val="top"/>
          </w:tcPr>
          <w:p>
            <w:pPr>
              <w:spacing w:line="243" w:lineRule="auto"/>
              <w:rPr>
                <w:rFonts w:ascii="Arial"/>
                <w:sz w:val="21"/>
              </w:rPr>
            </w:pPr>
          </w:p>
          <w:p>
            <w:pPr>
              <w:pStyle w:val="TableText"/>
              <w:spacing w:before="133" w:line="185" w:lineRule="auto"/>
              <w:ind w:left="1769"/>
            </w:pPr>
            <w:r>
              <w:rPr>
                <w:spacing w:val="-2"/>
              </w:rPr>
              <w:t>0.52</w:t>
            </w:r>
          </w:p>
        </w:tc>
      </w:tr>
      <w:tr>
        <w:tblPrEx>
          <w:tblW w:w="17593" w:type="dxa"/>
          <w:tblInd w:w="0" w:type="dxa"/>
          <w:tblLayout w:type="fixed"/>
        </w:tblPrEx>
        <w:trPr>
          <w:trHeight w:val="975"/>
        </w:trPr>
        <w:tc>
          <w:tcPr>
            <w:tcW w:w="4769" w:type="dxa"/>
            <w:vAlign w:val="top"/>
          </w:tcPr>
          <w:p>
            <w:pPr>
              <w:pStyle w:val="TableText"/>
              <w:spacing w:before="293" w:line="222" w:lineRule="auto"/>
              <w:ind w:left="362"/>
            </w:pPr>
            <w:r>
              <w:rPr>
                <w:spacing w:val="9"/>
              </w:rPr>
              <w:t>速动比率</w:t>
            </w:r>
          </w:p>
        </w:tc>
        <w:tc>
          <w:tcPr>
            <w:tcW w:w="4187" w:type="dxa"/>
            <w:vAlign w:val="top"/>
          </w:tcPr>
          <w:p>
            <w:pPr>
              <w:spacing w:line="266" w:lineRule="auto"/>
              <w:rPr>
                <w:rFonts w:ascii="Arial"/>
                <w:sz w:val="21"/>
              </w:rPr>
            </w:pPr>
          </w:p>
          <w:p>
            <w:pPr>
              <w:pStyle w:val="TableText"/>
              <w:spacing w:before="133" w:line="185" w:lineRule="auto"/>
              <w:ind w:left="1713"/>
            </w:pPr>
            <w:r>
              <w:rPr>
                <w:spacing w:val="-2"/>
              </w:rPr>
              <w:t>0.54</w:t>
            </w:r>
          </w:p>
        </w:tc>
        <w:tc>
          <w:tcPr>
            <w:tcW w:w="4253" w:type="dxa"/>
            <w:vAlign w:val="top"/>
          </w:tcPr>
          <w:p>
            <w:pPr>
              <w:spacing w:line="266" w:lineRule="auto"/>
              <w:rPr>
                <w:rFonts w:ascii="Arial"/>
                <w:sz w:val="21"/>
              </w:rPr>
            </w:pPr>
          </w:p>
          <w:p>
            <w:pPr>
              <w:pStyle w:val="TableText"/>
              <w:spacing w:before="133" w:line="185" w:lineRule="auto"/>
              <w:ind w:left="1704"/>
            </w:pPr>
            <w:r>
              <w:rPr>
                <w:spacing w:val="-2"/>
              </w:rPr>
              <w:t>0.42</w:t>
            </w:r>
          </w:p>
        </w:tc>
        <w:tc>
          <w:tcPr>
            <w:tcW w:w="4384" w:type="dxa"/>
            <w:vAlign w:val="top"/>
          </w:tcPr>
          <w:p>
            <w:pPr>
              <w:spacing w:line="266" w:lineRule="auto"/>
              <w:rPr>
                <w:rFonts w:ascii="Arial"/>
                <w:sz w:val="21"/>
              </w:rPr>
            </w:pPr>
          </w:p>
          <w:p>
            <w:pPr>
              <w:pStyle w:val="TableText"/>
              <w:spacing w:before="133" w:line="185" w:lineRule="auto"/>
              <w:ind w:left="1769"/>
            </w:pPr>
            <w:r>
              <w:rPr>
                <w:spacing w:val="-2"/>
              </w:rPr>
              <w:t>0.37</w:t>
            </w:r>
          </w:p>
        </w:tc>
      </w:tr>
      <w:tr>
        <w:tblPrEx>
          <w:tblW w:w="17593" w:type="dxa"/>
          <w:tblInd w:w="0" w:type="dxa"/>
          <w:tblLayout w:type="fixed"/>
        </w:tblPrEx>
        <w:trPr>
          <w:trHeight w:val="953"/>
        </w:trPr>
        <w:tc>
          <w:tcPr>
            <w:tcW w:w="4769" w:type="dxa"/>
            <w:tcBorders>
              <w:bottom w:val="single" w:sz="2" w:space="0" w:color="000000"/>
            </w:tcBorders>
            <w:vAlign w:val="top"/>
          </w:tcPr>
          <w:p>
            <w:pPr>
              <w:pStyle w:val="TableText"/>
              <w:spacing w:before="281" w:line="222" w:lineRule="auto"/>
              <w:ind w:left="362"/>
            </w:pPr>
            <w:r>
              <w:rPr>
                <w:spacing w:val="9"/>
              </w:rPr>
              <w:t>现金比率</w:t>
            </w:r>
          </w:p>
        </w:tc>
        <w:tc>
          <w:tcPr>
            <w:tcW w:w="4187" w:type="dxa"/>
            <w:tcBorders>
              <w:bottom w:val="single" w:sz="2" w:space="0" w:color="000000"/>
            </w:tcBorders>
            <w:vAlign w:val="top"/>
          </w:tcPr>
          <w:p>
            <w:pPr>
              <w:spacing w:line="254" w:lineRule="auto"/>
              <w:rPr>
                <w:rFonts w:ascii="Arial"/>
                <w:sz w:val="21"/>
              </w:rPr>
            </w:pPr>
          </w:p>
          <w:p>
            <w:pPr>
              <w:pStyle w:val="TableText"/>
              <w:spacing w:before="133" w:line="185" w:lineRule="auto"/>
              <w:ind w:left="1713"/>
            </w:pPr>
            <w:r>
              <w:rPr>
                <w:spacing w:val="-2"/>
              </w:rPr>
              <w:t>0.17</w:t>
            </w:r>
          </w:p>
        </w:tc>
        <w:tc>
          <w:tcPr>
            <w:tcW w:w="4253" w:type="dxa"/>
            <w:tcBorders>
              <w:bottom w:val="single" w:sz="2" w:space="0" w:color="000000"/>
            </w:tcBorders>
            <w:vAlign w:val="top"/>
          </w:tcPr>
          <w:p>
            <w:pPr>
              <w:spacing w:line="254" w:lineRule="auto"/>
              <w:rPr>
                <w:rFonts w:ascii="Arial"/>
                <w:sz w:val="21"/>
              </w:rPr>
            </w:pPr>
          </w:p>
          <w:p>
            <w:pPr>
              <w:pStyle w:val="TableText"/>
              <w:spacing w:before="133" w:line="185" w:lineRule="auto"/>
              <w:ind w:left="1704"/>
            </w:pPr>
            <w:r>
              <w:rPr>
                <w:spacing w:val="-2"/>
              </w:rPr>
              <w:t>0.17</w:t>
            </w:r>
          </w:p>
        </w:tc>
        <w:tc>
          <w:tcPr>
            <w:tcW w:w="4384" w:type="dxa"/>
            <w:tcBorders>
              <w:bottom w:val="single" w:sz="2" w:space="0" w:color="000000"/>
            </w:tcBorders>
            <w:vAlign w:val="top"/>
          </w:tcPr>
          <w:p>
            <w:pPr>
              <w:spacing w:line="254" w:lineRule="auto"/>
              <w:rPr>
                <w:rFonts w:ascii="Arial"/>
                <w:sz w:val="21"/>
              </w:rPr>
            </w:pPr>
          </w:p>
          <w:p>
            <w:pPr>
              <w:pStyle w:val="TableText"/>
              <w:spacing w:before="133" w:line="185" w:lineRule="auto"/>
              <w:ind w:left="1769"/>
            </w:pPr>
            <w:r>
              <w:rPr>
                <w:spacing w:val="-2"/>
              </w:rPr>
              <w:t>0.09</w:t>
            </w:r>
          </w:p>
        </w:tc>
      </w:tr>
    </w:tbl>
    <w:p>
      <w:pPr>
        <w:spacing w:before="201" w:line="221" w:lineRule="auto"/>
        <w:ind w:left="318"/>
        <w:rPr>
          <w:rFonts w:ascii="SimSun" w:eastAsia="SimSun" w:hAnsi="SimSun" w:cs="SimSun"/>
          <w:sz w:val="49"/>
          <w:szCs w:val="49"/>
        </w:rPr>
      </w:pPr>
      <w:r>
        <w:rPr>
          <w:rFonts w:ascii="SimSun" w:eastAsia="SimSun" w:hAnsi="SimSun" w:cs="SimSun"/>
          <w:spacing w:val="-5"/>
          <w:sz w:val="49"/>
          <w:szCs w:val="49"/>
        </w:rPr>
        <w:t>3.1.2 长期偿债能力分析</w:t>
      </w:r>
    </w:p>
    <w:p>
      <w:pPr>
        <w:spacing w:before="393" w:line="221" w:lineRule="auto"/>
        <w:ind w:left="1324"/>
        <w:rPr>
          <w:rFonts w:ascii="SimSun" w:eastAsia="SimSun" w:hAnsi="SimSun" w:cs="SimSun"/>
          <w:sz w:val="49"/>
          <w:szCs w:val="49"/>
        </w:rPr>
      </w:pPr>
      <w:r>
        <w:rPr>
          <w:rFonts w:ascii="SimSun" w:eastAsia="SimSun" w:hAnsi="SimSun" w:cs="SimSun"/>
          <w:spacing w:val="-4"/>
          <w:sz w:val="49"/>
          <w:szCs w:val="49"/>
        </w:rPr>
        <w:t>长期偿债能力是指企业对债务的承担能力和对偿还债务的保障能力。</w:t>
      </w:r>
    </w:p>
    <w:p>
      <w:pPr>
        <w:spacing w:before="368" w:line="361" w:lineRule="auto"/>
        <w:ind w:left="318" w:firstLine="1006"/>
        <w:rPr>
          <w:rFonts w:ascii="SimSun" w:eastAsia="SimSun" w:hAnsi="SimSun" w:cs="SimSun"/>
          <w:sz w:val="49"/>
          <w:szCs w:val="49"/>
        </w:rPr>
      </w:pPr>
      <w:r>
        <w:rPr>
          <w:rFonts w:ascii="SimSun" w:eastAsia="SimSun" w:hAnsi="SimSun" w:cs="SimSun"/>
          <w:spacing w:val="-3"/>
          <w:sz w:val="49"/>
          <w:szCs w:val="49"/>
        </w:rPr>
        <w:t>长期偿债能力分析是企业债权人、投资者、经营者和与企业有关联的各</w:t>
      </w:r>
      <w:r>
        <w:rPr>
          <w:rFonts w:ascii="SimSun" w:eastAsia="SimSun" w:hAnsi="SimSun" w:cs="SimSun"/>
          <w:spacing w:val="-4"/>
          <w:sz w:val="49"/>
          <w:szCs w:val="49"/>
        </w:rPr>
        <w:t>方面等</w:t>
      </w:r>
      <w:r>
        <w:rPr>
          <w:rFonts w:ascii="SimSun" w:eastAsia="SimSun" w:hAnsi="SimSun" w:cs="SimSun"/>
          <w:sz w:val="49"/>
          <w:szCs w:val="49"/>
        </w:rPr>
        <w:t xml:space="preserve"> </w:t>
      </w:r>
      <w:r>
        <w:rPr>
          <w:rFonts w:ascii="SimSun" w:eastAsia="SimSun" w:hAnsi="SimSun" w:cs="SimSun"/>
          <w:spacing w:val="-3"/>
          <w:sz w:val="49"/>
          <w:szCs w:val="49"/>
        </w:rPr>
        <w:t>都十分关注的重要问题。企业的投资者包括企业的所有者</w:t>
      </w:r>
      <w:r>
        <w:rPr>
          <w:rFonts w:ascii="SimSun" w:eastAsia="SimSun" w:hAnsi="SimSun" w:cs="SimSun"/>
          <w:spacing w:val="-4"/>
          <w:sz w:val="49"/>
          <w:szCs w:val="49"/>
        </w:rPr>
        <w:t xml:space="preserve">和潜在投资者，投资者通 </w:t>
      </w:r>
      <w:r>
        <w:rPr>
          <w:rFonts w:ascii="SimSun" w:eastAsia="SimSun" w:hAnsi="SimSun" w:cs="SimSun"/>
          <w:spacing w:val="-2"/>
          <w:sz w:val="49"/>
          <w:szCs w:val="49"/>
        </w:rPr>
        <w:t>过长期偿债能力分析，可以判断其投资的安全性及盈利性，因</w:t>
      </w:r>
      <w:r>
        <w:rPr>
          <w:rFonts w:ascii="SimSun" w:eastAsia="SimSun" w:hAnsi="SimSun" w:cs="SimSun"/>
          <w:spacing w:val="-3"/>
          <w:sz w:val="49"/>
          <w:szCs w:val="49"/>
        </w:rPr>
        <w:t>为投资的安全性与企</w:t>
      </w:r>
      <w:r>
        <w:rPr>
          <w:rFonts w:ascii="SimSun" w:eastAsia="SimSun" w:hAnsi="SimSun" w:cs="SimSun"/>
          <w:sz w:val="49"/>
          <w:szCs w:val="49"/>
        </w:rPr>
        <w:t xml:space="preserve"> </w:t>
      </w:r>
      <w:r>
        <w:rPr>
          <w:rFonts w:ascii="SimSun" w:eastAsia="SimSun" w:hAnsi="SimSun" w:cs="SimSun"/>
          <w:spacing w:val="-2"/>
          <w:sz w:val="49"/>
          <w:szCs w:val="49"/>
        </w:rPr>
        <w:t>业的偿债能力密切相关。通常，企业的偿债能力越强，投资者</w:t>
      </w:r>
      <w:r>
        <w:rPr>
          <w:rFonts w:ascii="SimSun" w:eastAsia="SimSun" w:hAnsi="SimSun" w:cs="SimSun"/>
          <w:spacing w:val="-3"/>
          <w:sz w:val="49"/>
          <w:szCs w:val="49"/>
        </w:rPr>
        <w:t>的安全性越高。在这</w:t>
      </w:r>
      <w:r>
        <w:rPr>
          <w:rFonts w:ascii="SimSun" w:eastAsia="SimSun" w:hAnsi="SimSun" w:cs="SimSun"/>
          <w:sz w:val="49"/>
          <w:szCs w:val="49"/>
        </w:rPr>
        <w:t xml:space="preserve"> </w:t>
      </w:r>
      <w:r>
        <w:rPr>
          <w:rFonts w:ascii="SimSun" w:eastAsia="SimSun" w:hAnsi="SimSun" w:cs="SimSun"/>
          <w:spacing w:val="-2"/>
          <w:sz w:val="49"/>
          <w:szCs w:val="49"/>
        </w:rPr>
        <w:t>种情况下，企业不需要通过变卖财产偿还债务。企业的债权人</w:t>
      </w:r>
      <w:r>
        <w:rPr>
          <w:rFonts w:ascii="SimSun" w:eastAsia="SimSun" w:hAnsi="SimSun" w:cs="SimSun"/>
          <w:spacing w:val="-3"/>
          <w:sz w:val="49"/>
          <w:szCs w:val="49"/>
        </w:rPr>
        <w:t>包括向企业提供贷款</w:t>
      </w:r>
      <w:r>
        <w:rPr>
          <w:rFonts w:ascii="SimSun" w:eastAsia="SimSun" w:hAnsi="SimSun" w:cs="SimSun"/>
          <w:sz w:val="49"/>
          <w:szCs w:val="49"/>
        </w:rPr>
        <w:t xml:space="preserve"> </w:t>
      </w:r>
      <w:r>
        <w:rPr>
          <w:rFonts w:ascii="SimSun" w:eastAsia="SimSun" w:hAnsi="SimSun" w:cs="SimSun"/>
          <w:spacing w:val="-3"/>
          <w:sz w:val="49"/>
          <w:szCs w:val="49"/>
        </w:rPr>
        <w:t>的银行、其他金融机构以及购买企业债券的单位和个人。</w:t>
      </w:r>
      <w:r>
        <w:rPr>
          <w:rFonts w:ascii="SimSun" w:eastAsia="SimSun" w:hAnsi="SimSun" w:cs="SimSun"/>
          <w:spacing w:val="-4"/>
          <w:sz w:val="49"/>
          <w:szCs w:val="49"/>
        </w:rPr>
        <w:t xml:space="preserve">债权人更会从他们的切身 </w:t>
      </w:r>
      <w:r>
        <w:rPr>
          <w:rFonts w:ascii="SimSun" w:eastAsia="SimSun" w:hAnsi="SimSun" w:cs="SimSun"/>
          <w:spacing w:val="-3"/>
          <w:sz w:val="49"/>
          <w:szCs w:val="49"/>
        </w:rPr>
        <w:t>利益出发来研究企业的偿债能力，只有企业有较强的偿债</w:t>
      </w:r>
      <w:r>
        <w:rPr>
          <w:rFonts w:ascii="SimSun" w:eastAsia="SimSun" w:hAnsi="SimSun" w:cs="SimSun"/>
          <w:spacing w:val="-4"/>
          <w:sz w:val="49"/>
          <w:szCs w:val="49"/>
        </w:rPr>
        <w:t xml:space="preserve">能力，才能使他们的债权 </w:t>
      </w:r>
      <w:r>
        <w:rPr>
          <w:rFonts w:ascii="SimSun" w:eastAsia="SimSun" w:hAnsi="SimSun" w:cs="SimSun"/>
          <w:spacing w:val="-11"/>
          <w:sz w:val="49"/>
          <w:szCs w:val="49"/>
        </w:rPr>
        <w:t>及时收回，并能按期取得利息。企业经营者王要是指企业经理及其他高级管理人员。</w:t>
      </w:r>
      <w:r>
        <w:rPr>
          <w:rFonts w:ascii="SimSun" w:eastAsia="SimSun" w:hAnsi="SimSun" w:cs="SimSun"/>
          <w:spacing w:val="16"/>
          <w:sz w:val="49"/>
          <w:szCs w:val="49"/>
        </w:rPr>
        <w:t xml:space="preserve"> </w:t>
      </w:r>
      <w:r>
        <w:rPr>
          <w:rFonts w:ascii="SimSun" w:eastAsia="SimSun" w:hAnsi="SimSun" w:cs="SimSun"/>
          <w:spacing w:val="-2"/>
          <w:sz w:val="49"/>
          <w:szCs w:val="49"/>
        </w:rPr>
        <w:t>他们进行财务分析的目的是综合的、全面的。他们既关心企，</w:t>
      </w:r>
      <w:r>
        <w:rPr>
          <w:rFonts w:ascii="SimSun" w:eastAsia="SimSun" w:hAnsi="SimSun" w:cs="SimSun"/>
          <w:spacing w:val="-3"/>
          <w:sz w:val="49"/>
          <w:szCs w:val="49"/>
        </w:rPr>
        <w:t>业的盈利，也关心企</w:t>
      </w:r>
      <w:r>
        <w:rPr>
          <w:rFonts w:ascii="SimSun" w:eastAsia="SimSun" w:hAnsi="SimSun" w:cs="SimSun"/>
          <w:sz w:val="49"/>
          <w:szCs w:val="49"/>
        </w:rPr>
        <w:t xml:space="preserve"> </w:t>
      </w:r>
      <w:r>
        <w:rPr>
          <w:rFonts w:ascii="SimSun" w:eastAsia="SimSun" w:hAnsi="SimSun" w:cs="SimSun"/>
          <w:spacing w:val="-2"/>
          <w:sz w:val="49"/>
          <w:szCs w:val="49"/>
        </w:rPr>
        <w:t>业的风险，与其他主体最为不同的是，他们特别需要关心盈利、风险产生的原因和</w:t>
      </w:r>
      <w:r>
        <w:rPr>
          <w:rFonts w:ascii="SimSun" w:eastAsia="SimSun" w:hAnsi="SimSun" w:cs="SimSun"/>
          <w:spacing w:val="11"/>
          <w:sz w:val="49"/>
          <w:szCs w:val="49"/>
        </w:rPr>
        <w:t xml:space="preserve"> </w:t>
      </w:r>
      <w:r>
        <w:rPr>
          <w:rFonts w:ascii="SimSun" w:eastAsia="SimSun" w:hAnsi="SimSun" w:cs="SimSun"/>
          <w:spacing w:val="-2"/>
          <w:sz w:val="49"/>
          <w:szCs w:val="49"/>
        </w:rPr>
        <w:t>过程。企业在实际工作中，会与其他部门和企业产生经济联系。对企业</w:t>
      </w:r>
      <w:r>
        <w:rPr>
          <w:rFonts w:ascii="SimSun" w:eastAsia="SimSun" w:hAnsi="SimSun" w:cs="SimSun"/>
          <w:spacing w:val="-3"/>
          <w:sz w:val="49"/>
          <w:szCs w:val="49"/>
        </w:rPr>
        <w:t>长期偿债能</w:t>
      </w:r>
      <w:r>
        <w:rPr>
          <w:rFonts w:ascii="SimSun" w:eastAsia="SimSun" w:hAnsi="SimSun" w:cs="SimSun"/>
          <w:sz w:val="49"/>
          <w:szCs w:val="49"/>
        </w:rPr>
        <w:t xml:space="preserve"> </w:t>
      </w:r>
      <w:r>
        <w:rPr>
          <w:rFonts w:ascii="SimSun" w:eastAsia="SimSun" w:hAnsi="SimSun" w:cs="SimSun"/>
          <w:spacing w:val="-3"/>
          <w:sz w:val="49"/>
          <w:szCs w:val="49"/>
        </w:rPr>
        <w:t>力进行分析对于他们也有重要意义。从政府</w:t>
      </w:r>
      <w:r>
        <w:rPr>
          <w:rFonts w:ascii="SimSun" w:eastAsia="SimSun" w:hAnsi="SimSun" w:cs="SimSun"/>
          <w:spacing w:val="-4"/>
          <w:sz w:val="49"/>
          <w:szCs w:val="49"/>
        </w:rPr>
        <w:t>及相关管理部门来说，通过偿债能力分</w:t>
      </w:r>
      <w:r>
        <w:rPr>
          <w:rFonts w:ascii="SimSun" w:eastAsia="SimSun" w:hAnsi="SimSun" w:cs="SimSun"/>
          <w:sz w:val="49"/>
          <w:szCs w:val="49"/>
        </w:rPr>
        <w:t xml:space="preserve">  </w:t>
      </w:r>
      <w:r>
        <w:rPr>
          <w:rFonts w:ascii="SimSun" w:eastAsia="SimSun" w:hAnsi="SimSun" w:cs="SimSun"/>
          <w:spacing w:val="-2"/>
          <w:sz w:val="49"/>
          <w:szCs w:val="49"/>
        </w:rPr>
        <w:t>析，可以了解企业经营的安全性，从而制定相应的财政金融政</w:t>
      </w:r>
      <w:r>
        <w:rPr>
          <w:rFonts w:ascii="SimSun" w:eastAsia="SimSun" w:hAnsi="SimSun" w:cs="SimSun"/>
          <w:spacing w:val="-3"/>
          <w:sz w:val="49"/>
          <w:szCs w:val="49"/>
        </w:rPr>
        <w:t>策；对于业务关联企</w:t>
      </w:r>
      <w:r>
        <w:rPr>
          <w:rFonts w:ascii="SimSun" w:eastAsia="SimSun" w:hAnsi="SimSun" w:cs="SimSun"/>
          <w:sz w:val="49"/>
          <w:szCs w:val="49"/>
        </w:rPr>
        <w:t xml:space="preserve"> </w:t>
      </w:r>
      <w:r>
        <w:rPr>
          <w:rFonts w:ascii="SimSun" w:eastAsia="SimSun" w:hAnsi="SimSun" w:cs="SimSun"/>
          <w:spacing w:val="-2"/>
          <w:sz w:val="49"/>
          <w:szCs w:val="49"/>
        </w:rPr>
        <w:t>业，通过长期偿债能力分析，可以了解企业是否具有长期的支付能力</w:t>
      </w:r>
      <w:r>
        <w:rPr>
          <w:rFonts w:ascii="SimSun" w:eastAsia="SimSun" w:hAnsi="SimSun" w:cs="SimSun"/>
          <w:spacing w:val="-3"/>
          <w:sz w:val="49"/>
          <w:szCs w:val="49"/>
        </w:rPr>
        <w:t>，借以判断企</w:t>
      </w:r>
    </w:p>
    <w:p>
      <w:pPr>
        <w:spacing w:line="221" w:lineRule="auto"/>
        <w:ind w:left="318"/>
        <w:rPr>
          <w:rFonts w:ascii="SimSun" w:eastAsia="SimSun" w:hAnsi="SimSun" w:cs="SimSun"/>
          <w:sz w:val="49"/>
          <w:szCs w:val="49"/>
        </w:rPr>
      </w:pPr>
      <w:r>
        <w:rPr>
          <w:rFonts w:ascii="SimSun" w:eastAsia="SimSun" w:hAnsi="SimSun" w:cs="SimSun"/>
          <w:spacing w:val="-2"/>
          <w:sz w:val="49"/>
          <w:szCs w:val="49"/>
        </w:rPr>
        <w:t>业信用状况和未来业务能力，并作出是否建立长期稳定的</w:t>
      </w:r>
      <w:r>
        <w:rPr>
          <w:rFonts w:ascii="SimSun" w:eastAsia="SimSun" w:hAnsi="SimSun" w:cs="SimSun"/>
          <w:spacing w:val="-3"/>
          <w:sz w:val="49"/>
          <w:szCs w:val="49"/>
        </w:rPr>
        <w:t>业务合作关系的决定。</w:t>
      </w:r>
    </w:p>
    <w:p>
      <w:pPr>
        <w:spacing w:before="356" w:line="956" w:lineRule="exact"/>
        <w:ind w:left="1324"/>
        <w:rPr>
          <w:rFonts w:ascii="SimSun" w:eastAsia="SimSun" w:hAnsi="SimSun" w:cs="SimSun"/>
          <w:sz w:val="49"/>
          <w:szCs w:val="49"/>
        </w:rPr>
      </w:pPr>
      <w:r>
        <w:rPr>
          <w:rFonts w:ascii="SimSun" w:eastAsia="SimSun" w:hAnsi="SimSun" w:cs="SimSun"/>
          <w:spacing w:val="-3"/>
          <w:position w:val="34"/>
          <w:sz w:val="49"/>
          <w:szCs w:val="49"/>
        </w:rPr>
        <w:t>分析企业的长期偿债能力，主要是为了确定企业偿还债务本金与支付债务利息</w:t>
      </w:r>
    </w:p>
    <w:p>
      <w:pPr>
        <w:spacing w:line="221" w:lineRule="auto"/>
        <w:ind w:left="318"/>
        <w:rPr>
          <w:rFonts w:ascii="SimSun" w:eastAsia="SimSun" w:hAnsi="SimSun" w:cs="SimSun"/>
          <w:sz w:val="49"/>
          <w:szCs w:val="49"/>
        </w:rPr>
      </w:pPr>
      <w:r>
        <w:rPr>
          <w:rFonts w:ascii="SimSun" w:eastAsia="SimSun" w:hAnsi="SimSun" w:cs="SimSun"/>
          <w:spacing w:val="-2"/>
          <w:sz w:val="49"/>
          <w:szCs w:val="49"/>
        </w:rPr>
        <w:t>的能力。具体是通过分析权益与资产之间的关系、不同权益之间的内在关</w:t>
      </w:r>
      <w:r>
        <w:rPr>
          <w:rFonts w:ascii="SimSun" w:eastAsia="SimSun" w:hAnsi="SimSun" w:cs="SimSun"/>
          <w:spacing w:val="-3"/>
          <w:sz w:val="49"/>
          <w:szCs w:val="49"/>
        </w:rPr>
        <w:t>系、权益</w:t>
      </w:r>
    </w:p>
    <w:p>
      <w:pPr>
        <w:spacing w:line="221" w:lineRule="auto"/>
        <w:rPr>
          <w:rFonts w:ascii="SimSun" w:eastAsia="SimSun" w:hAnsi="SimSun" w:cs="SimSun"/>
          <w:sz w:val="49"/>
          <w:szCs w:val="49"/>
        </w:rPr>
        <w:sectPr>
          <w:footerReference w:type="default" r:id="rId11"/>
          <w:pgSz w:w="22849" w:h="31680"/>
          <w:pgMar w:top="2692" w:right="2207" w:bottom="400" w:left="2578" w:header="0" w:footer="0" w:gutter="0"/>
          <w:pgNumType w:start="10"/>
          <w:cols w:space="708"/>
        </w:sectPr>
      </w:pPr>
    </w:p>
    <w:p>
      <w:pPr>
        <w:spacing w:before="399" w:line="999" w:lineRule="exact"/>
        <w:rPr>
          <w:rFonts w:ascii="SimSun" w:eastAsia="SimSun" w:hAnsi="SimSun" w:cs="SimSun"/>
          <w:sz w:val="49"/>
          <w:szCs w:val="49"/>
        </w:rPr>
      </w:pPr>
      <w:r>
        <w:rPr>
          <w:rFonts w:ascii="SimSun" w:eastAsia="SimSun" w:hAnsi="SimSun" w:cs="SimSun"/>
          <w:spacing w:val="-4"/>
          <w:position w:val="38"/>
          <w:sz w:val="49"/>
          <w:szCs w:val="49"/>
        </w:rPr>
        <w:t>与收益之间的关系，计算出一系列的比率，从而分析企业资本结构是否合理健全。</w:t>
      </w:r>
    </w:p>
    <w:p>
      <w:pPr>
        <w:spacing w:line="221" w:lineRule="auto"/>
        <w:rPr>
          <w:rFonts w:ascii="SimSun" w:eastAsia="SimSun" w:hAnsi="SimSun" w:cs="SimSun"/>
          <w:sz w:val="49"/>
          <w:szCs w:val="49"/>
        </w:rPr>
      </w:pPr>
      <w:r>
        <w:rPr>
          <w:rFonts w:ascii="SimSun" w:eastAsia="SimSun" w:hAnsi="SimSun" w:cs="SimSun"/>
          <w:spacing w:val="-6"/>
          <w:sz w:val="49"/>
          <w:szCs w:val="49"/>
        </w:rPr>
        <w:t>主要的衡量指标有资产负债率、产权比率。</w:t>
      </w:r>
    </w:p>
    <w:p>
      <w:pPr>
        <w:spacing w:before="332" w:line="221" w:lineRule="auto"/>
        <w:rPr>
          <w:rFonts w:ascii="SimSun" w:eastAsia="SimSun" w:hAnsi="SimSun" w:cs="SimSun"/>
          <w:sz w:val="49"/>
          <w:szCs w:val="49"/>
        </w:rPr>
      </w:pPr>
      <w:hyperlink r:id="rId12" w:history="1">
        <w:r>
          <w:rPr>
            <w:rFonts w:ascii="SimSun" w:eastAsia="SimSun" w:hAnsi="SimSun" w:cs="SimSun"/>
            <w:spacing w:val="-3"/>
            <w:sz w:val="49"/>
            <w:szCs w:val="49"/>
          </w:rPr>
          <w:t>3.1.2.1</w:t>
        </w:r>
      </w:hyperlink>
      <w:r>
        <w:rPr>
          <w:rFonts w:ascii="SimSun" w:eastAsia="SimSun" w:hAnsi="SimSun" w:cs="SimSun"/>
          <w:spacing w:val="65"/>
          <w:sz w:val="49"/>
          <w:szCs w:val="49"/>
        </w:rPr>
        <w:t xml:space="preserve"> </w:t>
      </w:r>
      <w:r>
        <w:rPr>
          <w:rFonts w:ascii="SimSun" w:eastAsia="SimSun" w:hAnsi="SimSun" w:cs="SimSun"/>
          <w:spacing w:val="-3"/>
          <w:sz w:val="49"/>
          <w:szCs w:val="49"/>
        </w:rPr>
        <w:t>资产负债率</w:t>
      </w:r>
    </w:p>
    <w:p>
      <w:pPr>
        <w:spacing w:before="374" w:line="362" w:lineRule="auto"/>
        <w:ind w:right="172" w:firstLine="1315"/>
        <w:rPr>
          <w:rFonts w:ascii="SimSun" w:eastAsia="SimSun" w:hAnsi="SimSun" w:cs="SimSun"/>
          <w:sz w:val="49"/>
          <w:szCs w:val="49"/>
        </w:rPr>
      </w:pPr>
      <w:r>
        <w:rPr>
          <w:rFonts w:ascii="SimSun" w:eastAsia="SimSun" w:hAnsi="SimSun" w:cs="SimSun"/>
          <w:spacing w:val="-1"/>
          <w:sz w:val="49"/>
          <w:szCs w:val="49"/>
        </w:rPr>
        <w:t>资产负债率是指公司年末的负债总额同资产总额的比率。表示公司总资</w:t>
      </w:r>
      <w:r>
        <w:rPr>
          <w:rFonts w:ascii="SimSun" w:eastAsia="SimSun" w:hAnsi="SimSun" w:cs="SimSun"/>
          <w:spacing w:val="-2"/>
          <w:sz w:val="49"/>
          <w:szCs w:val="49"/>
        </w:rPr>
        <w:t>产中</w:t>
      </w:r>
      <w:r>
        <w:rPr>
          <w:rFonts w:ascii="SimSun" w:eastAsia="SimSun" w:hAnsi="SimSun" w:cs="SimSun"/>
          <w:sz w:val="49"/>
          <w:szCs w:val="49"/>
        </w:rPr>
        <w:t xml:space="preserve"> </w:t>
      </w:r>
      <w:r>
        <w:rPr>
          <w:rFonts w:ascii="SimSun" w:eastAsia="SimSun" w:hAnsi="SimSun" w:cs="SimSun"/>
          <w:spacing w:val="-3"/>
          <w:sz w:val="49"/>
          <w:szCs w:val="49"/>
        </w:rPr>
        <w:t>有多少是通过负债筹集的，该指标是评价公司负债水平的综合指标。同时也是一项</w:t>
      </w:r>
      <w:r>
        <w:rPr>
          <w:rFonts w:ascii="SimSun" w:eastAsia="SimSun" w:hAnsi="SimSun" w:cs="SimSun"/>
          <w:spacing w:val="10"/>
          <w:sz w:val="49"/>
          <w:szCs w:val="49"/>
        </w:rPr>
        <w:t xml:space="preserve"> </w:t>
      </w:r>
      <w:r>
        <w:rPr>
          <w:rFonts w:ascii="SimSun" w:eastAsia="SimSun" w:hAnsi="SimSun" w:cs="SimSun"/>
          <w:spacing w:val="-3"/>
          <w:sz w:val="49"/>
          <w:szCs w:val="49"/>
        </w:rPr>
        <w:t>衡量公司利用债权人资金进行经营活动能力的指标，也反映债权人发放贷款的安全</w:t>
      </w:r>
    </w:p>
    <w:p>
      <w:pPr>
        <w:spacing w:before="2" w:line="221" w:lineRule="auto"/>
        <w:rPr>
          <w:rFonts w:ascii="SimSun" w:eastAsia="SimSun" w:hAnsi="SimSun" w:cs="SimSun"/>
          <w:sz w:val="49"/>
          <w:szCs w:val="49"/>
        </w:rPr>
      </w:pPr>
      <w:r>
        <w:rPr>
          <w:rFonts w:ascii="SimSun" w:eastAsia="SimSun" w:hAnsi="SimSun" w:cs="SimSun"/>
          <w:spacing w:val="-10"/>
          <w:sz w:val="49"/>
          <w:szCs w:val="49"/>
        </w:rPr>
        <w:t>程度。</w:t>
      </w:r>
    </w:p>
    <w:p>
      <w:pPr>
        <w:spacing w:before="363" w:line="221" w:lineRule="auto"/>
        <w:ind w:left="1289"/>
        <w:rPr>
          <w:rFonts w:ascii="SimSun" w:eastAsia="SimSun" w:hAnsi="SimSun" w:cs="SimSun"/>
          <w:sz w:val="49"/>
          <w:szCs w:val="49"/>
        </w:rPr>
      </w:pPr>
      <w:r>
        <w:rPr>
          <w:rFonts w:ascii="SimSun" w:eastAsia="SimSun" w:hAnsi="SimSun" w:cs="SimSun"/>
          <w:spacing w:val="-1"/>
          <w:sz w:val="49"/>
          <w:szCs w:val="49"/>
        </w:rPr>
        <w:t>计算公式：资产负债率=负债总额/资产总额×100%</w:t>
      </w:r>
    </w:p>
    <w:p>
      <w:pPr>
        <w:spacing w:before="387" w:line="362" w:lineRule="auto"/>
        <w:ind w:right="95" w:firstLine="1112"/>
        <w:rPr>
          <w:rFonts w:ascii="SimSun" w:eastAsia="SimSun" w:hAnsi="SimSun" w:cs="SimSun"/>
          <w:sz w:val="49"/>
          <w:szCs w:val="49"/>
        </w:rPr>
      </w:pPr>
      <w:r>
        <w:rPr>
          <w:rFonts w:ascii="SimSun" w:eastAsia="SimSun" w:hAnsi="SimSun" w:cs="SimSun"/>
          <w:spacing w:val="-5"/>
          <w:sz w:val="49"/>
          <w:szCs w:val="49"/>
        </w:rPr>
        <w:t>负债总额指公司承担的各项负债的总和，包括流动负债和长期负债。资产总额</w:t>
      </w:r>
      <w:r>
        <w:rPr>
          <w:rFonts w:ascii="SimSun" w:eastAsia="SimSun" w:hAnsi="SimSun" w:cs="SimSun"/>
          <w:spacing w:val="17"/>
          <w:sz w:val="49"/>
          <w:szCs w:val="49"/>
        </w:rPr>
        <w:t xml:space="preserve"> </w:t>
      </w:r>
      <w:r>
        <w:rPr>
          <w:rFonts w:ascii="SimSun" w:eastAsia="SimSun" w:hAnsi="SimSun" w:cs="SimSun"/>
          <w:spacing w:val="-3"/>
          <w:sz w:val="49"/>
          <w:szCs w:val="49"/>
        </w:rPr>
        <w:t>指公司拥有的各项资产的总和，包括流动资产和长期资产。这个比率对于债权人来</w:t>
      </w:r>
      <w:r>
        <w:rPr>
          <w:rFonts w:ascii="SimSun" w:eastAsia="SimSun" w:hAnsi="SimSun" w:cs="SimSun"/>
          <w:spacing w:val="1"/>
          <w:sz w:val="49"/>
          <w:szCs w:val="49"/>
        </w:rPr>
        <w:t xml:space="preserve"> </w:t>
      </w:r>
      <w:r>
        <w:rPr>
          <w:rFonts w:ascii="SimSun" w:eastAsia="SimSun" w:hAnsi="SimSun" w:cs="SimSun"/>
          <w:spacing w:val="10"/>
          <w:sz w:val="49"/>
          <w:szCs w:val="49"/>
        </w:rPr>
        <w:t>说越低越好。因为公司的所有者(股东)一</w:t>
      </w:r>
      <w:r>
        <w:rPr>
          <w:rFonts w:ascii="SimSun" w:eastAsia="SimSun" w:hAnsi="SimSun" w:cs="SimSun"/>
          <w:spacing w:val="9"/>
          <w:sz w:val="49"/>
          <w:szCs w:val="49"/>
        </w:rPr>
        <w:t>般只承担有限责任，而一旦公司破产清</w:t>
      </w:r>
      <w:r>
        <w:rPr>
          <w:rFonts w:ascii="SimSun" w:eastAsia="SimSun" w:hAnsi="SimSun" w:cs="SimSun"/>
          <w:sz w:val="49"/>
          <w:szCs w:val="49"/>
        </w:rPr>
        <w:t xml:space="preserve"> </w:t>
      </w:r>
      <w:r>
        <w:rPr>
          <w:rFonts w:ascii="SimSun" w:eastAsia="SimSun" w:hAnsi="SimSun" w:cs="SimSun"/>
          <w:spacing w:val="-3"/>
          <w:sz w:val="49"/>
          <w:szCs w:val="49"/>
        </w:rPr>
        <w:t>算时，资产变现所得很可能低于其账面价值。所以如果此指标过高，债权人可能遭</w:t>
      </w:r>
      <w:r>
        <w:rPr>
          <w:rFonts w:ascii="SimSun" w:eastAsia="SimSun" w:hAnsi="SimSun" w:cs="SimSun"/>
          <w:sz w:val="49"/>
          <w:szCs w:val="49"/>
        </w:rPr>
        <w:t xml:space="preserve"> </w:t>
      </w:r>
      <w:r>
        <w:rPr>
          <w:rFonts w:ascii="SimSun" w:eastAsia="SimSun" w:hAnsi="SimSun" w:cs="SimSun"/>
          <w:spacing w:val="5"/>
          <w:sz w:val="49"/>
          <w:szCs w:val="49"/>
        </w:rPr>
        <w:t>受损失。当资产负债率大于100%,表明公司已经资不抵债，对于</w:t>
      </w:r>
      <w:r>
        <w:rPr>
          <w:rFonts w:ascii="SimSun" w:eastAsia="SimSun" w:hAnsi="SimSun" w:cs="SimSun"/>
          <w:spacing w:val="4"/>
          <w:sz w:val="49"/>
          <w:szCs w:val="49"/>
        </w:rPr>
        <w:t>债权人来说风险非</w:t>
      </w:r>
    </w:p>
    <w:p>
      <w:pPr>
        <w:spacing w:before="2" w:line="221" w:lineRule="auto"/>
        <w:rPr>
          <w:rFonts w:ascii="SimSun" w:eastAsia="SimSun" w:hAnsi="SimSun" w:cs="SimSun"/>
          <w:sz w:val="49"/>
          <w:szCs w:val="49"/>
        </w:rPr>
      </w:pPr>
      <w:r>
        <w:rPr>
          <w:rFonts w:ascii="SimSun" w:eastAsia="SimSun" w:hAnsi="SimSun" w:cs="SimSun"/>
          <w:spacing w:val="-10"/>
          <w:sz w:val="49"/>
          <w:szCs w:val="49"/>
        </w:rPr>
        <w:t>常大。</w:t>
      </w:r>
    </w:p>
    <w:p>
      <w:pPr>
        <w:spacing w:before="350" w:line="361" w:lineRule="auto"/>
        <w:ind w:right="160" w:firstLine="1050"/>
        <w:rPr>
          <w:rFonts w:ascii="SimSun" w:eastAsia="SimSun" w:hAnsi="SimSun" w:cs="SimSun"/>
          <w:sz w:val="49"/>
          <w:szCs w:val="49"/>
        </w:rPr>
      </w:pPr>
      <w:r>
        <w:rPr>
          <w:rFonts w:ascii="SimSun" w:eastAsia="SimSun" w:hAnsi="SimSun" w:cs="SimSun"/>
          <w:spacing w:val="19"/>
          <w:sz w:val="49"/>
          <w:szCs w:val="49"/>
        </w:rPr>
        <w:t>由表2可以得到，山东海化2008年的资产负债率0.5,2009年</w:t>
      </w:r>
      <w:r>
        <w:rPr>
          <w:rFonts w:ascii="SimSun" w:eastAsia="SimSun" w:hAnsi="SimSun" w:cs="SimSun"/>
          <w:spacing w:val="18"/>
          <w:sz w:val="49"/>
          <w:szCs w:val="49"/>
        </w:rPr>
        <w:t>资产负债率是</w:t>
      </w:r>
      <w:r>
        <w:rPr>
          <w:rFonts w:ascii="SimSun" w:eastAsia="SimSun" w:hAnsi="SimSun" w:cs="SimSun"/>
          <w:sz w:val="49"/>
          <w:szCs w:val="49"/>
        </w:rPr>
        <w:t xml:space="preserve">  </w:t>
      </w:r>
      <w:r>
        <w:rPr>
          <w:rFonts w:ascii="SimSun" w:eastAsia="SimSun" w:hAnsi="SimSun" w:cs="SimSun"/>
          <w:spacing w:val="9"/>
          <w:sz w:val="49"/>
          <w:szCs w:val="49"/>
        </w:rPr>
        <w:t xml:space="preserve">0.55,2010年的资产负债率0.5,,三年的资产负债率先升后降，2009年的偿债能力 </w:t>
      </w:r>
      <w:r>
        <w:rPr>
          <w:rFonts w:ascii="SimSun" w:eastAsia="SimSun" w:hAnsi="SimSun" w:cs="SimSun"/>
          <w:spacing w:val="16"/>
          <w:sz w:val="49"/>
          <w:szCs w:val="49"/>
        </w:rPr>
        <w:t>最弱，行业的资产负债率0.6左右比较合适，并且三年指标都小</w:t>
      </w:r>
      <w:r>
        <w:rPr>
          <w:rFonts w:ascii="SimSun" w:eastAsia="SimSun" w:hAnsi="SimSun" w:cs="SimSun"/>
          <w:spacing w:val="15"/>
          <w:sz w:val="49"/>
          <w:szCs w:val="49"/>
        </w:rPr>
        <w:t>于1,偿债能力较</w:t>
      </w:r>
    </w:p>
    <w:p>
      <w:pPr>
        <w:spacing w:line="221" w:lineRule="auto"/>
        <w:rPr>
          <w:rFonts w:ascii="SimSun" w:eastAsia="SimSun" w:hAnsi="SimSun" w:cs="SimSun"/>
          <w:sz w:val="49"/>
          <w:szCs w:val="49"/>
        </w:rPr>
      </w:pPr>
      <w:r>
        <w:rPr>
          <w:rFonts w:ascii="SimSun" w:eastAsia="SimSun" w:hAnsi="SimSun" w:cs="SimSun"/>
          <w:spacing w:val="-5"/>
          <w:sz w:val="49"/>
          <w:szCs w:val="49"/>
        </w:rPr>
        <w:t>好。</w:t>
      </w:r>
    </w:p>
    <w:p>
      <w:pPr>
        <w:spacing w:before="376" w:line="221" w:lineRule="auto"/>
        <w:rPr>
          <w:rFonts w:ascii="SimSun" w:eastAsia="SimSun" w:hAnsi="SimSun" w:cs="SimSun"/>
          <w:sz w:val="49"/>
          <w:szCs w:val="49"/>
        </w:rPr>
      </w:pPr>
      <w:hyperlink r:id="rId13" w:history="1">
        <w:r>
          <w:rPr>
            <w:rFonts w:ascii="SimSun" w:eastAsia="SimSun" w:hAnsi="SimSun" w:cs="SimSun"/>
            <w:spacing w:val="-2"/>
            <w:sz w:val="49"/>
            <w:szCs w:val="49"/>
          </w:rPr>
          <w:t>3.1.2.2</w:t>
        </w:r>
      </w:hyperlink>
      <w:r>
        <w:rPr>
          <w:rFonts w:ascii="SimSun" w:eastAsia="SimSun" w:hAnsi="SimSun" w:cs="SimSun"/>
          <w:spacing w:val="-2"/>
          <w:sz w:val="49"/>
          <w:szCs w:val="49"/>
        </w:rPr>
        <w:t xml:space="preserve"> 产权比率</w:t>
      </w:r>
    </w:p>
    <w:p>
      <w:pPr>
        <w:spacing w:before="329" w:line="985" w:lineRule="exact"/>
        <w:rPr>
          <w:rFonts w:ascii="SimSun" w:eastAsia="SimSun" w:hAnsi="SimSun" w:cs="SimSun"/>
          <w:sz w:val="49"/>
          <w:szCs w:val="49"/>
        </w:rPr>
      </w:pPr>
      <w:r>
        <w:rPr>
          <w:rFonts w:ascii="SimSun" w:eastAsia="SimSun" w:hAnsi="SimSun" w:cs="SimSun"/>
          <w:spacing w:val="-3"/>
          <w:position w:val="37"/>
          <w:sz w:val="49"/>
          <w:szCs w:val="49"/>
        </w:rPr>
        <w:t>产权比率是负债总额与所有者权益总额的比率，是为评估资金结构合理性的一种指</w:t>
      </w:r>
    </w:p>
    <w:p>
      <w:pPr>
        <w:spacing w:before="2" w:line="221" w:lineRule="auto"/>
        <w:rPr>
          <w:rFonts w:ascii="SimSun" w:eastAsia="SimSun" w:hAnsi="SimSun" w:cs="SimSun"/>
          <w:sz w:val="49"/>
          <w:szCs w:val="49"/>
        </w:rPr>
      </w:pPr>
      <w:r>
        <w:rPr>
          <w:rFonts w:ascii="SimSun" w:eastAsia="SimSun" w:hAnsi="SimSun" w:cs="SimSun"/>
          <w:spacing w:val="-5"/>
          <w:sz w:val="49"/>
          <w:szCs w:val="49"/>
        </w:rPr>
        <w:t>标。</w:t>
      </w:r>
    </w:p>
    <w:p>
      <w:pPr>
        <w:spacing w:before="346" w:line="221" w:lineRule="auto"/>
        <w:rPr>
          <w:rFonts w:ascii="SimSun" w:eastAsia="SimSun" w:hAnsi="SimSun" w:cs="SimSun"/>
          <w:sz w:val="49"/>
          <w:szCs w:val="49"/>
        </w:rPr>
      </w:pPr>
      <w:r>
        <w:rPr>
          <w:rFonts w:ascii="SimSun" w:eastAsia="SimSun" w:hAnsi="SimSun" w:cs="SimSun"/>
          <w:spacing w:val="17"/>
          <w:sz w:val="49"/>
          <w:szCs w:val="49"/>
        </w:rPr>
        <w:t>计算公式：产权比率=(负债/所有者权益)×100%</w:t>
      </w:r>
    </w:p>
    <w:p>
      <w:pPr>
        <w:spacing w:before="375" w:line="361" w:lineRule="auto"/>
        <w:ind w:right="180"/>
        <w:rPr>
          <w:rFonts w:ascii="SimSun" w:eastAsia="SimSun" w:hAnsi="SimSun" w:cs="SimSun"/>
          <w:sz w:val="49"/>
          <w:szCs w:val="49"/>
        </w:rPr>
      </w:pPr>
      <w:r>
        <w:rPr>
          <w:rFonts w:ascii="SimSun" w:eastAsia="SimSun" w:hAnsi="SimSun" w:cs="SimSun"/>
          <w:spacing w:val="-3"/>
          <w:sz w:val="49"/>
          <w:szCs w:val="49"/>
        </w:rPr>
        <w:t>一般来说，产权比率可反映股东所持股权是否过多，或者是尚不够充分等情况，从</w:t>
      </w:r>
      <w:r>
        <w:rPr>
          <w:rFonts w:ascii="SimSun" w:eastAsia="SimSun" w:hAnsi="SimSun" w:cs="SimSun"/>
          <w:sz w:val="49"/>
          <w:szCs w:val="49"/>
        </w:rPr>
        <w:t xml:space="preserve"> </w:t>
      </w:r>
      <w:r>
        <w:rPr>
          <w:rFonts w:ascii="SimSun" w:eastAsia="SimSun" w:hAnsi="SimSun" w:cs="SimSun"/>
          <w:spacing w:val="-4"/>
          <w:sz w:val="49"/>
          <w:szCs w:val="49"/>
        </w:rPr>
        <w:t>另一个侧面表明企业借款经营的程度。这一比率是衡量企业长</w:t>
      </w:r>
      <w:r>
        <w:rPr>
          <w:rFonts w:ascii="SimSun" w:eastAsia="SimSun" w:hAnsi="SimSun" w:cs="SimSun"/>
          <w:spacing w:val="-5"/>
          <w:sz w:val="49"/>
          <w:szCs w:val="49"/>
        </w:rPr>
        <w:t>期偿债能力的指标之</w:t>
      </w:r>
      <w:r>
        <w:rPr>
          <w:rFonts w:ascii="SimSun" w:eastAsia="SimSun" w:hAnsi="SimSun" w:cs="SimSun"/>
          <w:sz w:val="49"/>
          <w:szCs w:val="49"/>
        </w:rPr>
        <w:t xml:space="preserve"> </w:t>
      </w:r>
      <w:r>
        <w:rPr>
          <w:rFonts w:ascii="SimSun" w:eastAsia="SimSun" w:hAnsi="SimSun" w:cs="SimSun"/>
          <w:spacing w:val="-5"/>
          <w:sz w:val="49"/>
          <w:szCs w:val="49"/>
        </w:rPr>
        <w:t>一。它是企业财务结构稳健与否的重要标志。该指标表明由债权人提供的和由投资</w:t>
      </w:r>
      <w:r>
        <w:rPr>
          <w:rFonts w:ascii="SimSun" w:eastAsia="SimSun" w:hAnsi="SimSun" w:cs="SimSun"/>
          <w:spacing w:val="8"/>
          <w:sz w:val="49"/>
          <w:szCs w:val="49"/>
        </w:rPr>
        <w:t xml:space="preserve"> </w:t>
      </w:r>
      <w:r>
        <w:rPr>
          <w:rFonts w:ascii="SimSun" w:eastAsia="SimSun" w:hAnsi="SimSun" w:cs="SimSun"/>
          <w:spacing w:val="-3"/>
          <w:sz w:val="49"/>
          <w:szCs w:val="49"/>
        </w:rPr>
        <w:t>者提供的资金来源的相对关系，反映企业基本财务结构是否稳定。产权比率越低表</w:t>
      </w:r>
    </w:p>
    <w:p>
      <w:pPr>
        <w:spacing w:before="1" w:line="220" w:lineRule="auto"/>
        <w:jc w:val="right"/>
        <w:rPr>
          <w:rFonts w:ascii="SimSun" w:eastAsia="SimSun" w:hAnsi="SimSun" w:cs="SimSun"/>
          <w:sz w:val="49"/>
          <w:szCs w:val="49"/>
        </w:rPr>
      </w:pPr>
      <w:r>
        <w:rPr>
          <w:rFonts w:ascii="SimSun" w:eastAsia="SimSun" w:hAnsi="SimSun" w:cs="SimSun"/>
          <w:spacing w:val="-11"/>
          <w:sz w:val="49"/>
          <w:szCs w:val="49"/>
        </w:rPr>
        <w:t>明企业自有资本占总资产的比重越大，从而其资产结构越合理</w:t>
      </w:r>
      <w:r>
        <w:rPr>
          <w:rFonts w:ascii="SimSun" w:eastAsia="SimSun" w:hAnsi="SimSun" w:cs="SimSun"/>
          <w:spacing w:val="-12"/>
          <w:sz w:val="49"/>
          <w:szCs w:val="49"/>
        </w:rPr>
        <w:t>，长期偿债能力越强。</w:t>
      </w:r>
    </w:p>
    <w:p>
      <w:pPr>
        <w:spacing w:line="220" w:lineRule="auto"/>
        <w:rPr>
          <w:rFonts w:ascii="SimSun" w:eastAsia="SimSun" w:hAnsi="SimSun" w:cs="SimSun"/>
          <w:sz w:val="49"/>
          <w:szCs w:val="49"/>
        </w:rPr>
        <w:sectPr>
          <w:footerReference w:type="default" r:id="rId14"/>
          <w:pgSz w:w="22849" w:h="31680"/>
          <w:pgMar w:top="2692" w:right="2278" w:bottom="400" w:left="2852" w:header="0" w:footer="0" w:gutter="0"/>
          <w:pgNumType w:start="11"/>
          <w:cols w:space="708"/>
        </w:sectPr>
      </w:pPr>
    </w:p>
    <w:p>
      <w:pPr>
        <w:spacing w:line="252" w:lineRule="auto"/>
        <w:rPr>
          <w:rFonts w:ascii="Arial"/>
          <w:sz w:val="21"/>
        </w:rPr>
      </w:pPr>
    </w:p>
    <w:p>
      <w:pPr>
        <w:spacing w:before="159" w:line="362" w:lineRule="auto"/>
        <w:ind w:left="318" w:right="17" w:firstLine="1245"/>
        <w:rPr>
          <w:rFonts w:ascii="SimSun" w:eastAsia="SimSun" w:hAnsi="SimSun" w:cs="SimSun"/>
          <w:sz w:val="49"/>
          <w:szCs w:val="49"/>
        </w:rPr>
      </w:pPr>
      <w:r>
        <w:rPr>
          <w:rFonts w:ascii="SimSun" w:eastAsia="SimSun" w:hAnsi="SimSun" w:cs="SimSun"/>
          <w:spacing w:val="2"/>
          <w:sz w:val="49"/>
          <w:szCs w:val="49"/>
        </w:rPr>
        <w:t>产权比率不仅反映了由债务人提供的资本与所有者提供的资本的相对关系，</w:t>
      </w:r>
      <w:r>
        <w:rPr>
          <w:rFonts w:ascii="SimSun" w:eastAsia="SimSun" w:hAnsi="SimSun" w:cs="SimSun"/>
          <w:spacing w:val="11"/>
          <w:sz w:val="49"/>
          <w:szCs w:val="49"/>
        </w:rPr>
        <w:t xml:space="preserve"> </w:t>
      </w:r>
      <w:r>
        <w:rPr>
          <w:rFonts w:ascii="SimSun" w:eastAsia="SimSun" w:hAnsi="SimSun" w:cs="SimSun"/>
          <w:spacing w:val="-4"/>
          <w:sz w:val="49"/>
          <w:szCs w:val="49"/>
        </w:rPr>
        <w:t>而且反映了企业自有资金偿还全部债务的能力，因此它又是衡量企业负债经营是否</w:t>
      </w:r>
      <w:r>
        <w:rPr>
          <w:rFonts w:ascii="SimSun" w:eastAsia="SimSun" w:hAnsi="SimSun" w:cs="SimSun"/>
          <w:spacing w:val="8"/>
          <w:sz w:val="49"/>
          <w:szCs w:val="49"/>
        </w:rPr>
        <w:t xml:space="preserve"> </w:t>
      </w:r>
      <w:r>
        <w:rPr>
          <w:rFonts w:ascii="SimSun" w:eastAsia="SimSun" w:hAnsi="SimSun" w:cs="SimSun"/>
          <w:spacing w:val="-12"/>
          <w:sz w:val="49"/>
          <w:szCs w:val="49"/>
        </w:rPr>
        <w:t>安全有利的重要指标。</w:t>
      </w:r>
      <w:r>
        <w:rPr>
          <w:rFonts w:ascii="SimSun" w:eastAsia="SimSun" w:hAnsi="SimSun" w:cs="SimSun"/>
          <w:spacing w:val="112"/>
          <w:sz w:val="49"/>
          <w:szCs w:val="49"/>
        </w:rPr>
        <w:t xml:space="preserve"> </w:t>
      </w:r>
      <w:r>
        <w:rPr>
          <w:rFonts w:ascii="SimSun" w:eastAsia="SimSun" w:hAnsi="SimSun" w:cs="SimSun"/>
          <w:spacing w:val="-12"/>
          <w:sz w:val="49"/>
          <w:szCs w:val="49"/>
        </w:rPr>
        <w:t>一般来说，这一比率越低，表明企业长期偿债能力越强，债</w:t>
      </w:r>
      <w:r>
        <w:rPr>
          <w:rFonts w:ascii="SimSun" w:eastAsia="SimSun" w:hAnsi="SimSun" w:cs="SimSun"/>
          <w:sz w:val="49"/>
          <w:szCs w:val="49"/>
        </w:rPr>
        <w:t xml:space="preserve"> </w:t>
      </w:r>
      <w:r>
        <w:rPr>
          <w:rFonts w:ascii="SimSun" w:eastAsia="SimSun" w:hAnsi="SimSun" w:cs="SimSun"/>
          <w:spacing w:val="12"/>
          <w:sz w:val="49"/>
          <w:szCs w:val="49"/>
        </w:rPr>
        <w:t>权人权益保障程度越高，承担的风险越小，</w:t>
      </w:r>
      <w:r>
        <w:rPr>
          <w:rFonts w:ascii="SimSun" w:eastAsia="SimSun" w:hAnsi="SimSun" w:cs="SimSun"/>
          <w:spacing w:val="159"/>
          <w:sz w:val="49"/>
          <w:szCs w:val="49"/>
        </w:rPr>
        <w:t xml:space="preserve"> </w:t>
      </w:r>
      <w:r>
        <w:rPr>
          <w:rFonts w:ascii="SimSun" w:eastAsia="SimSun" w:hAnsi="SimSun" w:cs="SimSun"/>
          <w:spacing w:val="12"/>
          <w:sz w:val="49"/>
          <w:szCs w:val="49"/>
        </w:rPr>
        <w:t>一般认为这一比率为1:1</w:t>
      </w:r>
      <w:r>
        <w:rPr>
          <w:rFonts w:ascii="SimSun" w:eastAsia="SimSun" w:hAnsi="SimSun" w:cs="SimSun"/>
          <w:spacing w:val="11"/>
          <w:sz w:val="49"/>
          <w:szCs w:val="49"/>
        </w:rPr>
        <w:t>,即100%以</w:t>
      </w:r>
      <w:r>
        <w:rPr>
          <w:rFonts w:ascii="SimSun" w:eastAsia="SimSun" w:hAnsi="SimSun" w:cs="SimSun"/>
          <w:sz w:val="49"/>
          <w:szCs w:val="49"/>
        </w:rPr>
        <w:t xml:space="preserve"> </w:t>
      </w:r>
      <w:r>
        <w:rPr>
          <w:rFonts w:ascii="SimSun" w:eastAsia="SimSun" w:hAnsi="SimSun" w:cs="SimSun"/>
          <w:spacing w:val="-4"/>
          <w:sz w:val="49"/>
          <w:szCs w:val="49"/>
        </w:rPr>
        <w:t>下时，应该是有偿债能力的，但还应该结合企业的具体情况加以分析。当企业的资</w:t>
      </w:r>
      <w:r>
        <w:rPr>
          <w:rFonts w:ascii="SimSun" w:eastAsia="SimSun" w:hAnsi="SimSun" w:cs="SimSun"/>
          <w:spacing w:val="8"/>
          <w:sz w:val="49"/>
          <w:szCs w:val="49"/>
        </w:rPr>
        <w:t xml:space="preserve"> </w:t>
      </w:r>
      <w:r>
        <w:rPr>
          <w:rFonts w:ascii="SimSun" w:eastAsia="SimSun" w:hAnsi="SimSun" w:cs="SimSun"/>
          <w:spacing w:val="-3"/>
          <w:sz w:val="49"/>
          <w:szCs w:val="49"/>
        </w:rPr>
        <w:t>产收益率大于负债成本率时，负债经营有利于提高资金收益率，获得额外的利润，</w:t>
      </w:r>
      <w:r>
        <w:rPr>
          <w:rFonts w:ascii="SimSun" w:eastAsia="SimSun" w:hAnsi="SimSun" w:cs="SimSun"/>
          <w:spacing w:val="4"/>
          <w:sz w:val="49"/>
          <w:szCs w:val="49"/>
        </w:rPr>
        <w:t xml:space="preserve"> </w:t>
      </w:r>
      <w:r>
        <w:rPr>
          <w:rFonts w:ascii="SimSun" w:eastAsia="SimSun" w:hAnsi="SimSun" w:cs="SimSun"/>
          <w:spacing w:val="-4"/>
          <w:sz w:val="49"/>
          <w:szCs w:val="49"/>
        </w:rPr>
        <w:t>这时的产权比率可适当高些。产权比率高，是高风险、高报酬的财务结构；产权比</w:t>
      </w:r>
    </w:p>
    <w:p>
      <w:pPr>
        <w:spacing w:line="221" w:lineRule="auto"/>
        <w:ind w:left="318"/>
        <w:rPr>
          <w:rFonts w:ascii="SimSun" w:eastAsia="SimSun" w:hAnsi="SimSun" w:cs="SimSun"/>
          <w:sz w:val="49"/>
          <w:szCs w:val="49"/>
        </w:rPr>
      </w:pPr>
      <w:r>
        <w:rPr>
          <w:rFonts w:ascii="SimSun" w:eastAsia="SimSun" w:hAnsi="SimSun" w:cs="SimSun"/>
          <w:spacing w:val="-7"/>
          <w:sz w:val="49"/>
          <w:szCs w:val="49"/>
        </w:rPr>
        <w:t>率低，是低风险、低报酬的财务结构。</w:t>
      </w:r>
    </w:p>
    <w:p>
      <w:pPr>
        <w:spacing w:before="362" w:line="355" w:lineRule="auto"/>
        <w:ind w:left="318" w:right="16" w:firstLine="1245"/>
        <w:rPr>
          <w:rFonts w:ascii="SimSun" w:eastAsia="SimSun" w:hAnsi="SimSun" w:cs="SimSun"/>
          <w:sz w:val="49"/>
          <w:szCs w:val="49"/>
        </w:rPr>
      </w:pPr>
      <w:r>
        <w:rPr>
          <w:rFonts w:ascii="SimSun" w:eastAsia="SimSun" w:hAnsi="SimSun" w:cs="SimSun"/>
          <w:spacing w:val="13"/>
          <w:sz w:val="49"/>
          <w:szCs w:val="49"/>
        </w:rPr>
        <w:t>由</w:t>
      </w:r>
      <w:r>
        <w:rPr>
          <w:rFonts w:ascii="SimSun" w:eastAsia="SimSun" w:hAnsi="SimSun" w:cs="SimSun"/>
          <w:spacing w:val="-98"/>
          <w:sz w:val="49"/>
          <w:szCs w:val="49"/>
        </w:rPr>
        <w:t xml:space="preserve"> </w:t>
      </w:r>
      <w:r>
        <w:rPr>
          <w:rFonts w:ascii="SimSun" w:eastAsia="SimSun" w:hAnsi="SimSun" w:cs="SimSun"/>
          <w:spacing w:val="13"/>
          <w:sz w:val="49"/>
          <w:szCs w:val="49"/>
        </w:rPr>
        <w:t>表</w:t>
      </w:r>
      <w:r>
        <w:rPr>
          <w:rFonts w:ascii="SimSun" w:eastAsia="SimSun" w:hAnsi="SimSun" w:cs="SimSun"/>
          <w:spacing w:val="-89"/>
          <w:sz w:val="49"/>
          <w:szCs w:val="49"/>
        </w:rPr>
        <w:t xml:space="preserve"> </w:t>
      </w:r>
      <w:r>
        <w:rPr>
          <w:rFonts w:ascii="SimSun" w:eastAsia="SimSun" w:hAnsi="SimSun" w:cs="SimSun"/>
          <w:spacing w:val="13"/>
          <w:sz w:val="49"/>
          <w:szCs w:val="49"/>
        </w:rPr>
        <w:t>2 可以得到，山东海化2008 年的产权比率0.99</w:t>
      </w:r>
      <w:r>
        <w:rPr>
          <w:rFonts w:ascii="SimSun" w:eastAsia="SimSun" w:hAnsi="SimSun" w:cs="SimSun"/>
          <w:spacing w:val="12"/>
          <w:sz w:val="49"/>
          <w:szCs w:val="49"/>
        </w:rPr>
        <w:t>,2009 年的产权比率</w:t>
      </w:r>
      <w:r>
        <w:rPr>
          <w:rFonts w:ascii="SimSun" w:eastAsia="SimSun" w:hAnsi="SimSun" w:cs="SimSun"/>
          <w:sz w:val="49"/>
          <w:szCs w:val="49"/>
        </w:rPr>
        <w:t xml:space="preserve"> </w:t>
      </w:r>
      <w:r>
        <w:rPr>
          <w:rFonts w:ascii="SimSun" w:eastAsia="SimSun" w:hAnsi="SimSun" w:cs="SimSun"/>
          <w:spacing w:val="10"/>
          <w:sz w:val="49"/>
          <w:szCs w:val="49"/>
        </w:rPr>
        <w:t>1.21,2010年的产权比率0.99,</w:t>
      </w:r>
      <w:r>
        <w:rPr>
          <w:rFonts w:ascii="SimSun" w:eastAsia="SimSun" w:hAnsi="SimSun" w:cs="SimSun"/>
          <w:spacing w:val="9"/>
          <w:sz w:val="49"/>
          <w:szCs w:val="49"/>
        </w:rPr>
        <w:t>三年的产权比率先升后降，2009年最高，公司偿债</w:t>
      </w:r>
    </w:p>
    <w:p>
      <w:pPr>
        <w:spacing w:line="220" w:lineRule="auto"/>
        <w:ind w:left="318"/>
        <w:rPr>
          <w:rFonts w:ascii="SimSun" w:eastAsia="SimSun" w:hAnsi="SimSun" w:cs="SimSun"/>
          <w:sz w:val="49"/>
          <w:szCs w:val="49"/>
        </w:rPr>
      </w:pPr>
      <w:r>
        <w:rPr>
          <w:rFonts w:ascii="SimSun" w:eastAsia="SimSun" w:hAnsi="SimSun" w:cs="SimSun"/>
          <w:spacing w:val="-10"/>
          <w:sz w:val="49"/>
          <w:szCs w:val="49"/>
        </w:rPr>
        <w:t>能力基本可以。</w:t>
      </w:r>
    </w:p>
    <w:p>
      <w:pPr>
        <w:spacing w:before="364" w:line="221" w:lineRule="auto"/>
        <w:ind w:left="1570"/>
        <w:rPr>
          <w:rFonts w:ascii="SimSun" w:eastAsia="SimSun" w:hAnsi="SimSun" w:cs="SimSun"/>
          <w:sz w:val="49"/>
          <w:szCs w:val="49"/>
        </w:rPr>
      </w:pPr>
      <w:r>
        <w:rPr>
          <w:rFonts w:ascii="SimSun" w:eastAsia="SimSun" w:hAnsi="SimSun" w:cs="SimSun"/>
          <w:b/>
          <w:bCs/>
          <w:spacing w:val="24"/>
          <w:sz w:val="49"/>
          <w:szCs w:val="49"/>
        </w:rPr>
        <w:t>表</w:t>
      </w:r>
      <w:r>
        <w:rPr>
          <w:rFonts w:ascii="SimSun" w:eastAsia="SimSun" w:hAnsi="SimSun" w:cs="SimSun"/>
          <w:spacing w:val="-39"/>
          <w:sz w:val="49"/>
          <w:szCs w:val="49"/>
        </w:rPr>
        <w:t xml:space="preserve"> </w:t>
      </w:r>
      <w:r>
        <w:rPr>
          <w:rFonts w:ascii="SimSun" w:eastAsia="SimSun" w:hAnsi="SimSun" w:cs="SimSun"/>
          <w:b/>
          <w:bCs/>
          <w:spacing w:val="24"/>
          <w:sz w:val="49"/>
          <w:szCs w:val="49"/>
        </w:rPr>
        <w:t>2</w:t>
      </w:r>
      <w:r>
        <w:rPr>
          <w:rFonts w:ascii="SimSun" w:eastAsia="SimSun" w:hAnsi="SimSun" w:cs="SimSun"/>
          <w:spacing w:val="24"/>
          <w:sz w:val="49"/>
          <w:szCs w:val="49"/>
        </w:rPr>
        <w:t xml:space="preserve">  </w:t>
      </w:r>
      <w:r>
        <w:rPr>
          <w:rFonts w:ascii="SimSun" w:eastAsia="SimSun" w:hAnsi="SimSun" w:cs="SimSun"/>
          <w:b/>
          <w:bCs/>
          <w:spacing w:val="24"/>
          <w:sz w:val="49"/>
          <w:szCs w:val="49"/>
        </w:rPr>
        <w:t>山东海化股份有限公司2008-2010长期偿债能力指标</w:t>
      </w:r>
    </w:p>
    <w:p>
      <w:pPr>
        <w:spacing w:line="84" w:lineRule="exact"/>
      </w:pPr>
    </w:p>
    <w:tbl>
      <w:tblPr>
        <w:tblStyle w:val="TableNormal1"/>
        <w:tblW w:w="17557" w:type="dxa"/>
        <w:tblInd w:w="0" w:type="dxa"/>
        <w:tblBorders>
          <w:top w:val="nil"/>
          <w:left w:val="nil"/>
          <w:bottom w:val="nil"/>
          <w:right w:val="nil"/>
          <w:insideH w:val="nil"/>
          <w:insideV w:val="nil"/>
        </w:tblBorders>
        <w:tblLayout w:type="fixed"/>
      </w:tblPr>
      <w:tblGrid>
        <w:gridCol w:w="4504"/>
        <w:gridCol w:w="4307"/>
        <w:gridCol w:w="4353"/>
        <w:gridCol w:w="4393"/>
      </w:tblGrid>
      <w:tr>
        <w:tblPrEx>
          <w:tblW w:w="17557" w:type="dxa"/>
          <w:tblInd w:w="0" w:type="dxa"/>
          <w:tblBorders>
            <w:top w:val="nil"/>
            <w:left w:val="nil"/>
            <w:bottom w:val="nil"/>
            <w:right w:val="nil"/>
            <w:insideH w:val="nil"/>
            <w:insideV w:val="nil"/>
          </w:tblBorders>
          <w:tblLayout w:type="fixed"/>
        </w:tblPrEx>
        <w:trPr>
          <w:trHeight w:val="1023"/>
        </w:trPr>
        <w:tc>
          <w:tcPr>
            <w:tcW w:w="4504" w:type="dxa"/>
            <w:tcBorders>
              <w:top w:val="single" w:sz="2" w:space="0" w:color="000000"/>
              <w:bottom w:val="single" w:sz="2" w:space="0" w:color="000000"/>
            </w:tcBorders>
            <w:vAlign w:val="top"/>
          </w:tcPr>
          <w:p>
            <w:pPr>
              <w:spacing w:line="276" w:lineRule="auto"/>
              <w:rPr>
                <w:rFonts w:ascii="Arial"/>
                <w:sz w:val="21"/>
              </w:rPr>
            </w:pPr>
          </w:p>
          <w:p>
            <w:pPr>
              <w:pStyle w:val="TableText"/>
              <w:spacing w:before="133" w:line="220" w:lineRule="auto"/>
              <w:ind w:left="1210"/>
            </w:pPr>
            <w:r>
              <w:rPr>
                <w:spacing w:val="19"/>
              </w:rPr>
              <w:t>报告期(年)</w:t>
            </w:r>
          </w:p>
        </w:tc>
        <w:tc>
          <w:tcPr>
            <w:tcW w:w="4307" w:type="dxa"/>
            <w:tcBorders>
              <w:top w:val="single" w:sz="2" w:space="0" w:color="000000"/>
              <w:bottom w:val="single" w:sz="2" w:space="0" w:color="000000"/>
            </w:tcBorders>
            <w:vAlign w:val="top"/>
          </w:tcPr>
          <w:p>
            <w:pPr>
              <w:spacing w:line="402" w:lineRule="auto"/>
              <w:rPr>
                <w:rFonts w:ascii="Arial"/>
                <w:sz w:val="21"/>
              </w:rPr>
            </w:pPr>
          </w:p>
          <w:p>
            <w:pPr>
              <w:pStyle w:val="TableText"/>
              <w:spacing w:before="133" w:line="185" w:lineRule="auto"/>
              <w:ind w:left="1740"/>
            </w:pPr>
            <w:r>
              <w:rPr>
                <w:spacing w:val="-3"/>
              </w:rPr>
              <w:t>2008</w:t>
            </w:r>
          </w:p>
        </w:tc>
        <w:tc>
          <w:tcPr>
            <w:tcW w:w="4353" w:type="dxa"/>
            <w:tcBorders>
              <w:top w:val="single" w:sz="2" w:space="0" w:color="000000"/>
              <w:bottom w:val="single" w:sz="2" w:space="0" w:color="000000"/>
            </w:tcBorders>
            <w:vAlign w:val="top"/>
          </w:tcPr>
          <w:p>
            <w:pPr>
              <w:spacing w:line="402" w:lineRule="auto"/>
              <w:rPr>
                <w:rFonts w:ascii="Arial"/>
                <w:sz w:val="21"/>
              </w:rPr>
            </w:pPr>
          </w:p>
          <w:p>
            <w:pPr>
              <w:pStyle w:val="TableText"/>
              <w:spacing w:before="133" w:line="185" w:lineRule="auto"/>
              <w:ind w:left="1778"/>
            </w:pPr>
            <w:r>
              <w:rPr>
                <w:spacing w:val="-3"/>
              </w:rPr>
              <w:t>2009</w:t>
            </w:r>
          </w:p>
        </w:tc>
        <w:tc>
          <w:tcPr>
            <w:tcW w:w="4393" w:type="dxa"/>
            <w:tcBorders>
              <w:top w:val="single" w:sz="2" w:space="0" w:color="000000"/>
              <w:bottom w:val="single" w:sz="2" w:space="0" w:color="000000"/>
            </w:tcBorders>
            <w:vAlign w:val="top"/>
          </w:tcPr>
          <w:p>
            <w:pPr>
              <w:spacing w:line="402" w:lineRule="auto"/>
              <w:rPr>
                <w:rFonts w:ascii="Arial"/>
                <w:sz w:val="21"/>
              </w:rPr>
            </w:pPr>
          </w:p>
          <w:p>
            <w:pPr>
              <w:pStyle w:val="TableText"/>
              <w:spacing w:before="133" w:line="185" w:lineRule="auto"/>
              <w:ind w:left="1788"/>
            </w:pPr>
            <w:r>
              <w:rPr>
                <w:spacing w:val="-3"/>
              </w:rPr>
              <w:t>2010</w:t>
            </w:r>
          </w:p>
        </w:tc>
      </w:tr>
      <w:tr>
        <w:tblPrEx>
          <w:tblW w:w="17557" w:type="dxa"/>
          <w:tblInd w:w="0" w:type="dxa"/>
          <w:tblLayout w:type="fixed"/>
        </w:tblPrEx>
        <w:trPr>
          <w:trHeight w:val="4852"/>
        </w:trPr>
        <w:tc>
          <w:tcPr>
            <w:tcW w:w="4504" w:type="dxa"/>
            <w:tcBorders>
              <w:top w:val="single" w:sz="2" w:space="0" w:color="000000"/>
              <w:bottom w:val="single" w:sz="2" w:space="0" w:color="000000"/>
            </w:tcBorders>
            <w:vAlign w:val="top"/>
          </w:tcPr>
          <w:p>
            <w:pPr>
              <w:pStyle w:val="TableText"/>
              <w:spacing w:before="303" w:line="222" w:lineRule="auto"/>
              <w:ind w:left="1210"/>
            </w:pPr>
            <w:r>
              <w:rPr>
                <w:spacing w:val="19"/>
              </w:rPr>
              <w:t>总资产(元)</w:t>
            </w:r>
          </w:p>
          <w:p>
            <w:pPr>
              <w:spacing w:line="342" w:lineRule="auto"/>
              <w:rPr>
                <w:rFonts w:ascii="Arial"/>
                <w:sz w:val="21"/>
              </w:rPr>
            </w:pPr>
          </w:p>
          <w:p>
            <w:pPr>
              <w:pStyle w:val="TableText"/>
              <w:spacing w:before="134" w:line="222" w:lineRule="auto"/>
              <w:ind w:left="1422"/>
            </w:pPr>
            <w:r>
              <w:rPr>
                <w:spacing w:val="22"/>
              </w:rPr>
              <w:t>负债(元)</w:t>
            </w:r>
          </w:p>
          <w:p>
            <w:pPr>
              <w:spacing w:line="325" w:lineRule="auto"/>
              <w:rPr>
                <w:rFonts w:ascii="Arial"/>
                <w:sz w:val="21"/>
              </w:rPr>
            </w:pPr>
          </w:p>
          <w:p>
            <w:pPr>
              <w:pStyle w:val="TableText"/>
              <w:spacing w:before="133" w:line="222" w:lineRule="auto"/>
              <w:ind w:left="794"/>
            </w:pPr>
            <w:r>
              <w:rPr>
                <w:spacing w:val="15"/>
              </w:rPr>
              <w:t>所有者权益(元)</w:t>
            </w:r>
          </w:p>
          <w:p>
            <w:pPr>
              <w:spacing w:line="343" w:lineRule="auto"/>
              <w:rPr>
                <w:rFonts w:ascii="Arial"/>
                <w:sz w:val="21"/>
              </w:rPr>
            </w:pPr>
          </w:p>
          <w:p>
            <w:pPr>
              <w:pStyle w:val="TableText"/>
              <w:spacing w:before="133" w:line="222" w:lineRule="auto"/>
              <w:ind w:left="1210"/>
            </w:pPr>
            <w:r>
              <w:rPr>
                <w:spacing w:val="9"/>
              </w:rPr>
              <w:t>资产负债率</w:t>
            </w:r>
          </w:p>
          <w:p>
            <w:pPr>
              <w:spacing w:line="342" w:lineRule="auto"/>
              <w:rPr>
                <w:rFonts w:ascii="Arial"/>
                <w:sz w:val="21"/>
              </w:rPr>
            </w:pPr>
          </w:p>
          <w:p>
            <w:pPr>
              <w:pStyle w:val="TableText"/>
              <w:spacing w:before="134" w:line="222" w:lineRule="auto"/>
              <w:ind w:left="1422"/>
            </w:pPr>
            <w:r>
              <w:rPr>
                <w:spacing w:val="9"/>
              </w:rPr>
              <w:t>产权比率</w:t>
            </w:r>
          </w:p>
        </w:tc>
        <w:tc>
          <w:tcPr>
            <w:tcW w:w="4307" w:type="dxa"/>
            <w:tcBorders>
              <w:top w:val="single" w:sz="2" w:space="0" w:color="000000"/>
              <w:bottom w:val="single" w:sz="2" w:space="0" w:color="000000"/>
            </w:tcBorders>
            <w:vAlign w:val="top"/>
          </w:tcPr>
          <w:p>
            <w:pPr>
              <w:spacing w:line="276" w:lineRule="auto"/>
              <w:rPr>
                <w:rFonts w:ascii="Arial"/>
                <w:sz w:val="21"/>
              </w:rPr>
            </w:pPr>
          </w:p>
          <w:p>
            <w:pPr>
              <w:pStyle w:val="TableText"/>
              <w:spacing w:before="133" w:line="185" w:lineRule="auto"/>
              <w:ind w:left="804"/>
            </w:pPr>
            <w:r>
              <w:rPr>
                <w:spacing w:val="1"/>
              </w:rPr>
              <w:t>8458380212.56</w:t>
            </w:r>
          </w:p>
          <w:p>
            <w:pPr>
              <w:spacing w:line="424" w:lineRule="auto"/>
              <w:rPr>
                <w:rFonts w:ascii="Arial"/>
                <w:sz w:val="21"/>
              </w:rPr>
            </w:pPr>
          </w:p>
          <w:p>
            <w:pPr>
              <w:pStyle w:val="TableText"/>
              <w:spacing w:before="133" w:line="185" w:lineRule="auto"/>
              <w:ind w:left="804"/>
            </w:pPr>
            <w:r>
              <w:rPr>
                <w:spacing w:val="1"/>
              </w:rPr>
              <w:t>4216014399.17</w:t>
            </w:r>
          </w:p>
          <w:p>
            <w:pPr>
              <w:spacing w:line="407" w:lineRule="auto"/>
              <w:rPr>
                <w:rFonts w:ascii="Arial"/>
                <w:sz w:val="21"/>
              </w:rPr>
            </w:pPr>
          </w:p>
          <w:p>
            <w:pPr>
              <w:pStyle w:val="TableText"/>
              <w:spacing w:before="133" w:line="185" w:lineRule="auto"/>
              <w:ind w:left="804"/>
            </w:pPr>
            <w:r>
              <w:rPr>
                <w:spacing w:val="1"/>
              </w:rPr>
              <w:t>4242365813.39</w:t>
            </w:r>
          </w:p>
          <w:p>
            <w:pPr>
              <w:spacing w:line="424" w:lineRule="auto"/>
              <w:rPr>
                <w:rFonts w:ascii="Arial"/>
                <w:sz w:val="21"/>
              </w:rPr>
            </w:pPr>
          </w:p>
          <w:p>
            <w:pPr>
              <w:pStyle w:val="TableText"/>
              <w:spacing w:before="134" w:line="185" w:lineRule="auto"/>
              <w:ind w:left="1740"/>
            </w:pPr>
            <w:r>
              <w:rPr>
                <w:spacing w:val="-2"/>
              </w:rPr>
              <w:t>0.50</w:t>
            </w:r>
          </w:p>
          <w:p>
            <w:pPr>
              <w:spacing w:line="424" w:lineRule="auto"/>
              <w:rPr>
                <w:rFonts w:ascii="Arial"/>
                <w:sz w:val="21"/>
              </w:rPr>
            </w:pPr>
          </w:p>
          <w:p>
            <w:pPr>
              <w:pStyle w:val="TableText"/>
              <w:spacing w:before="133" w:line="185" w:lineRule="auto"/>
              <w:ind w:left="1740"/>
            </w:pPr>
            <w:r>
              <w:rPr>
                <w:spacing w:val="-2"/>
              </w:rPr>
              <w:t>0.99</w:t>
            </w:r>
          </w:p>
        </w:tc>
        <w:tc>
          <w:tcPr>
            <w:tcW w:w="4353" w:type="dxa"/>
            <w:tcBorders>
              <w:top w:val="single" w:sz="2" w:space="0" w:color="000000"/>
              <w:bottom w:val="single" w:sz="2" w:space="0" w:color="000000"/>
            </w:tcBorders>
            <w:vAlign w:val="top"/>
          </w:tcPr>
          <w:p>
            <w:pPr>
              <w:spacing w:line="276" w:lineRule="auto"/>
              <w:rPr>
                <w:rFonts w:ascii="Arial"/>
                <w:sz w:val="21"/>
              </w:rPr>
            </w:pPr>
          </w:p>
          <w:p>
            <w:pPr>
              <w:pStyle w:val="TableText"/>
              <w:spacing w:before="133" w:line="185" w:lineRule="auto"/>
              <w:ind w:left="842"/>
            </w:pPr>
            <w:r>
              <w:t>7733423549.24</w:t>
            </w:r>
          </w:p>
          <w:p>
            <w:pPr>
              <w:spacing w:line="424" w:lineRule="auto"/>
              <w:rPr>
                <w:rFonts w:ascii="Arial"/>
                <w:sz w:val="21"/>
              </w:rPr>
            </w:pPr>
          </w:p>
          <w:p>
            <w:pPr>
              <w:pStyle w:val="TableText"/>
              <w:spacing w:before="133" w:line="185" w:lineRule="auto"/>
              <w:ind w:left="842"/>
            </w:pPr>
            <w:r>
              <w:rPr>
                <w:spacing w:val="1"/>
              </w:rPr>
              <w:t>4229458801.88</w:t>
            </w:r>
          </w:p>
          <w:p>
            <w:pPr>
              <w:spacing w:line="407" w:lineRule="auto"/>
              <w:rPr>
                <w:rFonts w:ascii="Arial"/>
                <w:sz w:val="21"/>
              </w:rPr>
            </w:pPr>
          </w:p>
          <w:p>
            <w:pPr>
              <w:pStyle w:val="TableText"/>
              <w:spacing w:before="133" w:line="185" w:lineRule="auto"/>
              <w:ind w:left="842"/>
            </w:pPr>
            <w:r>
              <w:t>3503964747.36</w:t>
            </w:r>
          </w:p>
          <w:p>
            <w:pPr>
              <w:spacing w:line="424" w:lineRule="auto"/>
              <w:rPr>
                <w:rFonts w:ascii="Arial"/>
                <w:sz w:val="21"/>
              </w:rPr>
            </w:pPr>
          </w:p>
          <w:p>
            <w:pPr>
              <w:pStyle w:val="TableText"/>
              <w:spacing w:before="134" w:line="185" w:lineRule="auto"/>
              <w:ind w:left="1778"/>
            </w:pPr>
            <w:r>
              <w:rPr>
                <w:spacing w:val="-2"/>
              </w:rPr>
              <w:t>0.55</w:t>
            </w:r>
          </w:p>
          <w:p>
            <w:pPr>
              <w:spacing w:line="424" w:lineRule="auto"/>
              <w:rPr>
                <w:rFonts w:ascii="Arial"/>
                <w:sz w:val="21"/>
              </w:rPr>
            </w:pPr>
          </w:p>
          <w:p>
            <w:pPr>
              <w:pStyle w:val="TableText"/>
              <w:spacing w:before="133" w:line="185" w:lineRule="auto"/>
              <w:ind w:left="1778"/>
            </w:pPr>
            <w:r>
              <w:rPr>
                <w:spacing w:val="-7"/>
              </w:rPr>
              <w:t>1.21</w:t>
            </w:r>
          </w:p>
        </w:tc>
        <w:tc>
          <w:tcPr>
            <w:tcW w:w="4393" w:type="dxa"/>
            <w:tcBorders>
              <w:top w:val="single" w:sz="2" w:space="0" w:color="000000"/>
              <w:bottom w:val="single" w:sz="2" w:space="0" w:color="000000"/>
            </w:tcBorders>
            <w:vAlign w:val="top"/>
          </w:tcPr>
          <w:p>
            <w:pPr>
              <w:spacing w:line="276" w:lineRule="auto"/>
              <w:rPr>
                <w:rFonts w:ascii="Arial"/>
                <w:sz w:val="21"/>
              </w:rPr>
            </w:pPr>
          </w:p>
          <w:p>
            <w:pPr>
              <w:pStyle w:val="TableText"/>
              <w:spacing w:before="133" w:line="185" w:lineRule="auto"/>
              <w:ind w:left="852"/>
            </w:pPr>
            <w:r>
              <w:t>7111742025.76</w:t>
            </w:r>
          </w:p>
          <w:p>
            <w:pPr>
              <w:spacing w:line="424" w:lineRule="auto"/>
              <w:rPr>
                <w:rFonts w:ascii="Arial"/>
                <w:sz w:val="21"/>
              </w:rPr>
            </w:pPr>
          </w:p>
          <w:p>
            <w:pPr>
              <w:pStyle w:val="TableText"/>
              <w:spacing w:before="133" w:line="185" w:lineRule="auto"/>
              <w:ind w:left="852"/>
            </w:pPr>
            <w:r>
              <w:t>3532867576.20</w:t>
            </w:r>
          </w:p>
          <w:p>
            <w:pPr>
              <w:spacing w:line="407" w:lineRule="auto"/>
              <w:rPr>
                <w:rFonts w:ascii="Arial"/>
                <w:sz w:val="21"/>
              </w:rPr>
            </w:pPr>
          </w:p>
          <w:p>
            <w:pPr>
              <w:pStyle w:val="TableText"/>
              <w:spacing w:before="133" w:line="185" w:lineRule="auto"/>
              <w:ind w:left="852"/>
            </w:pPr>
            <w:r>
              <w:t>3578874449.56</w:t>
            </w:r>
          </w:p>
          <w:p>
            <w:pPr>
              <w:spacing w:line="424" w:lineRule="auto"/>
              <w:rPr>
                <w:rFonts w:ascii="Arial"/>
                <w:sz w:val="21"/>
              </w:rPr>
            </w:pPr>
          </w:p>
          <w:p>
            <w:pPr>
              <w:pStyle w:val="TableText"/>
              <w:spacing w:before="134" w:line="185" w:lineRule="auto"/>
              <w:ind w:left="1788"/>
            </w:pPr>
            <w:r>
              <w:rPr>
                <w:spacing w:val="-2"/>
              </w:rPr>
              <w:t>0.50</w:t>
            </w:r>
          </w:p>
          <w:p>
            <w:pPr>
              <w:spacing w:line="424" w:lineRule="auto"/>
              <w:rPr>
                <w:rFonts w:ascii="Arial"/>
                <w:sz w:val="21"/>
              </w:rPr>
            </w:pPr>
          </w:p>
          <w:p>
            <w:pPr>
              <w:pStyle w:val="TableText"/>
              <w:spacing w:before="133" w:line="185" w:lineRule="auto"/>
              <w:ind w:left="1788"/>
            </w:pPr>
            <w:r>
              <w:rPr>
                <w:spacing w:val="-2"/>
              </w:rPr>
              <w:t>0.99</w:t>
            </w:r>
          </w:p>
        </w:tc>
      </w:tr>
    </w:tbl>
    <w:p>
      <w:pPr>
        <w:spacing w:before="211" w:line="232" w:lineRule="auto"/>
        <w:ind w:left="325"/>
        <w:outlineLvl w:val="0"/>
        <w:rPr>
          <w:rFonts w:ascii="KaiTi" w:eastAsia="KaiTi" w:hAnsi="KaiTi" w:cs="KaiTi"/>
          <w:sz w:val="49"/>
          <w:szCs w:val="49"/>
        </w:rPr>
      </w:pPr>
      <w:r>
        <w:rPr>
          <w:rFonts w:ascii="KaiTi" w:eastAsia="KaiTi" w:hAnsi="KaiTi" w:cs="KaiTi"/>
          <w:b/>
          <w:bCs/>
          <w:spacing w:val="5"/>
          <w:sz w:val="49"/>
          <w:szCs w:val="49"/>
        </w:rPr>
        <w:t>3.2企业的营运能力</w:t>
      </w:r>
    </w:p>
    <w:p>
      <w:pPr>
        <w:spacing w:before="336" w:line="363" w:lineRule="auto"/>
        <w:ind w:left="318" w:firstLine="1024"/>
        <w:jc w:val="both"/>
        <w:rPr>
          <w:rFonts w:ascii="SimSun" w:eastAsia="SimSun" w:hAnsi="SimSun" w:cs="SimSun"/>
          <w:sz w:val="49"/>
          <w:szCs w:val="49"/>
        </w:rPr>
      </w:pPr>
      <w:r>
        <w:rPr>
          <w:rFonts w:ascii="SimSun" w:eastAsia="SimSun" w:hAnsi="SimSun" w:cs="SimSun"/>
          <w:spacing w:val="-3"/>
          <w:sz w:val="49"/>
          <w:szCs w:val="49"/>
        </w:rPr>
        <w:t>营运能力是指企业的经营运行能力，即企业运用各项资产以赚取利润的能</w:t>
      </w:r>
      <w:r>
        <w:rPr>
          <w:rFonts w:ascii="SimSun" w:eastAsia="SimSun" w:hAnsi="SimSun" w:cs="SimSun"/>
          <w:spacing w:val="-4"/>
          <w:sz w:val="49"/>
          <w:szCs w:val="49"/>
        </w:rPr>
        <w:t>力。</w:t>
      </w:r>
      <w:r>
        <w:rPr>
          <w:rFonts w:ascii="SimSun" w:eastAsia="SimSun" w:hAnsi="SimSun" w:cs="SimSun"/>
          <w:sz w:val="49"/>
          <w:szCs w:val="49"/>
        </w:rPr>
        <w:t xml:space="preserve"> </w:t>
      </w:r>
      <w:r>
        <w:rPr>
          <w:rFonts w:ascii="SimSun" w:eastAsia="SimSun" w:hAnsi="SimSun" w:cs="SimSun"/>
          <w:spacing w:val="-4"/>
          <w:sz w:val="49"/>
          <w:szCs w:val="49"/>
        </w:rPr>
        <w:t>企业营运能力的财务分析比率有：存货周转率、应收账款周转率、营业周期、流动</w:t>
      </w:r>
    </w:p>
    <w:p>
      <w:pPr>
        <w:spacing w:line="221" w:lineRule="auto"/>
        <w:ind w:left="318"/>
        <w:rPr>
          <w:rFonts w:ascii="SimSun" w:eastAsia="SimSun" w:hAnsi="SimSun" w:cs="SimSun"/>
          <w:sz w:val="49"/>
          <w:szCs w:val="49"/>
        </w:rPr>
      </w:pPr>
      <w:r>
        <w:rPr>
          <w:rFonts w:ascii="SimSun" w:eastAsia="SimSun" w:hAnsi="SimSun" w:cs="SimSun"/>
          <w:spacing w:val="-9"/>
          <w:sz w:val="49"/>
          <w:szCs w:val="49"/>
        </w:rPr>
        <w:t>资产周转率和总资产周转率等。</w:t>
      </w:r>
    </w:p>
    <w:p>
      <w:pPr>
        <w:spacing w:before="396" w:line="361" w:lineRule="auto"/>
        <w:ind w:left="318" w:right="91" w:firstLine="1245"/>
        <w:jc w:val="both"/>
        <w:rPr>
          <w:rFonts w:ascii="SimSun" w:eastAsia="SimSun" w:hAnsi="SimSun" w:cs="SimSun"/>
          <w:sz w:val="49"/>
          <w:szCs w:val="49"/>
        </w:rPr>
      </w:pPr>
      <w:r>
        <w:rPr>
          <w:rFonts w:ascii="SimSun" w:eastAsia="SimSun" w:hAnsi="SimSun" w:cs="SimSun"/>
          <w:spacing w:val="-1"/>
          <w:sz w:val="49"/>
          <w:szCs w:val="49"/>
        </w:rPr>
        <w:t>这些比率揭示了企业资金运营周转的情况，反映了企业对经济资源管理、运</w:t>
      </w:r>
      <w:r>
        <w:rPr>
          <w:rFonts w:ascii="SimSun" w:eastAsia="SimSun" w:hAnsi="SimSun" w:cs="SimSun"/>
          <w:spacing w:val="16"/>
          <w:sz w:val="49"/>
          <w:szCs w:val="49"/>
        </w:rPr>
        <w:t xml:space="preserve"> </w:t>
      </w:r>
      <w:r>
        <w:rPr>
          <w:rFonts w:ascii="SimSun" w:eastAsia="SimSun" w:hAnsi="SimSun" w:cs="SimSun"/>
          <w:spacing w:val="-4"/>
          <w:sz w:val="49"/>
          <w:szCs w:val="49"/>
        </w:rPr>
        <w:t>用的效率高低。企业资产周转越快，流动性越高，企业的偿债能力越强</w:t>
      </w:r>
      <w:r>
        <w:rPr>
          <w:rFonts w:ascii="SimSun" w:eastAsia="SimSun" w:hAnsi="SimSun" w:cs="SimSun"/>
          <w:spacing w:val="-5"/>
          <w:sz w:val="49"/>
          <w:szCs w:val="49"/>
        </w:rPr>
        <w:t>，资产获取</w:t>
      </w:r>
    </w:p>
    <w:p>
      <w:pPr>
        <w:spacing w:before="2" w:line="221" w:lineRule="auto"/>
        <w:ind w:left="318"/>
        <w:rPr>
          <w:rFonts w:ascii="SimSun" w:eastAsia="SimSun" w:hAnsi="SimSun" w:cs="SimSun"/>
          <w:sz w:val="49"/>
          <w:szCs w:val="49"/>
        </w:rPr>
      </w:pPr>
      <w:r>
        <w:rPr>
          <w:rFonts w:ascii="SimSun" w:eastAsia="SimSun" w:hAnsi="SimSun" w:cs="SimSun"/>
          <w:spacing w:val="-9"/>
          <w:sz w:val="49"/>
          <w:szCs w:val="49"/>
        </w:rPr>
        <w:t>利润的速度就越快。</w:t>
      </w:r>
    </w:p>
    <w:p>
      <w:pPr>
        <w:spacing w:before="345" w:line="220" w:lineRule="auto"/>
        <w:ind w:left="1563"/>
        <w:rPr>
          <w:rFonts w:ascii="SimSun" w:eastAsia="SimSun" w:hAnsi="SimSun" w:cs="SimSun"/>
          <w:sz w:val="49"/>
          <w:szCs w:val="49"/>
        </w:rPr>
      </w:pPr>
      <w:r>
        <w:rPr>
          <w:rFonts w:ascii="SimSun" w:eastAsia="SimSun" w:hAnsi="SimSun" w:cs="SimSun"/>
          <w:spacing w:val="-4"/>
          <w:sz w:val="49"/>
          <w:szCs w:val="49"/>
        </w:rPr>
        <w:t>营运能力是社会生产力在企业中的微观表现，是企业各项经济资源，包括：</w:t>
      </w:r>
    </w:p>
    <w:p>
      <w:pPr>
        <w:spacing w:before="397" w:line="221" w:lineRule="auto"/>
        <w:ind w:left="318"/>
        <w:rPr>
          <w:rFonts w:ascii="SimSun" w:eastAsia="SimSun" w:hAnsi="SimSun" w:cs="SimSun"/>
          <w:sz w:val="49"/>
          <w:szCs w:val="49"/>
        </w:rPr>
      </w:pPr>
      <w:r>
        <w:rPr>
          <w:rFonts w:ascii="SimSun" w:eastAsia="SimSun" w:hAnsi="SimSun" w:cs="SimSun"/>
          <w:spacing w:val="-4"/>
          <w:sz w:val="49"/>
          <w:szCs w:val="49"/>
        </w:rPr>
        <w:t>人力资源、生产资料资源、财务资源、技术信息资源和管理资源等，基于环境约束</w:t>
      </w:r>
    </w:p>
    <w:p>
      <w:pPr>
        <w:spacing w:line="221" w:lineRule="auto"/>
        <w:rPr>
          <w:rFonts w:ascii="SimSun" w:eastAsia="SimSun" w:hAnsi="SimSun" w:cs="SimSun"/>
          <w:sz w:val="49"/>
          <w:szCs w:val="49"/>
        </w:rPr>
        <w:sectPr>
          <w:footerReference w:type="default" r:id="rId15"/>
          <w:pgSz w:w="22849" w:h="31680"/>
          <w:pgMar w:top="2692" w:right="2366" w:bottom="400" w:left="2578" w:header="0" w:footer="0" w:gutter="0"/>
          <w:pgNumType w:start="12"/>
          <w:cols w:space="708"/>
        </w:sectPr>
      </w:pPr>
    </w:p>
    <w:p>
      <w:pPr>
        <w:spacing w:before="395" w:line="362" w:lineRule="auto"/>
        <w:ind w:right="128"/>
        <w:jc w:val="both"/>
        <w:rPr>
          <w:rFonts w:ascii="SimSun" w:eastAsia="SimSun" w:hAnsi="SimSun" w:cs="SimSun"/>
          <w:sz w:val="49"/>
          <w:szCs w:val="49"/>
        </w:rPr>
      </w:pPr>
      <w:r>
        <w:rPr>
          <w:rFonts w:ascii="SimSun" w:eastAsia="SimSun" w:hAnsi="SimSun" w:cs="SimSun"/>
          <w:spacing w:val="-2"/>
          <w:sz w:val="49"/>
          <w:szCs w:val="49"/>
        </w:rPr>
        <w:t>与价值增值目标，通过配置组合与相互作用而生成的推动企业运行的物质能量。广</w:t>
      </w:r>
      <w:r>
        <w:rPr>
          <w:rFonts w:ascii="SimSun" w:eastAsia="SimSun" w:hAnsi="SimSun" w:cs="SimSun"/>
          <w:spacing w:val="1"/>
          <w:sz w:val="49"/>
          <w:szCs w:val="49"/>
        </w:rPr>
        <w:t xml:space="preserve"> </w:t>
      </w:r>
      <w:r>
        <w:rPr>
          <w:rFonts w:ascii="SimSun" w:eastAsia="SimSun" w:hAnsi="SimSun" w:cs="SimSun"/>
          <w:spacing w:val="-2"/>
          <w:sz w:val="49"/>
          <w:szCs w:val="49"/>
        </w:rPr>
        <w:t>义的营运能力是企业所有要素所能发挥的营运作用；狭义的营运能力是指企业资产</w:t>
      </w:r>
    </w:p>
    <w:p>
      <w:pPr>
        <w:spacing w:line="221" w:lineRule="auto"/>
        <w:rPr>
          <w:rFonts w:ascii="SimSun" w:eastAsia="SimSun" w:hAnsi="SimSun" w:cs="SimSun"/>
          <w:sz w:val="49"/>
          <w:szCs w:val="49"/>
        </w:rPr>
      </w:pPr>
      <w:r>
        <w:rPr>
          <w:rFonts w:ascii="SimSun" w:eastAsia="SimSun" w:hAnsi="SimSun" w:cs="SimSun"/>
          <w:spacing w:val="-3"/>
          <w:sz w:val="49"/>
          <w:szCs w:val="49"/>
        </w:rPr>
        <w:t>的营运效率，不直接体现人力资源的合理使用</w:t>
      </w:r>
      <w:r>
        <w:rPr>
          <w:rFonts w:ascii="SimSun" w:eastAsia="SimSun" w:hAnsi="SimSun" w:cs="SimSun"/>
          <w:spacing w:val="-4"/>
          <w:sz w:val="49"/>
          <w:szCs w:val="49"/>
        </w:rPr>
        <w:t>和有效利用。</w:t>
      </w:r>
    </w:p>
    <w:p>
      <w:pPr>
        <w:spacing w:before="374" w:line="361" w:lineRule="auto"/>
        <w:ind w:right="122" w:firstLine="1201"/>
        <w:rPr>
          <w:rFonts w:ascii="SimSun" w:eastAsia="SimSun" w:hAnsi="SimSun" w:cs="SimSun"/>
          <w:sz w:val="49"/>
          <w:szCs w:val="49"/>
        </w:rPr>
      </w:pPr>
      <w:r>
        <w:rPr>
          <w:rFonts w:ascii="SimSun" w:eastAsia="SimSun" w:hAnsi="SimSun" w:cs="SimSun"/>
          <w:spacing w:val="-1"/>
          <w:sz w:val="49"/>
          <w:szCs w:val="49"/>
        </w:rPr>
        <w:t xml:space="preserve">现实企业对营运能力的研究，实际上就是企业在资产管理方面所表现的效率 </w:t>
      </w:r>
      <w:r>
        <w:rPr>
          <w:rFonts w:ascii="SimSun" w:eastAsia="SimSun" w:hAnsi="SimSun" w:cs="SimSun"/>
          <w:spacing w:val="-2"/>
          <w:sz w:val="49"/>
          <w:szCs w:val="49"/>
        </w:rPr>
        <w:t>研究。而这种能力首先表现为各项资产周围率和周围额的贡献上；其次，通过这种</w:t>
      </w:r>
      <w:r>
        <w:rPr>
          <w:rFonts w:ascii="SimSun" w:eastAsia="SimSun" w:hAnsi="SimSun" w:cs="SimSun"/>
          <w:spacing w:val="7"/>
          <w:sz w:val="49"/>
          <w:szCs w:val="49"/>
        </w:rPr>
        <w:t xml:space="preserve"> </w:t>
      </w:r>
      <w:r>
        <w:rPr>
          <w:rFonts w:ascii="SimSun" w:eastAsia="SimSun" w:hAnsi="SimSun" w:cs="SimSun"/>
          <w:spacing w:val="-2"/>
          <w:sz w:val="49"/>
          <w:szCs w:val="49"/>
        </w:rPr>
        <w:t>贡献作用面对增值目标的实现产生基础性影响。从这种意义上讲，营运能力</w:t>
      </w:r>
      <w:r>
        <w:rPr>
          <w:rFonts w:ascii="SimSun" w:eastAsia="SimSun" w:hAnsi="SimSun" w:cs="SimSun"/>
          <w:spacing w:val="-3"/>
          <w:sz w:val="49"/>
          <w:szCs w:val="49"/>
        </w:rPr>
        <w:t>决定着</w:t>
      </w:r>
      <w:r>
        <w:rPr>
          <w:rFonts w:ascii="SimSun" w:eastAsia="SimSun" w:hAnsi="SimSun" w:cs="SimSun"/>
          <w:sz w:val="49"/>
          <w:szCs w:val="49"/>
        </w:rPr>
        <w:t xml:space="preserve"> </w:t>
      </w:r>
      <w:r>
        <w:rPr>
          <w:rFonts w:ascii="SimSun" w:eastAsia="SimSun" w:hAnsi="SimSun" w:cs="SimSun"/>
          <w:spacing w:val="-2"/>
          <w:sz w:val="49"/>
          <w:szCs w:val="49"/>
        </w:rPr>
        <w:t>企业的偿债能力和获利能力，而且是整个财务分析物核</w:t>
      </w:r>
      <w:r>
        <w:rPr>
          <w:rFonts w:ascii="SimSun" w:eastAsia="SimSun" w:hAnsi="SimSun" w:cs="SimSun"/>
          <w:spacing w:val="-3"/>
          <w:sz w:val="49"/>
          <w:szCs w:val="49"/>
        </w:rPr>
        <w:t>心。由此说，建立和推行科</w:t>
      </w:r>
      <w:r>
        <w:rPr>
          <w:rFonts w:ascii="SimSun" w:eastAsia="SimSun" w:hAnsi="SimSun" w:cs="SimSun"/>
          <w:sz w:val="49"/>
          <w:szCs w:val="49"/>
        </w:rPr>
        <w:t xml:space="preserve"> </w:t>
      </w:r>
      <w:r>
        <w:rPr>
          <w:rFonts w:ascii="SimSun" w:eastAsia="SimSun" w:hAnsi="SimSun" w:cs="SimSun"/>
          <w:spacing w:val="-2"/>
          <w:sz w:val="49"/>
          <w:szCs w:val="49"/>
        </w:rPr>
        <w:t>学、合理、有效的企业营运能力评价指标，有助于正确引导企</w:t>
      </w:r>
      <w:r>
        <w:rPr>
          <w:rFonts w:ascii="SimSun" w:eastAsia="SimSun" w:hAnsi="SimSun" w:cs="SimSun"/>
          <w:spacing w:val="-3"/>
          <w:sz w:val="49"/>
          <w:szCs w:val="49"/>
        </w:rPr>
        <w:t>业经营行为，帮助企</w:t>
      </w:r>
      <w:r>
        <w:rPr>
          <w:rFonts w:ascii="SimSun" w:eastAsia="SimSun" w:hAnsi="SimSun" w:cs="SimSun"/>
          <w:sz w:val="49"/>
          <w:szCs w:val="49"/>
        </w:rPr>
        <w:t xml:space="preserve"> </w:t>
      </w:r>
      <w:r>
        <w:rPr>
          <w:rFonts w:ascii="SimSun" w:eastAsia="SimSun" w:hAnsi="SimSun" w:cs="SimSun"/>
          <w:sz w:val="49"/>
          <w:szCs w:val="49"/>
        </w:rPr>
        <w:t>业寻找经营差距及产生的根本原因，促进企业加强各项资产的管理和提高经济效</w:t>
      </w:r>
    </w:p>
    <w:p>
      <w:pPr>
        <w:spacing w:line="220" w:lineRule="auto"/>
        <w:rPr>
          <w:rFonts w:ascii="SimSun" w:eastAsia="SimSun" w:hAnsi="SimSun" w:cs="SimSun"/>
          <w:sz w:val="49"/>
          <w:szCs w:val="49"/>
        </w:rPr>
      </w:pPr>
      <w:r>
        <w:rPr>
          <w:rFonts w:ascii="SimSun" w:eastAsia="SimSun" w:hAnsi="SimSun" w:cs="SimSun"/>
          <w:spacing w:val="-3"/>
          <w:sz w:val="49"/>
          <w:szCs w:val="49"/>
        </w:rPr>
        <w:t>益，并为国家宏观经济政策的制度及投资者、相关利益人的决</w:t>
      </w:r>
      <w:r>
        <w:rPr>
          <w:rFonts w:ascii="SimSun" w:eastAsia="SimSun" w:hAnsi="SimSun" w:cs="SimSun"/>
          <w:spacing w:val="-4"/>
          <w:sz w:val="49"/>
          <w:szCs w:val="49"/>
        </w:rPr>
        <w:t>策提供依据。</w:t>
      </w:r>
    </w:p>
    <w:p>
      <w:pPr>
        <w:spacing w:before="362" w:line="221" w:lineRule="auto"/>
        <w:rPr>
          <w:rFonts w:ascii="SimSun" w:eastAsia="SimSun" w:hAnsi="SimSun" w:cs="SimSun"/>
          <w:sz w:val="49"/>
          <w:szCs w:val="49"/>
        </w:rPr>
      </w:pPr>
      <w:r>
        <w:rPr>
          <w:rFonts w:ascii="SimSun" w:eastAsia="SimSun" w:hAnsi="SimSun" w:cs="SimSun"/>
          <w:spacing w:val="-1"/>
          <w:sz w:val="49"/>
          <w:szCs w:val="49"/>
        </w:rPr>
        <w:t>3.2.1 应收账款周转率</w:t>
      </w:r>
    </w:p>
    <w:p>
      <w:pPr>
        <w:spacing w:before="390" w:line="353" w:lineRule="auto"/>
        <w:ind w:right="134" w:firstLine="1201"/>
        <w:rPr>
          <w:rFonts w:ascii="SimSun" w:eastAsia="SimSun" w:hAnsi="SimSun" w:cs="SimSun"/>
          <w:sz w:val="49"/>
          <w:szCs w:val="49"/>
        </w:rPr>
      </w:pPr>
      <w:r>
        <w:rPr>
          <w:rFonts w:ascii="SimSun" w:eastAsia="SimSun" w:hAnsi="SimSun" w:cs="SimSun"/>
          <w:spacing w:val="-2"/>
          <w:sz w:val="49"/>
          <w:szCs w:val="49"/>
        </w:rPr>
        <w:t>公司的应收账款在流动资产中具有举足轻重的</w:t>
      </w:r>
      <w:r>
        <w:rPr>
          <w:rFonts w:ascii="SimSun" w:eastAsia="SimSun" w:hAnsi="SimSun" w:cs="SimSun"/>
          <w:spacing w:val="-3"/>
          <w:sz w:val="49"/>
          <w:szCs w:val="49"/>
        </w:rPr>
        <w:t>地位。公司的应收账款如能及</w:t>
      </w:r>
      <w:r>
        <w:rPr>
          <w:rFonts w:ascii="SimSun" w:eastAsia="SimSun" w:hAnsi="SimSun" w:cs="SimSun"/>
          <w:sz w:val="49"/>
          <w:szCs w:val="49"/>
        </w:rPr>
        <w:t xml:space="preserve">  </w:t>
      </w:r>
      <w:r>
        <w:rPr>
          <w:rFonts w:ascii="SimSun" w:eastAsia="SimSun" w:hAnsi="SimSun" w:cs="SimSun"/>
          <w:spacing w:val="-2"/>
          <w:sz w:val="49"/>
          <w:szCs w:val="49"/>
        </w:rPr>
        <w:t>时收回，公司的资金使用效率便能大幅提高。应收账款周转率就是反映公</w:t>
      </w:r>
      <w:r>
        <w:rPr>
          <w:rFonts w:ascii="SimSun" w:eastAsia="SimSun" w:hAnsi="SimSun" w:cs="SimSun"/>
          <w:spacing w:val="-3"/>
          <w:sz w:val="49"/>
          <w:szCs w:val="49"/>
        </w:rPr>
        <w:t>司应收账</w:t>
      </w:r>
      <w:r>
        <w:rPr>
          <w:rFonts w:ascii="SimSun" w:eastAsia="SimSun" w:hAnsi="SimSun" w:cs="SimSun"/>
          <w:sz w:val="49"/>
          <w:szCs w:val="49"/>
        </w:rPr>
        <w:t xml:space="preserve"> </w:t>
      </w:r>
      <w:r>
        <w:rPr>
          <w:rFonts w:ascii="SimSun" w:eastAsia="SimSun" w:hAnsi="SimSun" w:cs="SimSun"/>
          <w:spacing w:val="-3"/>
          <w:sz w:val="49"/>
          <w:szCs w:val="49"/>
        </w:rPr>
        <w:t>款周转速度的比率。它说明一定期间内公司应收账款转为现金的平均次数。用时间</w:t>
      </w:r>
      <w:r>
        <w:rPr>
          <w:rFonts w:ascii="SimSun" w:eastAsia="SimSun" w:hAnsi="SimSun" w:cs="SimSun"/>
          <w:spacing w:val="10"/>
          <w:sz w:val="49"/>
          <w:szCs w:val="49"/>
        </w:rPr>
        <w:t xml:space="preserve"> </w:t>
      </w:r>
      <w:r>
        <w:rPr>
          <w:rFonts w:ascii="SimSun" w:eastAsia="SimSun" w:hAnsi="SimSun" w:cs="SimSun"/>
          <w:spacing w:val="-3"/>
          <w:sz w:val="49"/>
          <w:szCs w:val="49"/>
        </w:rPr>
        <w:t>表示的应收账款周转速度为应收账款周转天数，</w:t>
      </w:r>
      <w:r>
        <w:rPr>
          <w:rFonts w:ascii="SimSun" w:eastAsia="SimSun" w:hAnsi="SimSun" w:cs="SimSun"/>
          <w:spacing w:val="-4"/>
          <w:sz w:val="49"/>
          <w:szCs w:val="49"/>
        </w:rPr>
        <w:t>也称平均应收账款回收期或平均收</w:t>
      </w:r>
    </w:p>
    <w:p>
      <w:pPr>
        <w:spacing w:before="1" w:line="221" w:lineRule="auto"/>
        <w:rPr>
          <w:rFonts w:ascii="SimSun" w:eastAsia="SimSun" w:hAnsi="SimSun" w:cs="SimSun"/>
          <w:sz w:val="49"/>
          <w:szCs w:val="49"/>
        </w:rPr>
      </w:pPr>
      <w:r>
        <w:rPr>
          <w:rFonts w:ascii="SimSun" w:eastAsia="SimSun" w:hAnsi="SimSun" w:cs="SimSun"/>
          <w:spacing w:val="-2"/>
          <w:sz w:val="49"/>
          <w:szCs w:val="49"/>
        </w:rPr>
        <w:t>现期。它表示公司从获得应收账款的权利到收回款项、变成现金所需要的时间。</w:t>
      </w:r>
    </w:p>
    <w:p>
      <w:pPr>
        <w:spacing w:line="259" w:lineRule="auto"/>
        <w:rPr>
          <w:rFonts w:ascii="Arial"/>
          <w:sz w:val="21"/>
        </w:rPr>
      </w:pPr>
    </w:p>
    <w:p>
      <w:pPr>
        <w:spacing w:before="159" w:line="221" w:lineRule="auto"/>
        <w:ind w:left="1201"/>
        <w:rPr>
          <w:rFonts w:ascii="SimSun" w:eastAsia="SimSun" w:hAnsi="SimSun" w:cs="SimSun"/>
          <w:sz w:val="49"/>
          <w:szCs w:val="49"/>
        </w:rPr>
      </w:pPr>
      <w:r>
        <w:rPr>
          <w:rFonts w:ascii="SimSun" w:eastAsia="SimSun" w:hAnsi="SimSun" w:cs="SimSun"/>
          <w:spacing w:val="-18"/>
          <w:sz w:val="49"/>
          <w:szCs w:val="49"/>
        </w:rPr>
        <w:t>计算公式如下：</w:t>
      </w:r>
    </w:p>
    <w:p>
      <w:pPr>
        <w:spacing w:line="250" w:lineRule="auto"/>
        <w:rPr>
          <w:rFonts w:ascii="Arial"/>
          <w:sz w:val="21"/>
        </w:rPr>
      </w:pPr>
    </w:p>
    <w:p>
      <w:pPr>
        <w:spacing w:before="160" w:line="221" w:lineRule="auto"/>
        <w:ind w:left="1201"/>
        <w:rPr>
          <w:rFonts w:ascii="SimSun" w:eastAsia="SimSun" w:hAnsi="SimSun" w:cs="SimSun"/>
          <w:sz w:val="49"/>
          <w:szCs w:val="49"/>
        </w:rPr>
      </w:pPr>
      <w:r>
        <w:rPr>
          <w:rFonts w:ascii="SimSun" w:eastAsia="SimSun" w:hAnsi="SimSun" w:cs="SimSun"/>
          <w:spacing w:val="1"/>
          <w:sz w:val="49"/>
          <w:szCs w:val="49"/>
        </w:rPr>
        <w:t>应收账款周转率=赊销收入净额/应收账款平均余额</w:t>
      </w:r>
    </w:p>
    <w:p>
      <w:pPr>
        <w:spacing w:before="336" w:line="361" w:lineRule="auto"/>
        <w:ind w:firstLine="1201"/>
        <w:rPr>
          <w:rFonts w:ascii="SimSun" w:eastAsia="SimSun" w:hAnsi="SimSun" w:cs="SimSun"/>
          <w:sz w:val="49"/>
          <w:szCs w:val="49"/>
        </w:rPr>
      </w:pPr>
      <w:r>
        <w:rPr>
          <w:rFonts w:ascii="SimSun" w:eastAsia="SimSun" w:hAnsi="SimSun" w:cs="SimSun"/>
          <w:spacing w:val="-1"/>
          <w:sz w:val="49"/>
          <w:szCs w:val="49"/>
        </w:rPr>
        <w:t>其中公式中的赊销收入净额是指销售收入扣除了销货退回、销货折扣及折让</w:t>
      </w:r>
      <w:r>
        <w:rPr>
          <w:rFonts w:ascii="SimSun" w:eastAsia="SimSun" w:hAnsi="SimSun" w:cs="SimSun"/>
          <w:spacing w:val="9"/>
          <w:sz w:val="49"/>
          <w:szCs w:val="49"/>
        </w:rPr>
        <w:t xml:space="preserve">  </w:t>
      </w:r>
      <w:r>
        <w:rPr>
          <w:rFonts w:ascii="SimSun" w:eastAsia="SimSun" w:hAnsi="SimSun" w:cs="SimSun"/>
          <w:spacing w:val="-12"/>
          <w:sz w:val="49"/>
          <w:szCs w:val="49"/>
        </w:rPr>
        <w:t>后的赊销净额。这一比率越高，说明企业催收现款的速度越快，可以减少坏账损失，</w:t>
      </w:r>
      <w:r>
        <w:rPr>
          <w:rFonts w:ascii="SimSun" w:eastAsia="SimSun" w:hAnsi="SimSun" w:cs="SimSun"/>
          <w:spacing w:val="9"/>
          <w:sz w:val="49"/>
          <w:szCs w:val="49"/>
        </w:rPr>
        <w:t xml:space="preserve"> </w:t>
      </w:r>
      <w:r>
        <w:rPr>
          <w:rFonts w:ascii="SimSun" w:eastAsia="SimSun" w:hAnsi="SimSun" w:cs="SimSun"/>
          <w:spacing w:val="-2"/>
          <w:sz w:val="49"/>
          <w:szCs w:val="49"/>
        </w:rPr>
        <w:t>而且资产的流动性强，企业的短期偿债能力也会增强，在一定程度上可以弥补流动</w:t>
      </w:r>
      <w:r>
        <w:rPr>
          <w:rFonts w:ascii="SimSun" w:eastAsia="SimSun" w:hAnsi="SimSun" w:cs="SimSun"/>
          <w:spacing w:val="5"/>
          <w:sz w:val="49"/>
          <w:szCs w:val="49"/>
        </w:rPr>
        <w:t xml:space="preserve"> </w:t>
      </w:r>
      <w:r>
        <w:rPr>
          <w:rFonts w:ascii="SimSun" w:eastAsia="SimSun" w:hAnsi="SimSun" w:cs="SimSun"/>
          <w:spacing w:val="-2"/>
          <w:sz w:val="49"/>
          <w:szCs w:val="49"/>
        </w:rPr>
        <w:t>比率低的不利影响。但是如果应收账款周转率过高，可能是企业奉行了比较严格的</w:t>
      </w:r>
      <w:r>
        <w:rPr>
          <w:rFonts w:ascii="SimSun" w:eastAsia="SimSun" w:hAnsi="SimSun" w:cs="SimSun"/>
          <w:spacing w:val="9"/>
          <w:sz w:val="49"/>
          <w:szCs w:val="49"/>
        </w:rPr>
        <w:t xml:space="preserve"> </w:t>
      </w:r>
      <w:r>
        <w:rPr>
          <w:rFonts w:ascii="SimSun" w:eastAsia="SimSun" w:hAnsi="SimSun" w:cs="SimSun"/>
          <w:spacing w:val="-4"/>
          <w:sz w:val="49"/>
          <w:szCs w:val="49"/>
        </w:rPr>
        <w:t>信用政策、信用标准和付款条件过于苛刻的结果。这样会限制企业销售量的扩大，</w:t>
      </w:r>
    </w:p>
    <w:p>
      <w:pPr>
        <w:spacing w:line="220" w:lineRule="auto"/>
        <w:rPr>
          <w:rFonts w:ascii="SimSun" w:eastAsia="SimSun" w:hAnsi="SimSun" w:cs="SimSun"/>
          <w:sz w:val="49"/>
          <w:szCs w:val="49"/>
        </w:rPr>
      </w:pPr>
      <w:r>
        <w:rPr>
          <w:rFonts w:ascii="SimSun" w:eastAsia="SimSun" w:hAnsi="SimSun" w:cs="SimSun"/>
          <w:spacing w:val="-8"/>
          <w:sz w:val="49"/>
          <w:szCs w:val="49"/>
        </w:rPr>
        <w:t>从而会影响企业的盈利能力。</w:t>
      </w:r>
    </w:p>
    <w:p>
      <w:pPr>
        <w:spacing w:before="372" w:line="981" w:lineRule="exact"/>
        <w:ind w:right="133"/>
        <w:jc w:val="right"/>
        <w:rPr>
          <w:rFonts w:ascii="SimSun" w:eastAsia="SimSun" w:hAnsi="SimSun" w:cs="SimSun"/>
          <w:sz w:val="49"/>
          <w:szCs w:val="49"/>
        </w:rPr>
      </w:pPr>
      <w:r>
        <w:rPr>
          <w:rFonts w:ascii="SimSun" w:eastAsia="SimSun" w:hAnsi="SimSun" w:cs="SimSun"/>
          <w:spacing w:val="11"/>
          <w:position w:val="36"/>
          <w:sz w:val="49"/>
          <w:szCs w:val="49"/>
        </w:rPr>
        <w:t>由表3可以得到，2008年的应收账款周转率31.93,2009年应收账款周转</w:t>
      </w:r>
      <w:r>
        <w:rPr>
          <w:rFonts w:ascii="SimSun" w:eastAsia="SimSun" w:hAnsi="SimSun" w:cs="SimSun"/>
          <w:spacing w:val="10"/>
          <w:position w:val="36"/>
          <w:sz w:val="49"/>
          <w:szCs w:val="49"/>
        </w:rPr>
        <w:t>率为</w:t>
      </w:r>
    </w:p>
    <w:p>
      <w:pPr>
        <w:spacing w:line="218" w:lineRule="auto"/>
        <w:rPr>
          <w:rFonts w:ascii="SimSun" w:eastAsia="SimSun" w:hAnsi="SimSun" w:cs="SimSun"/>
          <w:sz w:val="49"/>
          <w:szCs w:val="49"/>
        </w:rPr>
      </w:pPr>
      <w:r>
        <w:rPr>
          <w:rFonts w:ascii="SimSun" w:eastAsia="SimSun" w:hAnsi="SimSun" w:cs="SimSun"/>
          <w:spacing w:val="20"/>
          <w:sz w:val="49"/>
          <w:szCs w:val="49"/>
        </w:rPr>
        <w:t>19.95,2010年的应收账款的周转率33.07,可见2009年的</w:t>
      </w:r>
      <w:r>
        <w:rPr>
          <w:rFonts w:ascii="SimSun" w:eastAsia="SimSun" w:hAnsi="SimSun" w:cs="SimSun"/>
          <w:spacing w:val="19"/>
          <w:sz w:val="49"/>
          <w:szCs w:val="49"/>
        </w:rPr>
        <w:t>应收账款周转率比2008</w:t>
      </w:r>
    </w:p>
    <w:p>
      <w:pPr>
        <w:spacing w:line="218" w:lineRule="auto"/>
        <w:rPr>
          <w:rFonts w:ascii="SimSun" w:eastAsia="SimSun" w:hAnsi="SimSun" w:cs="SimSun"/>
          <w:sz w:val="49"/>
          <w:szCs w:val="49"/>
        </w:rPr>
        <w:sectPr>
          <w:footerReference w:type="default" r:id="rId16"/>
          <w:pgSz w:w="22849" w:h="31680"/>
          <w:pgMar w:top="2692" w:right="2252" w:bottom="400" w:left="2896" w:header="0" w:footer="0" w:gutter="0"/>
          <w:pgNumType w:start="13"/>
          <w:cols w:space="708"/>
        </w:sectPr>
      </w:pPr>
    </w:p>
    <w:p>
      <w:pPr>
        <w:spacing w:line="257" w:lineRule="auto"/>
        <w:rPr>
          <w:rFonts w:ascii="Arial"/>
          <w:sz w:val="21"/>
        </w:rPr>
      </w:pPr>
    </w:p>
    <w:p>
      <w:pPr>
        <w:spacing w:before="159" w:line="980" w:lineRule="exact"/>
        <w:rPr>
          <w:rFonts w:ascii="SimSun" w:eastAsia="SimSun" w:hAnsi="SimSun" w:cs="SimSun"/>
          <w:sz w:val="49"/>
          <w:szCs w:val="49"/>
        </w:rPr>
      </w:pPr>
      <w:r>
        <w:rPr>
          <w:rFonts w:ascii="SimSun" w:eastAsia="SimSun" w:hAnsi="SimSun" w:cs="SimSun"/>
          <w:spacing w:val="19"/>
          <w:position w:val="36"/>
          <w:sz w:val="49"/>
          <w:szCs w:val="49"/>
        </w:rPr>
        <w:t>年和2010年要低，说明2009年的应收账款周转速度要慢些，2008和2010年的应</w:t>
      </w:r>
    </w:p>
    <w:p>
      <w:pPr>
        <w:spacing w:line="221" w:lineRule="auto"/>
        <w:rPr>
          <w:rFonts w:ascii="SimSun" w:eastAsia="SimSun" w:hAnsi="SimSun" w:cs="SimSun"/>
          <w:sz w:val="49"/>
          <w:szCs w:val="49"/>
        </w:rPr>
      </w:pPr>
      <w:r>
        <w:rPr>
          <w:rFonts w:ascii="SimSun" w:eastAsia="SimSun" w:hAnsi="SimSun" w:cs="SimSun"/>
          <w:spacing w:val="-11"/>
          <w:sz w:val="49"/>
          <w:szCs w:val="49"/>
        </w:rPr>
        <w:t>收账款周转较好。</w:t>
      </w:r>
    </w:p>
    <w:p>
      <w:pPr>
        <w:spacing w:before="357" w:line="220" w:lineRule="auto"/>
        <w:ind w:left="1210"/>
        <w:rPr>
          <w:rFonts w:ascii="SimSun" w:eastAsia="SimSun" w:hAnsi="SimSun" w:cs="SimSun"/>
          <w:sz w:val="49"/>
          <w:szCs w:val="49"/>
        </w:rPr>
      </w:pPr>
      <w:r>
        <w:rPr>
          <w:rFonts w:ascii="SimSun" w:eastAsia="SimSun" w:hAnsi="SimSun" w:cs="SimSun"/>
          <w:spacing w:val="-2"/>
          <w:sz w:val="49"/>
          <w:szCs w:val="49"/>
        </w:rPr>
        <w:t>3.2.2 存货周转率</w:t>
      </w:r>
    </w:p>
    <w:p>
      <w:pPr>
        <w:pStyle w:val="BodyText"/>
        <w:spacing w:before="294" w:line="369" w:lineRule="auto"/>
        <w:ind w:right="138" w:firstLine="1210"/>
        <w:rPr>
          <w:rFonts w:ascii="SimSun" w:eastAsia="SimSun" w:hAnsi="SimSun" w:cs="SimSun"/>
          <w:sz w:val="49"/>
          <w:szCs w:val="49"/>
        </w:rPr>
      </w:pPr>
      <w:r>
        <w:rPr>
          <w:rFonts w:ascii="SimSun" w:eastAsia="SimSun" w:hAnsi="SimSun" w:cs="SimSun"/>
          <w:spacing w:val="3"/>
          <w:sz w:val="49"/>
          <w:szCs w:val="49"/>
        </w:rPr>
        <w:t>存货周转率</w:t>
      </w:r>
      <w:r>
        <w:rPr>
          <w:rFonts w:ascii="SimSun" w:eastAsia="SimSun" w:hAnsi="SimSun" w:cs="SimSun"/>
          <w:spacing w:val="-45"/>
          <w:sz w:val="49"/>
          <w:szCs w:val="49"/>
        </w:rPr>
        <w:t xml:space="preserve"> </w:t>
      </w:r>
      <w:r>
        <w:rPr>
          <w:spacing w:val="3"/>
          <w:sz w:val="49"/>
          <w:szCs w:val="49"/>
        </w:rPr>
        <w:t>(</w:t>
      </w:r>
      <w:r>
        <w:rPr>
          <w:sz w:val="49"/>
          <w:szCs w:val="49"/>
        </w:rPr>
        <w:t>inventory</w:t>
      </w:r>
      <w:r>
        <w:rPr>
          <w:spacing w:val="3"/>
          <w:sz w:val="49"/>
          <w:szCs w:val="49"/>
        </w:rPr>
        <w:t xml:space="preserve">        </w:t>
      </w:r>
      <w:r>
        <w:rPr>
          <w:sz w:val="49"/>
          <w:szCs w:val="49"/>
        </w:rPr>
        <w:t>turnover</w:t>
      </w:r>
      <w:r>
        <w:rPr>
          <w:spacing w:val="3"/>
          <w:sz w:val="49"/>
          <w:szCs w:val="49"/>
        </w:rPr>
        <w:t>)</w:t>
      </w:r>
      <w:r>
        <w:rPr>
          <w:spacing w:val="78"/>
          <w:sz w:val="49"/>
          <w:szCs w:val="49"/>
        </w:rPr>
        <w:t xml:space="preserve"> </w:t>
      </w:r>
      <w:r>
        <w:rPr>
          <w:rFonts w:ascii="SimSun" w:eastAsia="SimSun" w:hAnsi="SimSun" w:cs="SimSun"/>
          <w:spacing w:val="3"/>
          <w:sz w:val="49"/>
          <w:szCs w:val="49"/>
        </w:rPr>
        <w:t xml:space="preserve">又名库存周转率，是衡量和评价企业购 </w:t>
      </w:r>
      <w:r>
        <w:rPr>
          <w:rFonts w:ascii="SimSun" w:eastAsia="SimSun" w:hAnsi="SimSun" w:cs="SimSun"/>
          <w:spacing w:val="-3"/>
          <w:sz w:val="49"/>
          <w:szCs w:val="49"/>
        </w:rPr>
        <w:t>入存货、投入生产、销售收回等各环节管理状况的综合性指标。它是销货成本被平</w:t>
      </w:r>
      <w:r>
        <w:rPr>
          <w:rFonts w:ascii="SimSun" w:eastAsia="SimSun" w:hAnsi="SimSun" w:cs="SimSun"/>
          <w:spacing w:val="12"/>
          <w:sz w:val="49"/>
          <w:szCs w:val="49"/>
        </w:rPr>
        <w:t xml:space="preserve"> </w:t>
      </w:r>
      <w:r>
        <w:rPr>
          <w:rFonts w:ascii="SimSun" w:eastAsia="SimSun" w:hAnsi="SimSun" w:cs="SimSun"/>
          <w:spacing w:val="-2"/>
          <w:sz w:val="49"/>
          <w:szCs w:val="49"/>
        </w:rPr>
        <w:t>均存货所除而得到的比率，或叫存货周转次数，用时间表示的</w:t>
      </w:r>
      <w:r>
        <w:rPr>
          <w:rFonts w:ascii="SimSun" w:eastAsia="SimSun" w:hAnsi="SimSun" w:cs="SimSun"/>
          <w:spacing w:val="-3"/>
          <w:sz w:val="49"/>
          <w:szCs w:val="49"/>
        </w:rPr>
        <w:t>存货周转率就是存货</w:t>
      </w:r>
    </w:p>
    <w:p>
      <w:pPr>
        <w:spacing w:line="221" w:lineRule="auto"/>
        <w:rPr>
          <w:rFonts w:ascii="SimSun" w:eastAsia="SimSun" w:hAnsi="SimSun" w:cs="SimSun"/>
          <w:sz w:val="49"/>
          <w:szCs w:val="49"/>
        </w:rPr>
      </w:pPr>
      <w:r>
        <w:rPr>
          <w:rFonts w:ascii="SimSun" w:eastAsia="SimSun" w:hAnsi="SimSun" w:cs="SimSun"/>
          <w:spacing w:val="-12"/>
          <w:sz w:val="49"/>
          <w:szCs w:val="49"/>
        </w:rPr>
        <w:t>周转天数。</w:t>
      </w:r>
    </w:p>
    <w:p>
      <w:pPr>
        <w:spacing w:before="393" w:line="221" w:lineRule="auto"/>
        <w:ind w:left="2499"/>
        <w:rPr>
          <w:rFonts w:ascii="SimSun" w:eastAsia="SimSun" w:hAnsi="SimSun" w:cs="SimSun"/>
          <w:sz w:val="49"/>
          <w:szCs w:val="49"/>
        </w:rPr>
      </w:pPr>
      <w:r>
        <w:rPr>
          <w:rFonts w:ascii="SimSun" w:eastAsia="SimSun" w:hAnsi="SimSun" w:cs="SimSun"/>
          <w:spacing w:val="-18"/>
          <w:sz w:val="49"/>
          <w:szCs w:val="49"/>
        </w:rPr>
        <w:t>计算公式如下：</w:t>
      </w:r>
    </w:p>
    <w:p>
      <w:pPr>
        <w:spacing w:before="323" w:line="220" w:lineRule="auto"/>
        <w:ind w:left="1210"/>
        <w:rPr>
          <w:rFonts w:ascii="SimSun" w:eastAsia="SimSun" w:hAnsi="SimSun" w:cs="SimSun"/>
          <w:sz w:val="49"/>
          <w:szCs w:val="49"/>
        </w:rPr>
      </w:pPr>
      <w:r>
        <w:rPr>
          <w:rFonts w:ascii="SimSun" w:eastAsia="SimSun" w:hAnsi="SimSun" w:cs="SimSun"/>
          <w:spacing w:val="20"/>
          <w:sz w:val="49"/>
          <w:szCs w:val="49"/>
        </w:rPr>
        <w:t>存货周转率(次数)=销货成本/平均存货余额</w:t>
      </w:r>
    </w:p>
    <w:p>
      <w:pPr>
        <w:spacing w:before="377" w:line="963" w:lineRule="exact"/>
        <w:ind w:left="1210"/>
        <w:rPr>
          <w:rFonts w:ascii="SimSun" w:eastAsia="SimSun" w:hAnsi="SimSun" w:cs="SimSun"/>
          <w:sz w:val="49"/>
          <w:szCs w:val="49"/>
        </w:rPr>
      </w:pPr>
      <w:r>
        <w:rPr>
          <w:rFonts w:ascii="SimSun" w:eastAsia="SimSun" w:hAnsi="SimSun" w:cs="SimSun"/>
          <w:spacing w:val="31"/>
          <w:position w:val="35"/>
          <w:sz w:val="49"/>
          <w:szCs w:val="49"/>
        </w:rPr>
        <w:t>其中：平均存货余额=(期初存货+期末存货)÷2</w:t>
      </w:r>
    </w:p>
    <w:p>
      <w:pPr>
        <w:spacing w:before="1" w:line="220" w:lineRule="auto"/>
        <w:ind w:left="1210"/>
        <w:rPr>
          <w:rFonts w:ascii="SimSun" w:eastAsia="SimSun" w:hAnsi="SimSun" w:cs="SimSun"/>
          <w:sz w:val="49"/>
          <w:szCs w:val="49"/>
        </w:rPr>
      </w:pPr>
      <w:r>
        <w:rPr>
          <w:rFonts w:ascii="SimSun" w:eastAsia="SimSun" w:hAnsi="SimSun" w:cs="SimSun"/>
          <w:spacing w:val="-2"/>
          <w:sz w:val="49"/>
          <w:szCs w:val="49"/>
        </w:rPr>
        <w:t>存货周转天数=360/存货周转次数</w:t>
      </w:r>
    </w:p>
    <w:p>
      <w:pPr>
        <w:spacing w:before="392" w:line="362" w:lineRule="auto"/>
        <w:ind w:right="202" w:firstLine="1210"/>
        <w:rPr>
          <w:rFonts w:ascii="SimSun" w:eastAsia="SimSun" w:hAnsi="SimSun" w:cs="SimSun"/>
          <w:sz w:val="49"/>
          <w:szCs w:val="49"/>
        </w:rPr>
      </w:pPr>
      <w:r>
        <w:rPr>
          <w:rFonts w:ascii="SimSun" w:eastAsia="SimSun" w:hAnsi="SimSun" w:cs="SimSun"/>
          <w:spacing w:val="7"/>
          <w:sz w:val="49"/>
          <w:szCs w:val="49"/>
        </w:rPr>
        <w:t>一般来讲，存货周转速度越快(即存货周转率或存货周转次数越大、存货周</w:t>
      </w:r>
      <w:r>
        <w:rPr>
          <w:rFonts w:ascii="SimSun" w:eastAsia="SimSun" w:hAnsi="SimSun" w:cs="SimSun"/>
          <w:spacing w:val="10"/>
          <w:sz w:val="49"/>
          <w:szCs w:val="49"/>
        </w:rPr>
        <w:t xml:space="preserve"> </w:t>
      </w:r>
      <w:r>
        <w:rPr>
          <w:rFonts w:ascii="SimSun" w:eastAsia="SimSun" w:hAnsi="SimSun" w:cs="SimSun"/>
          <w:spacing w:val="6"/>
          <w:sz w:val="49"/>
          <w:szCs w:val="49"/>
        </w:rPr>
        <w:t>转天数越短),存货占用水平越低，流动性越强，存货转化为现金或应收账款的速</w:t>
      </w:r>
      <w:r>
        <w:rPr>
          <w:rFonts w:ascii="SimSun" w:eastAsia="SimSun" w:hAnsi="SimSun" w:cs="SimSun"/>
          <w:spacing w:val="15"/>
          <w:sz w:val="49"/>
          <w:szCs w:val="49"/>
        </w:rPr>
        <w:t xml:space="preserve"> </w:t>
      </w:r>
      <w:r>
        <w:rPr>
          <w:rFonts w:ascii="SimSun" w:eastAsia="SimSun" w:hAnsi="SimSun" w:cs="SimSun"/>
          <w:spacing w:val="-4"/>
          <w:sz w:val="49"/>
          <w:szCs w:val="49"/>
        </w:rPr>
        <w:t>度就越快，这样会增强企业的短期偿债能力及获利能力。通过存货周转速</w:t>
      </w:r>
      <w:r>
        <w:rPr>
          <w:rFonts w:ascii="SimSun" w:eastAsia="SimSun" w:hAnsi="SimSun" w:cs="SimSun"/>
          <w:spacing w:val="-5"/>
          <w:sz w:val="49"/>
          <w:szCs w:val="49"/>
        </w:rPr>
        <w:t>度分析，</w:t>
      </w:r>
    </w:p>
    <w:p>
      <w:pPr>
        <w:spacing w:before="1" w:line="220" w:lineRule="auto"/>
        <w:rPr>
          <w:rFonts w:ascii="SimSun" w:eastAsia="SimSun" w:hAnsi="SimSun" w:cs="SimSun"/>
          <w:sz w:val="49"/>
          <w:szCs w:val="49"/>
        </w:rPr>
      </w:pPr>
      <w:r>
        <w:rPr>
          <w:rFonts w:ascii="SimSun" w:eastAsia="SimSun" w:hAnsi="SimSun" w:cs="SimSun"/>
          <w:spacing w:val="-5"/>
          <w:sz w:val="49"/>
          <w:szCs w:val="49"/>
        </w:rPr>
        <w:t>有利于找出存货管理中存在的问题，尽可能降低资金占用水平。</w:t>
      </w:r>
    </w:p>
    <w:p>
      <w:pPr>
        <w:spacing w:before="327" w:line="369" w:lineRule="auto"/>
        <w:ind w:right="144" w:firstLine="1210"/>
        <w:rPr>
          <w:rFonts w:ascii="SimSun" w:eastAsia="SimSun" w:hAnsi="SimSun" w:cs="SimSun"/>
          <w:sz w:val="49"/>
          <w:szCs w:val="49"/>
        </w:rPr>
      </w:pPr>
      <w:r>
        <w:rPr>
          <w:rFonts w:ascii="SimSun" w:eastAsia="SimSun" w:hAnsi="SimSun" w:cs="SimSun"/>
          <w:spacing w:val="-2"/>
          <w:sz w:val="49"/>
          <w:szCs w:val="49"/>
        </w:rPr>
        <w:t xml:space="preserve">存货周转率反映了企业销售效率和存货使用效率。在正常情况下，如果企业 </w:t>
      </w:r>
      <w:r>
        <w:rPr>
          <w:rFonts w:ascii="SimSun" w:eastAsia="SimSun" w:hAnsi="SimSun" w:cs="SimSun"/>
          <w:spacing w:val="-2"/>
          <w:sz w:val="49"/>
          <w:szCs w:val="49"/>
        </w:rPr>
        <w:t>经营顺利，存货周转率越高，说明企业存货周转</w:t>
      </w:r>
      <w:r>
        <w:rPr>
          <w:rFonts w:ascii="SimSun" w:eastAsia="SimSun" w:hAnsi="SimSun" w:cs="SimSun"/>
          <w:spacing w:val="-3"/>
          <w:sz w:val="49"/>
          <w:szCs w:val="49"/>
        </w:rPr>
        <w:t>得越快，企业的销售能力越强。营</w:t>
      </w:r>
    </w:p>
    <w:p>
      <w:pPr>
        <w:spacing w:before="1" w:line="220" w:lineRule="auto"/>
        <w:rPr>
          <w:rFonts w:ascii="SimSun" w:eastAsia="SimSun" w:hAnsi="SimSun" w:cs="SimSun"/>
          <w:sz w:val="49"/>
          <w:szCs w:val="49"/>
        </w:rPr>
      </w:pPr>
      <w:r>
        <w:rPr>
          <w:rFonts w:ascii="SimSun" w:eastAsia="SimSun" w:hAnsi="SimSun" w:cs="SimSun"/>
          <w:spacing w:val="-6"/>
          <w:sz w:val="49"/>
          <w:szCs w:val="49"/>
        </w:rPr>
        <w:t>运资金占用在存货上的金额也会越少。</w:t>
      </w:r>
    </w:p>
    <w:p>
      <w:pPr>
        <w:spacing w:before="358" w:line="362" w:lineRule="auto"/>
        <w:ind w:right="335" w:firstLine="1210"/>
        <w:rPr>
          <w:rFonts w:ascii="SimSun" w:eastAsia="SimSun" w:hAnsi="SimSun" w:cs="SimSun"/>
          <w:sz w:val="49"/>
          <w:szCs w:val="49"/>
        </w:rPr>
      </w:pPr>
      <w:r>
        <w:rPr>
          <w:rFonts w:ascii="SimSun" w:eastAsia="SimSun" w:hAnsi="SimSun" w:cs="SimSun"/>
          <w:spacing w:val="-1"/>
          <w:sz w:val="49"/>
          <w:szCs w:val="49"/>
        </w:rPr>
        <w:t>存货周转率的变动主要是“主营业务成本”与“存货”金额变动引起，所以</w:t>
      </w:r>
      <w:r>
        <w:rPr>
          <w:rFonts w:ascii="SimSun" w:eastAsia="SimSun" w:hAnsi="SimSun" w:cs="SimSun"/>
          <w:spacing w:val="15"/>
          <w:sz w:val="49"/>
          <w:szCs w:val="49"/>
        </w:rPr>
        <w:t xml:space="preserve"> </w:t>
      </w:r>
      <w:r>
        <w:rPr>
          <w:rFonts w:ascii="SimSun" w:eastAsia="SimSun" w:hAnsi="SimSun" w:cs="SimSun"/>
          <w:sz w:val="49"/>
          <w:szCs w:val="49"/>
        </w:rPr>
        <w:t>在上市公司年报审计当中可以通过存货周转率反映其与“</w:t>
      </w:r>
      <w:r>
        <w:rPr>
          <w:rFonts w:ascii="SimSun" w:eastAsia="SimSun" w:hAnsi="SimSun" w:cs="SimSun"/>
          <w:spacing w:val="-1"/>
          <w:sz w:val="49"/>
          <w:szCs w:val="49"/>
        </w:rPr>
        <w:t>计价和分摊”有关的认</w:t>
      </w:r>
    </w:p>
    <w:p>
      <w:pPr>
        <w:spacing w:before="2" w:line="221" w:lineRule="auto"/>
        <w:rPr>
          <w:rFonts w:ascii="SimSun" w:eastAsia="SimSun" w:hAnsi="SimSun" w:cs="SimSun"/>
          <w:sz w:val="49"/>
          <w:szCs w:val="49"/>
        </w:rPr>
      </w:pPr>
      <w:r>
        <w:rPr>
          <w:rFonts w:ascii="SimSun" w:eastAsia="SimSun" w:hAnsi="SimSun" w:cs="SimSun"/>
          <w:spacing w:val="-16"/>
          <w:sz w:val="49"/>
          <w:szCs w:val="49"/>
        </w:rPr>
        <w:t>定。</w:t>
      </w:r>
    </w:p>
    <w:p>
      <w:pPr>
        <w:spacing w:before="341" w:line="358" w:lineRule="auto"/>
        <w:ind w:firstLine="1210"/>
        <w:rPr>
          <w:rFonts w:ascii="SimSun" w:eastAsia="SimSun" w:hAnsi="SimSun" w:cs="SimSun"/>
          <w:sz w:val="49"/>
          <w:szCs w:val="49"/>
        </w:rPr>
      </w:pPr>
      <w:r>
        <w:rPr>
          <w:rFonts w:ascii="SimSun" w:eastAsia="SimSun" w:hAnsi="SimSun" w:cs="SimSun"/>
          <w:spacing w:val="18"/>
          <w:sz w:val="49"/>
          <w:szCs w:val="49"/>
        </w:rPr>
        <w:t>由表3可以得到，山东海化的2008年存货周转率12.55,20</w:t>
      </w:r>
      <w:r>
        <w:rPr>
          <w:rFonts w:ascii="SimSun" w:eastAsia="SimSun" w:hAnsi="SimSun" w:cs="SimSun"/>
          <w:spacing w:val="17"/>
          <w:sz w:val="49"/>
          <w:szCs w:val="49"/>
        </w:rPr>
        <w:t>09年的存货周转</w:t>
      </w:r>
      <w:r>
        <w:rPr>
          <w:rFonts w:ascii="SimSun" w:eastAsia="SimSun" w:hAnsi="SimSun" w:cs="SimSun"/>
          <w:sz w:val="49"/>
          <w:szCs w:val="49"/>
        </w:rPr>
        <w:t xml:space="preserve">  </w:t>
      </w:r>
      <w:r>
        <w:rPr>
          <w:rFonts w:ascii="SimSun" w:eastAsia="SimSun" w:hAnsi="SimSun" w:cs="SimSun"/>
          <w:spacing w:val="19"/>
          <w:sz w:val="49"/>
          <w:szCs w:val="49"/>
        </w:rPr>
        <w:t>率11.46,2010年存货周转率13.49,可见企业三年存货周转率先下降后</w:t>
      </w:r>
      <w:r>
        <w:rPr>
          <w:rFonts w:ascii="SimSun" w:eastAsia="SimSun" w:hAnsi="SimSun" w:cs="SimSun"/>
          <w:spacing w:val="18"/>
          <w:sz w:val="49"/>
          <w:szCs w:val="49"/>
        </w:rPr>
        <w:t xml:space="preserve">上升，存 </w:t>
      </w:r>
      <w:r>
        <w:rPr>
          <w:rFonts w:ascii="SimSun" w:eastAsia="SimSun" w:hAnsi="SimSun" w:cs="SimSun"/>
          <w:spacing w:val="1"/>
          <w:sz w:val="49"/>
          <w:szCs w:val="49"/>
        </w:rPr>
        <w:t>货周转次数有加快的趋势，企业存货运转良好。主要是营业收入2009年下降太多，</w:t>
      </w:r>
    </w:p>
    <w:p>
      <w:pPr>
        <w:spacing w:line="218" w:lineRule="auto"/>
        <w:rPr>
          <w:rFonts w:ascii="SimSun" w:eastAsia="SimSun" w:hAnsi="SimSun" w:cs="SimSun"/>
          <w:sz w:val="49"/>
          <w:szCs w:val="49"/>
        </w:rPr>
      </w:pPr>
      <w:r>
        <w:rPr>
          <w:rFonts w:ascii="SimSun" w:eastAsia="SimSun" w:hAnsi="SimSun" w:cs="SimSun"/>
          <w:spacing w:val="23"/>
          <w:sz w:val="49"/>
          <w:szCs w:val="49"/>
        </w:rPr>
        <w:t>由2008年的8577631135.73,降到5458641159.87,使得存货周转率0</w:t>
      </w:r>
      <w:r>
        <w:rPr>
          <w:rFonts w:ascii="SimSun" w:eastAsia="SimSun" w:hAnsi="SimSun" w:cs="SimSun"/>
          <w:spacing w:val="22"/>
          <w:sz w:val="49"/>
          <w:szCs w:val="49"/>
        </w:rPr>
        <w:t>9年下降。</w:t>
      </w:r>
    </w:p>
    <w:p>
      <w:pPr>
        <w:spacing w:line="256" w:lineRule="auto"/>
        <w:rPr>
          <w:rFonts w:ascii="Arial"/>
          <w:sz w:val="21"/>
        </w:rPr>
      </w:pPr>
    </w:p>
    <w:p>
      <w:pPr>
        <w:spacing w:before="160" w:line="221" w:lineRule="auto"/>
        <w:ind w:left="1210"/>
        <w:rPr>
          <w:rFonts w:ascii="SimSun" w:eastAsia="SimSun" w:hAnsi="SimSun" w:cs="SimSun"/>
          <w:sz w:val="49"/>
          <w:szCs w:val="49"/>
        </w:rPr>
      </w:pPr>
      <w:r>
        <w:rPr>
          <w:rFonts w:ascii="SimSun" w:eastAsia="SimSun" w:hAnsi="SimSun" w:cs="SimSun"/>
          <w:spacing w:val="2"/>
          <w:sz w:val="49"/>
          <w:szCs w:val="49"/>
        </w:rPr>
        <w:t>3.2.3 流动资产周转率</w:t>
      </w:r>
    </w:p>
    <w:p>
      <w:pPr>
        <w:spacing w:line="221" w:lineRule="auto"/>
        <w:rPr>
          <w:rFonts w:ascii="SimSun" w:eastAsia="SimSun" w:hAnsi="SimSun" w:cs="SimSun"/>
          <w:sz w:val="49"/>
          <w:szCs w:val="49"/>
        </w:rPr>
        <w:sectPr>
          <w:footerReference w:type="default" r:id="rId17"/>
          <w:pgSz w:w="22849" w:h="31680"/>
          <w:pgMar w:top="2692" w:right="2278" w:bottom="400" w:left="2870" w:header="0" w:footer="0" w:gutter="0"/>
          <w:pgNumType w:start="14"/>
          <w:cols w:space="708"/>
        </w:sectPr>
      </w:pPr>
    </w:p>
    <w:p>
      <w:pPr>
        <w:spacing w:line="257" w:lineRule="auto"/>
        <w:rPr>
          <w:rFonts w:ascii="Arial"/>
          <w:sz w:val="21"/>
        </w:rPr>
      </w:pPr>
    </w:p>
    <w:p>
      <w:pPr>
        <w:spacing w:before="159" w:line="977" w:lineRule="exact"/>
        <w:ind w:left="1245"/>
        <w:rPr>
          <w:rFonts w:ascii="SimSun" w:eastAsia="SimSun" w:hAnsi="SimSun" w:cs="SimSun"/>
          <w:sz w:val="49"/>
          <w:szCs w:val="49"/>
        </w:rPr>
      </w:pPr>
      <w:r>
        <w:rPr>
          <w:rFonts w:ascii="SimSun" w:eastAsia="SimSun" w:hAnsi="SimSun" w:cs="SimSun"/>
          <w:spacing w:val="-1"/>
          <w:position w:val="36"/>
          <w:sz w:val="49"/>
          <w:szCs w:val="49"/>
        </w:rPr>
        <w:t>流动资产周转率指企业一定时期内主营业务收入净额同平</w:t>
      </w:r>
      <w:r>
        <w:rPr>
          <w:rFonts w:ascii="SimSun" w:eastAsia="SimSun" w:hAnsi="SimSun" w:cs="SimSun"/>
          <w:spacing w:val="-2"/>
          <w:position w:val="36"/>
          <w:sz w:val="49"/>
          <w:szCs w:val="49"/>
        </w:rPr>
        <w:t>均流动资产总额的</w:t>
      </w:r>
    </w:p>
    <w:p>
      <w:pPr>
        <w:spacing w:before="1" w:line="219" w:lineRule="auto"/>
        <w:rPr>
          <w:rFonts w:ascii="SimSun" w:eastAsia="SimSun" w:hAnsi="SimSun" w:cs="SimSun"/>
          <w:sz w:val="49"/>
          <w:szCs w:val="49"/>
        </w:rPr>
      </w:pPr>
      <w:r>
        <w:rPr>
          <w:rFonts w:ascii="SimSun" w:eastAsia="SimSun" w:hAnsi="SimSun" w:cs="SimSun"/>
          <w:spacing w:val="-5"/>
          <w:sz w:val="49"/>
          <w:szCs w:val="49"/>
        </w:rPr>
        <w:t>比率，流动资产周转率是评价企业资产利用率的另一重要</w:t>
      </w:r>
      <w:r>
        <w:rPr>
          <w:rFonts w:ascii="SimSun" w:eastAsia="SimSun" w:hAnsi="SimSun" w:cs="SimSun"/>
          <w:spacing w:val="-6"/>
          <w:sz w:val="49"/>
          <w:szCs w:val="49"/>
        </w:rPr>
        <w:t>指标。</w:t>
      </w:r>
    </w:p>
    <w:p>
      <w:pPr>
        <w:spacing w:before="365" w:line="221" w:lineRule="auto"/>
        <w:ind w:left="1245"/>
        <w:rPr>
          <w:rFonts w:ascii="SimSun" w:eastAsia="SimSun" w:hAnsi="SimSun" w:cs="SimSun"/>
          <w:sz w:val="49"/>
          <w:szCs w:val="49"/>
        </w:rPr>
      </w:pPr>
      <w:r>
        <w:rPr>
          <w:rFonts w:ascii="SimSun" w:eastAsia="SimSun" w:hAnsi="SimSun" w:cs="SimSun"/>
          <w:spacing w:val="-19"/>
          <w:sz w:val="49"/>
          <w:szCs w:val="49"/>
        </w:rPr>
        <w:t>其计算公式如下：</w:t>
      </w:r>
    </w:p>
    <w:p>
      <w:pPr>
        <w:spacing w:before="367" w:line="221" w:lineRule="auto"/>
        <w:ind w:left="1245"/>
        <w:rPr>
          <w:rFonts w:ascii="SimSun" w:eastAsia="SimSun" w:hAnsi="SimSun" w:cs="SimSun"/>
          <w:sz w:val="49"/>
          <w:szCs w:val="49"/>
        </w:rPr>
      </w:pPr>
      <w:r>
        <w:rPr>
          <w:rFonts w:ascii="SimSun" w:eastAsia="SimSun" w:hAnsi="SimSun" w:cs="SimSun"/>
          <w:spacing w:val="19"/>
          <w:sz w:val="49"/>
          <w:szCs w:val="49"/>
        </w:rPr>
        <w:t>流动资产周转率(次)=主营业务收入/平均流动资产总额X100%</w:t>
      </w:r>
    </w:p>
    <w:p>
      <w:pPr>
        <w:spacing w:before="348" w:line="1008" w:lineRule="exact"/>
        <w:ind w:left="1245"/>
        <w:rPr>
          <w:rFonts w:ascii="SimSun" w:eastAsia="SimSun" w:hAnsi="SimSun" w:cs="SimSun"/>
          <w:sz w:val="49"/>
          <w:szCs w:val="49"/>
        </w:rPr>
      </w:pPr>
      <w:r>
        <w:rPr>
          <w:rFonts w:ascii="SimSun" w:eastAsia="SimSun" w:hAnsi="SimSun" w:cs="SimSun"/>
          <w:spacing w:val="-1"/>
          <w:position w:val="38"/>
          <w:sz w:val="49"/>
          <w:szCs w:val="49"/>
        </w:rPr>
        <w:t>主营业务收入净额是指企业当期销售产品、商品、</w:t>
      </w:r>
      <w:r>
        <w:rPr>
          <w:rFonts w:ascii="SimSun" w:eastAsia="SimSun" w:hAnsi="SimSun" w:cs="SimSun"/>
          <w:spacing w:val="-2"/>
          <w:position w:val="38"/>
          <w:sz w:val="49"/>
          <w:szCs w:val="49"/>
        </w:rPr>
        <w:t>提供劳务等主要经营活动</w:t>
      </w:r>
    </w:p>
    <w:p>
      <w:pPr>
        <w:spacing w:line="221" w:lineRule="auto"/>
        <w:rPr>
          <w:rFonts w:ascii="SimSun" w:eastAsia="SimSun" w:hAnsi="SimSun" w:cs="SimSun"/>
          <w:sz w:val="49"/>
          <w:szCs w:val="49"/>
        </w:rPr>
      </w:pPr>
      <w:r>
        <w:rPr>
          <w:rFonts w:ascii="SimSun" w:eastAsia="SimSun" w:hAnsi="SimSun" w:cs="SimSun"/>
          <w:spacing w:val="-6"/>
          <w:sz w:val="49"/>
          <w:szCs w:val="49"/>
        </w:rPr>
        <w:t>取得的收入减去折扣与折让后的数额。</w:t>
      </w:r>
    </w:p>
    <w:p>
      <w:pPr>
        <w:spacing w:before="332" w:line="221" w:lineRule="auto"/>
        <w:ind w:left="1245"/>
        <w:rPr>
          <w:rFonts w:ascii="SimSun" w:eastAsia="SimSun" w:hAnsi="SimSun" w:cs="SimSun"/>
          <w:sz w:val="49"/>
          <w:szCs w:val="49"/>
        </w:rPr>
      </w:pPr>
      <w:r>
        <w:rPr>
          <w:rFonts w:ascii="SimSun" w:eastAsia="SimSun" w:hAnsi="SimSun" w:cs="SimSun"/>
          <w:spacing w:val="-4"/>
          <w:sz w:val="49"/>
          <w:szCs w:val="49"/>
        </w:rPr>
        <w:t>平均流动资产总额是指企业流动资产总额的年初数与年末数的平均值。</w:t>
      </w:r>
    </w:p>
    <w:p>
      <w:pPr>
        <w:spacing w:line="252" w:lineRule="auto"/>
        <w:rPr>
          <w:rFonts w:ascii="Arial"/>
          <w:sz w:val="21"/>
        </w:rPr>
      </w:pPr>
    </w:p>
    <w:p>
      <w:pPr>
        <w:spacing w:before="160" w:line="353" w:lineRule="auto"/>
        <w:ind w:firstLine="1245"/>
        <w:rPr>
          <w:rFonts w:ascii="SimSun" w:eastAsia="SimSun" w:hAnsi="SimSun" w:cs="SimSun"/>
          <w:sz w:val="49"/>
          <w:szCs w:val="49"/>
        </w:rPr>
      </w:pPr>
      <w:r>
        <w:rPr>
          <w:rFonts w:ascii="SimSun" w:eastAsia="SimSun" w:hAnsi="SimSun" w:cs="SimSun"/>
          <w:spacing w:val="-2"/>
          <w:sz w:val="49"/>
          <w:szCs w:val="49"/>
        </w:rPr>
        <w:t xml:space="preserve">流动资产周转率反映了企业流动资产的周转速度，是从企业全部资产中流动 </w:t>
      </w:r>
      <w:r>
        <w:rPr>
          <w:rFonts w:ascii="SimSun" w:eastAsia="SimSun" w:hAnsi="SimSun" w:cs="SimSun"/>
          <w:spacing w:val="-2"/>
          <w:sz w:val="49"/>
          <w:szCs w:val="49"/>
        </w:rPr>
        <w:t>性最强的流动资产角度对企业资产的利用效率进行分析，以进一步揭示影响企业资</w:t>
      </w:r>
      <w:r>
        <w:rPr>
          <w:rFonts w:ascii="SimSun" w:eastAsia="SimSun" w:hAnsi="SimSun" w:cs="SimSun"/>
          <w:spacing w:val="7"/>
          <w:sz w:val="49"/>
          <w:szCs w:val="49"/>
        </w:rPr>
        <w:t xml:space="preserve"> </w:t>
      </w:r>
      <w:r>
        <w:rPr>
          <w:rFonts w:ascii="SimSun" w:eastAsia="SimSun" w:hAnsi="SimSun" w:cs="SimSun"/>
          <w:spacing w:val="-3"/>
          <w:sz w:val="49"/>
          <w:szCs w:val="49"/>
        </w:rPr>
        <w:t>产质量的主要因素。要实现该指标的良性变动，应以主营业务收入增幅高于流动资</w:t>
      </w:r>
      <w:r>
        <w:rPr>
          <w:rFonts w:ascii="SimSun" w:eastAsia="SimSun" w:hAnsi="SimSun" w:cs="SimSun"/>
          <w:sz w:val="49"/>
          <w:szCs w:val="49"/>
        </w:rPr>
        <w:t xml:space="preserve"> </w:t>
      </w:r>
      <w:r>
        <w:rPr>
          <w:rFonts w:ascii="SimSun" w:eastAsia="SimSun" w:hAnsi="SimSun" w:cs="SimSun"/>
          <w:spacing w:val="-2"/>
          <w:sz w:val="49"/>
          <w:szCs w:val="49"/>
        </w:rPr>
        <w:t>产增幅做保证。通过该指标的对比分析，可以促进企业加强</w:t>
      </w:r>
      <w:r>
        <w:rPr>
          <w:rFonts w:ascii="SimSun" w:eastAsia="SimSun" w:hAnsi="SimSun" w:cs="SimSun"/>
          <w:spacing w:val="-3"/>
          <w:sz w:val="49"/>
          <w:szCs w:val="49"/>
        </w:rPr>
        <w:t>内部管理，充分有效地</w:t>
      </w:r>
      <w:r>
        <w:rPr>
          <w:rFonts w:ascii="SimSun" w:eastAsia="SimSun" w:hAnsi="SimSun" w:cs="SimSun"/>
          <w:sz w:val="49"/>
          <w:szCs w:val="49"/>
        </w:rPr>
        <w:t xml:space="preserve"> </w:t>
      </w:r>
      <w:r>
        <w:rPr>
          <w:rFonts w:ascii="SimSun" w:eastAsia="SimSun" w:hAnsi="SimSun" w:cs="SimSun"/>
          <w:spacing w:val="-4"/>
          <w:sz w:val="49"/>
          <w:szCs w:val="49"/>
        </w:rPr>
        <w:t>利用流动资产，如降低成本、调动暂时闲置的货币资金用于短期投资创造</w:t>
      </w:r>
      <w:r>
        <w:rPr>
          <w:rFonts w:ascii="SimSun" w:eastAsia="SimSun" w:hAnsi="SimSun" w:cs="SimSun"/>
          <w:spacing w:val="-5"/>
          <w:sz w:val="49"/>
          <w:szCs w:val="49"/>
        </w:rPr>
        <w:t>收益等，</w:t>
      </w:r>
      <w:r>
        <w:rPr>
          <w:rFonts w:ascii="SimSun" w:eastAsia="SimSun" w:hAnsi="SimSun" w:cs="SimSun"/>
          <w:sz w:val="49"/>
          <w:szCs w:val="49"/>
        </w:rPr>
        <w:t xml:space="preserve"> </w:t>
      </w:r>
      <w:r>
        <w:rPr>
          <w:rFonts w:ascii="SimSun" w:eastAsia="SimSun" w:hAnsi="SimSun" w:cs="SimSun"/>
          <w:spacing w:val="-11"/>
          <w:sz w:val="49"/>
          <w:szCs w:val="49"/>
        </w:rPr>
        <w:t>还可以促进企业采取措施扩大销售，提高流动资产的综合使用效</w:t>
      </w:r>
      <w:r>
        <w:rPr>
          <w:rFonts w:ascii="SimSun" w:eastAsia="SimSun" w:hAnsi="SimSun" w:cs="SimSun"/>
          <w:spacing w:val="-12"/>
          <w:sz w:val="49"/>
          <w:szCs w:val="49"/>
        </w:rPr>
        <w:t>率。</w:t>
      </w:r>
      <w:r>
        <w:rPr>
          <w:rFonts w:ascii="SimSun" w:eastAsia="SimSun" w:hAnsi="SimSun" w:cs="SimSun"/>
          <w:spacing w:val="99"/>
          <w:sz w:val="49"/>
          <w:szCs w:val="49"/>
        </w:rPr>
        <w:t xml:space="preserve"> </w:t>
      </w:r>
      <w:r>
        <w:rPr>
          <w:rFonts w:ascii="SimSun" w:eastAsia="SimSun" w:hAnsi="SimSun" w:cs="SimSun"/>
          <w:spacing w:val="-12"/>
          <w:sz w:val="49"/>
          <w:szCs w:val="49"/>
        </w:rPr>
        <w:t>一般情况下，</w:t>
      </w:r>
      <w:r>
        <w:rPr>
          <w:rFonts w:ascii="SimSun" w:eastAsia="SimSun" w:hAnsi="SimSun" w:cs="SimSun"/>
          <w:sz w:val="49"/>
          <w:szCs w:val="49"/>
        </w:rPr>
        <w:t xml:space="preserve"> </w:t>
      </w:r>
      <w:r>
        <w:rPr>
          <w:rFonts w:ascii="SimSun" w:eastAsia="SimSun" w:hAnsi="SimSun" w:cs="SimSun"/>
          <w:spacing w:val="-5"/>
          <w:sz w:val="49"/>
          <w:szCs w:val="49"/>
        </w:rPr>
        <w:t>该指标越高，表明企业流动资产周转速度越快，利用越</w:t>
      </w:r>
      <w:r>
        <w:rPr>
          <w:rFonts w:ascii="SimSun" w:eastAsia="SimSun" w:hAnsi="SimSun" w:cs="SimSun"/>
          <w:spacing w:val="-6"/>
          <w:sz w:val="49"/>
          <w:szCs w:val="49"/>
        </w:rPr>
        <w:t>好。在较快的周转速度下，</w:t>
      </w:r>
      <w:r>
        <w:rPr>
          <w:rFonts w:ascii="SimSun" w:eastAsia="SimSun" w:hAnsi="SimSun" w:cs="SimSun"/>
          <w:sz w:val="49"/>
          <w:szCs w:val="49"/>
        </w:rPr>
        <w:t xml:space="preserve"> </w:t>
      </w:r>
      <w:r>
        <w:rPr>
          <w:rFonts w:ascii="SimSun" w:eastAsia="SimSun" w:hAnsi="SimSun" w:cs="SimSun"/>
          <w:spacing w:val="-2"/>
          <w:sz w:val="49"/>
          <w:szCs w:val="49"/>
        </w:rPr>
        <w:t>流动资产会相对节约，相当于流动资产投入的增加，在一定程度上</w:t>
      </w:r>
      <w:r>
        <w:rPr>
          <w:rFonts w:ascii="SimSun" w:eastAsia="SimSun" w:hAnsi="SimSun" w:cs="SimSun"/>
          <w:spacing w:val="-3"/>
          <w:sz w:val="49"/>
          <w:szCs w:val="49"/>
        </w:rPr>
        <w:t>增强了企业的盈</w:t>
      </w:r>
      <w:r>
        <w:rPr>
          <w:rFonts w:ascii="SimSun" w:eastAsia="SimSun" w:hAnsi="SimSun" w:cs="SimSun"/>
          <w:sz w:val="49"/>
          <w:szCs w:val="49"/>
        </w:rPr>
        <w:t xml:space="preserve"> </w:t>
      </w:r>
      <w:r>
        <w:rPr>
          <w:rFonts w:ascii="SimSun" w:eastAsia="SimSun" w:hAnsi="SimSun" w:cs="SimSun"/>
          <w:spacing w:val="-2"/>
          <w:sz w:val="49"/>
          <w:szCs w:val="49"/>
        </w:rPr>
        <w:t>利能力；而周转速度慢，则需要补充流动资金参加周转，会形成资金</w:t>
      </w:r>
      <w:r>
        <w:rPr>
          <w:rFonts w:ascii="SimSun" w:eastAsia="SimSun" w:hAnsi="SimSun" w:cs="SimSun"/>
          <w:spacing w:val="-3"/>
          <w:sz w:val="49"/>
          <w:szCs w:val="49"/>
        </w:rPr>
        <w:t>浪费，降低企</w:t>
      </w:r>
    </w:p>
    <w:p>
      <w:pPr>
        <w:spacing w:line="221" w:lineRule="auto"/>
        <w:rPr>
          <w:rFonts w:ascii="SimSun" w:eastAsia="SimSun" w:hAnsi="SimSun" w:cs="SimSun"/>
          <w:sz w:val="49"/>
          <w:szCs w:val="49"/>
        </w:rPr>
      </w:pPr>
      <w:r>
        <w:rPr>
          <w:rFonts w:ascii="SimSun" w:eastAsia="SimSun" w:hAnsi="SimSun" w:cs="SimSun"/>
          <w:spacing w:val="-9"/>
          <w:sz w:val="49"/>
          <w:szCs w:val="49"/>
        </w:rPr>
        <w:t>业盈利能力。</w:t>
      </w:r>
    </w:p>
    <w:p>
      <w:pPr>
        <w:spacing w:line="352" w:lineRule="auto"/>
        <w:rPr>
          <w:rFonts w:ascii="Arial"/>
          <w:sz w:val="21"/>
        </w:rPr>
      </w:pPr>
    </w:p>
    <w:p>
      <w:pPr>
        <w:spacing w:before="160" w:line="363" w:lineRule="auto"/>
        <w:ind w:right="13" w:firstLine="1245"/>
        <w:rPr>
          <w:rFonts w:ascii="SimSun" w:eastAsia="SimSun" w:hAnsi="SimSun" w:cs="SimSun"/>
          <w:sz w:val="49"/>
          <w:szCs w:val="49"/>
        </w:rPr>
      </w:pPr>
      <w:r>
        <w:rPr>
          <w:rFonts w:ascii="SimSun" w:eastAsia="SimSun" w:hAnsi="SimSun" w:cs="SimSun"/>
          <w:spacing w:val="23"/>
          <w:sz w:val="49"/>
          <w:szCs w:val="49"/>
        </w:rPr>
        <w:t xml:space="preserve">由表3可以得到，山东海化2008年的流动资产周转率4.20,2009年的流动 </w:t>
      </w:r>
      <w:r>
        <w:rPr>
          <w:rFonts w:ascii="SimSun" w:eastAsia="SimSun" w:hAnsi="SimSun" w:cs="SimSun"/>
          <w:spacing w:val="14"/>
          <w:sz w:val="49"/>
          <w:szCs w:val="49"/>
        </w:rPr>
        <w:t>资产周转率2.10,2010年的流动资产周转</w:t>
      </w:r>
      <w:r>
        <w:rPr>
          <w:rFonts w:ascii="SimSun" w:eastAsia="SimSun" w:hAnsi="SimSun" w:cs="SimSun"/>
          <w:spacing w:val="13"/>
          <w:sz w:val="49"/>
          <w:szCs w:val="49"/>
        </w:rPr>
        <w:t>率3.89。企业近三年流动资产先下降后</w:t>
      </w:r>
      <w:r>
        <w:rPr>
          <w:rFonts w:ascii="SimSun" w:eastAsia="SimSun" w:hAnsi="SimSun" w:cs="SimSun"/>
          <w:sz w:val="49"/>
          <w:szCs w:val="49"/>
        </w:rPr>
        <w:t xml:space="preserve"> </w:t>
      </w:r>
      <w:r>
        <w:rPr>
          <w:rFonts w:ascii="SimSun" w:eastAsia="SimSun" w:hAnsi="SimSun" w:cs="SimSun"/>
          <w:spacing w:val="4"/>
          <w:sz w:val="49"/>
          <w:szCs w:val="49"/>
        </w:rPr>
        <w:t>上升，流动资产周转次数有回升迹象。类似于存货周转率2009年营业收入下降太</w:t>
      </w:r>
      <w:r>
        <w:rPr>
          <w:rFonts w:ascii="SimSun" w:eastAsia="SimSun" w:hAnsi="SimSun" w:cs="SimSun"/>
          <w:spacing w:val="7"/>
          <w:sz w:val="49"/>
          <w:szCs w:val="49"/>
        </w:rPr>
        <w:t xml:space="preserve">  </w:t>
      </w:r>
      <w:r>
        <w:rPr>
          <w:rFonts w:ascii="SimSun" w:eastAsia="SimSun" w:hAnsi="SimSun" w:cs="SimSun"/>
          <w:spacing w:val="13"/>
          <w:sz w:val="49"/>
          <w:szCs w:val="49"/>
        </w:rPr>
        <w:t>多，而流动资产由2044320238.97增到2600288657.52,最终导致2009年流动资产</w:t>
      </w:r>
    </w:p>
    <w:p>
      <w:pPr>
        <w:spacing w:line="221" w:lineRule="auto"/>
        <w:rPr>
          <w:rFonts w:ascii="SimSun" w:eastAsia="SimSun" w:hAnsi="SimSun" w:cs="SimSun"/>
          <w:sz w:val="49"/>
          <w:szCs w:val="49"/>
        </w:rPr>
      </w:pPr>
      <w:r>
        <w:rPr>
          <w:rFonts w:ascii="SimSun" w:eastAsia="SimSun" w:hAnsi="SimSun" w:cs="SimSun"/>
          <w:spacing w:val="-10"/>
          <w:sz w:val="49"/>
          <w:szCs w:val="49"/>
        </w:rPr>
        <w:t>周转率下降。</w:t>
      </w:r>
    </w:p>
    <w:p>
      <w:pPr>
        <w:spacing w:before="376" w:line="221" w:lineRule="auto"/>
        <w:rPr>
          <w:rFonts w:ascii="SimSun" w:eastAsia="SimSun" w:hAnsi="SimSun" w:cs="SimSun"/>
          <w:sz w:val="49"/>
          <w:szCs w:val="49"/>
        </w:rPr>
      </w:pPr>
      <w:r>
        <w:rPr>
          <w:rFonts w:ascii="SimSun" w:eastAsia="SimSun" w:hAnsi="SimSun" w:cs="SimSun"/>
          <w:spacing w:val="-2"/>
          <w:sz w:val="49"/>
          <w:szCs w:val="49"/>
        </w:rPr>
        <w:t>3.2.4</w:t>
      </w:r>
      <w:r>
        <w:rPr>
          <w:rFonts w:ascii="SimSun" w:eastAsia="SimSun" w:hAnsi="SimSun" w:cs="SimSun"/>
          <w:spacing w:val="66"/>
          <w:sz w:val="49"/>
          <w:szCs w:val="49"/>
        </w:rPr>
        <w:t xml:space="preserve"> </w:t>
      </w:r>
      <w:r>
        <w:rPr>
          <w:rFonts w:ascii="SimSun" w:eastAsia="SimSun" w:hAnsi="SimSun" w:cs="SimSun"/>
          <w:spacing w:val="-2"/>
          <w:sz w:val="49"/>
          <w:szCs w:val="49"/>
        </w:rPr>
        <w:t>总资产周转率</w:t>
      </w:r>
    </w:p>
    <w:p>
      <w:pPr>
        <w:spacing w:before="279" w:line="1024" w:lineRule="exact"/>
        <w:ind w:left="1245"/>
        <w:rPr>
          <w:rFonts w:ascii="SimSun" w:eastAsia="SimSun" w:hAnsi="SimSun" w:cs="SimSun"/>
          <w:sz w:val="49"/>
          <w:szCs w:val="49"/>
        </w:rPr>
      </w:pPr>
      <w:r>
        <w:rPr>
          <w:rFonts w:ascii="SimSun" w:eastAsia="SimSun" w:hAnsi="SimSun" w:cs="SimSun"/>
          <w:spacing w:val="20"/>
          <w:position w:val="40"/>
          <w:sz w:val="49"/>
          <w:szCs w:val="49"/>
        </w:rPr>
        <w:t>总资产周转率(次)=营业收入净额/平均资</w:t>
      </w:r>
      <w:r>
        <w:rPr>
          <w:rFonts w:ascii="SimSun" w:eastAsia="SimSun" w:hAnsi="SimSun" w:cs="SimSun"/>
          <w:spacing w:val="19"/>
          <w:position w:val="40"/>
          <w:sz w:val="49"/>
          <w:szCs w:val="49"/>
        </w:rPr>
        <w:t>产总额X100%</w:t>
      </w:r>
    </w:p>
    <w:p>
      <w:pPr>
        <w:spacing w:before="1" w:line="221" w:lineRule="auto"/>
        <w:ind w:left="1245"/>
        <w:rPr>
          <w:rFonts w:ascii="SimSun" w:eastAsia="SimSun" w:hAnsi="SimSun" w:cs="SimSun"/>
          <w:sz w:val="49"/>
          <w:szCs w:val="49"/>
        </w:rPr>
      </w:pPr>
      <w:r>
        <w:rPr>
          <w:rFonts w:ascii="SimSun" w:eastAsia="SimSun" w:hAnsi="SimSun" w:cs="SimSun"/>
          <w:spacing w:val="13"/>
          <w:sz w:val="49"/>
          <w:szCs w:val="49"/>
        </w:rPr>
        <w:t>总资产周转天数=360÷总资产周转率(次)</w:t>
      </w:r>
    </w:p>
    <w:p>
      <w:pPr>
        <w:spacing w:before="358" w:line="221" w:lineRule="auto"/>
        <w:ind w:left="1245"/>
        <w:rPr>
          <w:rFonts w:ascii="SimSun" w:eastAsia="SimSun" w:hAnsi="SimSun" w:cs="SimSun"/>
          <w:sz w:val="49"/>
          <w:szCs w:val="49"/>
        </w:rPr>
      </w:pPr>
      <w:r>
        <w:rPr>
          <w:rFonts w:ascii="SimSun" w:eastAsia="SimSun" w:hAnsi="SimSun" w:cs="SimSun"/>
          <w:spacing w:val="-6"/>
          <w:sz w:val="49"/>
          <w:szCs w:val="49"/>
        </w:rPr>
        <w:t>其中：营业收入净额是减去销售折扣及折让等后的净额。</w:t>
      </w:r>
    </w:p>
    <w:p>
      <w:pPr>
        <w:spacing w:before="367" w:line="221" w:lineRule="auto"/>
        <w:ind w:left="1245"/>
        <w:rPr>
          <w:rFonts w:ascii="SimSun" w:eastAsia="SimSun" w:hAnsi="SimSun" w:cs="SimSun"/>
          <w:sz w:val="49"/>
          <w:szCs w:val="49"/>
        </w:rPr>
      </w:pPr>
      <w:r>
        <w:rPr>
          <w:rFonts w:ascii="SimSun" w:eastAsia="SimSun" w:hAnsi="SimSun" w:cs="SimSun"/>
          <w:spacing w:val="-5"/>
          <w:sz w:val="49"/>
          <w:szCs w:val="49"/>
        </w:rPr>
        <w:t>平均资产总额是指企业资产总额年初数与年末数的平均值。</w:t>
      </w:r>
    </w:p>
    <w:p>
      <w:pPr>
        <w:spacing w:line="221" w:lineRule="auto"/>
        <w:rPr>
          <w:rFonts w:ascii="SimSun" w:eastAsia="SimSun" w:hAnsi="SimSun" w:cs="SimSun"/>
          <w:sz w:val="49"/>
          <w:szCs w:val="49"/>
        </w:rPr>
        <w:sectPr>
          <w:footerReference w:type="default" r:id="rId18"/>
          <w:pgSz w:w="22849" w:h="31680"/>
          <w:pgMar w:top="2692" w:right="2411" w:bottom="400" w:left="2852" w:header="0" w:footer="0" w:gutter="0"/>
          <w:pgNumType w:start="15"/>
          <w:cols w:space="708"/>
        </w:sectPr>
      </w:pPr>
    </w:p>
    <w:p>
      <w:pPr>
        <w:spacing w:line="280" w:lineRule="auto"/>
        <w:rPr>
          <w:rFonts w:ascii="Arial"/>
          <w:sz w:val="21"/>
        </w:rPr>
      </w:pPr>
    </w:p>
    <w:p>
      <w:pPr>
        <w:spacing w:before="159" w:line="353" w:lineRule="auto"/>
        <w:ind w:left="317" w:right="19"/>
        <w:rPr>
          <w:rFonts w:ascii="SimSun" w:eastAsia="SimSun" w:hAnsi="SimSun" w:cs="SimSun"/>
          <w:sz w:val="49"/>
          <w:szCs w:val="49"/>
        </w:rPr>
      </w:pPr>
      <w:r>
        <w:rPr>
          <w:rFonts w:ascii="SimSun" w:eastAsia="SimSun" w:hAnsi="SimSun" w:cs="SimSun"/>
          <w:spacing w:val="-3"/>
          <w:sz w:val="49"/>
          <w:szCs w:val="49"/>
        </w:rPr>
        <w:t>总资产周转率是考察企业资产运营效率的一项重要指标，体现了企业经营期间全部</w:t>
      </w:r>
      <w:r>
        <w:rPr>
          <w:rFonts w:ascii="SimSun" w:eastAsia="SimSun" w:hAnsi="SimSun" w:cs="SimSun"/>
          <w:spacing w:val="16"/>
          <w:sz w:val="49"/>
          <w:szCs w:val="49"/>
        </w:rPr>
        <w:t xml:space="preserve"> </w:t>
      </w:r>
      <w:r>
        <w:rPr>
          <w:rFonts w:ascii="SimSun" w:eastAsia="SimSun" w:hAnsi="SimSun" w:cs="SimSun"/>
          <w:spacing w:val="-3"/>
          <w:sz w:val="49"/>
          <w:szCs w:val="49"/>
        </w:rPr>
        <w:t>资产从投入到产出的流转速度，反映了企业全部资产的管理质量和利用效率。通过</w:t>
      </w:r>
      <w:r>
        <w:rPr>
          <w:rFonts w:ascii="SimSun" w:eastAsia="SimSun" w:hAnsi="SimSun" w:cs="SimSun"/>
          <w:spacing w:val="8"/>
          <w:sz w:val="49"/>
          <w:szCs w:val="49"/>
        </w:rPr>
        <w:t xml:space="preserve"> </w:t>
      </w:r>
      <w:r>
        <w:rPr>
          <w:rFonts w:ascii="SimSun" w:eastAsia="SimSun" w:hAnsi="SimSun" w:cs="SimSun"/>
          <w:spacing w:val="-4"/>
          <w:sz w:val="49"/>
          <w:szCs w:val="49"/>
        </w:rPr>
        <w:t>该指标的对比分析，可以反映企业本年度以及以前年度总资产的运营效率</w:t>
      </w:r>
      <w:r>
        <w:rPr>
          <w:rFonts w:ascii="SimSun" w:eastAsia="SimSun" w:hAnsi="SimSun" w:cs="SimSun"/>
          <w:spacing w:val="-5"/>
          <w:sz w:val="49"/>
          <w:szCs w:val="49"/>
        </w:rPr>
        <w:t>和变化，</w:t>
      </w:r>
      <w:r>
        <w:rPr>
          <w:rFonts w:ascii="SimSun" w:eastAsia="SimSun" w:hAnsi="SimSun" w:cs="SimSun"/>
          <w:sz w:val="49"/>
          <w:szCs w:val="49"/>
        </w:rPr>
        <w:t xml:space="preserve"> </w:t>
      </w:r>
      <w:r>
        <w:rPr>
          <w:rFonts w:ascii="SimSun" w:eastAsia="SimSun" w:hAnsi="SimSun" w:cs="SimSun"/>
          <w:spacing w:val="-2"/>
          <w:sz w:val="49"/>
          <w:szCs w:val="49"/>
        </w:rPr>
        <w:t>发现企业与同类企业在资产利用上的差距，</w:t>
      </w:r>
      <w:r>
        <w:rPr>
          <w:rFonts w:ascii="SimSun" w:eastAsia="SimSun" w:hAnsi="SimSun" w:cs="SimSun"/>
          <w:spacing w:val="-3"/>
          <w:sz w:val="49"/>
          <w:szCs w:val="49"/>
        </w:rPr>
        <w:t>促进企业挖掘潜力、积极创收、提高产</w:t>
      </w:r>
      <w:r>
        <w:rPr>
          <w:rFonts w:ascii="SimSun" w:eastAsia="SimSun" w:hAnsi="SimSun" w:cs="SimSun"/>
          <w:sz w:val="49"/>
          <w:szCs w:val="49"/>
        </w:rPr>
        <w:t xml:space="preserve"> </w:t>
      </w:r>
      <w:r>
        <w:rPr>
          <w:rFonts w:ascii="SimSun" w:eastAsia="SimSun" w:hAnsi="SimSun" w:cs="SimSun"/>
          <w:spacing w:val="-4"/>
          <w:sz w:val="49"/>
          <w:szCs w:val="49"/>
        </w:rPr>
        <w:t>品市场占有率、提高资产利用效率、</w:t>
      </w:r>
      <w:r>
        <w:rPr>
          <w:rFonts w:ascii="SimSun" w:eastAsia="SimSun" w:hAnsi="SimSun" w:cs="SimSun"/>
          <w:spacing w:val="104"/>
          <w:sz w:val="49"/>
          <w:szCs w:val="49"/>
        </w:rPr>
        <w:t xml:space="preserve"> </w:t>
      </w:r>
      <w:r>
        <w:rPr>
          <w:rFonts w:ascii="SimSun" w:eastAsia="SimSun" w:hAnsi="SimSun" w:cs="SimSun"/>
          <w:spacing w:val="-4"/>
          <w:sz w:val="49"/>
          <w:szCs w:val="49"/>
        </w:rPr>
        <w:t>一般情况下，该数</w:t>
      </w:r>
      <w:r>
        <w:rPr>
          <w:rFonts w:ascii="SimSun" w:eastAsia="SimSun" w:hAnsi="SimSun" w:cs="SimSun"/>
          <w:spacing w:val="-5"/>
          <w:sz w:val="49"/>
          <w:szCs w:val="49"/>
        </w:rPr>
        <w:t>值越高，表明企业总资产</w:t>
      </w:r>
    </w:p>
    <w:p>
      <w:pPr>
        <w:spacing w:line="221" w:lineRule="auto"/>
        <w:ind w:left="317"/>
        <w:rPr>
          <w:rFonts w:ascii="SimSun" w:eastAsia="SimSun" w:hAnsi="SimSun" w:cs="SimSun"/>
          <w:sz w:val="49"/>
          <w:szCs w:val="49"/>
        </w:rPr>
      </w:pPr>
      <w:r>
        <w:rPr>
          <w:rFonts w:ascii="SimSun" w:eastAsia="SimSun" w:hAnsi="SimSun" w:cs="SimSun"/>
          <w:spacing w:val="-5"/>
          <w:sz w:val="49"/>
          <w:szCs w:val="49"/>
        </w:rPr>
        <w:t>周转速度越快。销售能力越强，资产利用效率越高。</w:t>
      </w:r>
    </w:p>
    <w:p>
      <w:pPr>
        <w:spacing w:line="276" w:lineRule="auto"/>
        <w:rPr>
          <w:rFonts w:ascii="Arial"/>
          <w:sz w:val="21"/>
        </w:rPr>
      </w:pPr>
    </w:p>
    <w:p>
      <w:pPr>
        <w:spacing w:before="160" w:line="366" w:lineRule="auto"/>
        <w:ind w:left="317" w:right="229" w:firstLine="1033"/>
        <w:rPr>
          <w:rFonts w:ascii="SimSun" w:eastAsia="SimSun" w:hAnsi="SimSun" w:cs="SimSun"/>
          <w:sz w:val="49"/>
          <w:szCs w:val="49"/>
        </w:rPr>
      </w:pPr>
      <w:r>
        <w:rPr>
          <w:rFonts w:ascii="SimSun" w:eastAsia="SimSun" w:hAnsi="SimSun" w:cs="SimSun"/>
          <w:spacing w:val="16"/>
          <w:sz w:val="49"/>
          <w:szCs w:val="49"/>
        </w:rPr>
        <w:t>由表3可以得到，山东海化2008年总资产周转率1.11,2009年总资产周转率</w:t>
      </w:r>
      <w:r>
        <w:rPr>
          <w:rFonts w:ascii="SimSun" w:eastAsia="SimSun" w:hAnsi="SimSun" w:cs="SimSun"/>
          <w:spacing w:val="4"/>
          <w:sz w:val="49"/>
          <w:szCs w:val="49"/>
        </w:rPr>
        <w:t xml:space="preserve"> </w:t>
      </w:r>
      <w:r>
        <w:rPr>
          <w:rFonts w:ascii="SimSun" w:eastAsia="SimSun" w:hAnsi="SimSun" w:cs="SimSun"/>
          <w:spacing w:val="15"/>
          <w:sz w:val="49"/>
          <w:szCs w:val="49"/>
        </w:rPr>
        <w:t>0.65,2010年总资产周转率0.97,可见企业近三年总资产周转率先下降</w:t>
      </w:r>
      <w:r>
        <w:rPr>
          <w:rFonts w:ascii="SimSun" w:eastAsia="SimSun" w:hAnsi="SimSun" w:cs="SimSun"/>
          <w:spacing w:val="14"/>
          <w:sz w:val="49"/>
          <w:szCs w:val="49"/>
        </w:rPr>
        <w:t>后上升，</w:t>
      </w:r>
    </w:p>
    <w:p>
      <w:pPr>
        <w:spacing w:line="221" w:lineRule="auto"/>
        <w:ind w:left="317"/>
        <w:rPr>
          <w:rFonts w:ascii="SimSun" w:eastAsia="SimSun" w:hAnsi="SimSun" w:cs="SimSun"/>
          <w:sz w:val="49"/>
          <w:szCs w:val="49"/>
        </w:rPr>
      </w:pPr>
      <w:r>
        <w:rPr>
          <w:rFonts w:ascii="SimSun" w:eastAsia="SimSun" w:hAnsi="SimSun" w:cs="SimSun"/>
          <w:spacing w:val="-9"/>
          <w:sz w:val="49"/>
          <w:szCs w:val="49"/>
        </w:rPr>
        <w:t>总资产周转率逐渐好转。</w:t>
      </w:r>
    </w:p>
    <w:p>
      <w:pPr>
        <w:spacing w:before="324" w:line="222" w:lineRule="auto"/>
        <w:ind w:left="1844"/>
        <w:rPr>
          <w:rFonts w:ascii="SimSun" w:eastAsia="SimSun" w:hAnsi="SimSun" w:cs="SimSun"/>
          <w:sz w:val="51"/>
          <w:szCs w:val="51"/>
        </w:rPr>
      </w:pPr>
      <w:r>
        <w:rPr>
          <w:rFonts w:ascii="SimSun" w:eastAsia="SimSun" w:hAnsi="SimSun" w:cs="SimSun"/>
          <w:b/>
          <w:bCs/>
          <w:spacing w:val="13"/>
          <w:sz w:val="51"/>
          <w:szCs w:val="51"/>
        </w:rPr>
        <w:t>表</w:t>
      </w:r>
      <w:r>
        <w:rPr>
          <w:rFonts w:ascii="SimSun" w:eastAsia="SimSun" w:hAnsi="SimSun" w:cs="SimSun"/>
          <w:spacing w:val="-33"/>
          <w:sz w:val="51"/>
          <w:szCs w:val="51"/>
        </w:rPr>
        <w:t xml:space="preserve"> </w:t>
      </w:r>
      <w:r>
        <w:rPr>
          <w:rFonts w:ascii="SimSun" w:eastAsia="SimSun" w:hAnsi="SimSun" w:cs="SimSun"/>
          <w:b/>
          <w:bCs/>
          <w:spacing w:val="13"/>
          <w:sz w:val="51"/>
          <w:szCs w:val="51"/>
        </w:rPr>
        <w:t>3</w:t>
      </w:r>
      <w:r>
        <w:rPr>
          <w:rFonts w:ascii="SimSun" w:eastAsia="SimSun" w:hAnsi="SimSun" w:cs="SimSun"/>
          <w:spacing w:val="13"/>
          <w:sz w:val="51"/>
          <w:szCs w:val="51"/>
        </w:rPr>
        <w:t xml:space="preserve">     </w:t>
      </w:r>
      <w:r>
        <w:rPr>
          <w:rFonts w:ascii="SimSun" w:eastAsia="SimSun" w:hAnsi="SimSun" w:cs="SimSun"/>
          <w:b/>
          <w:bCs/>
          <w:spacing w:val="13"/>
          <w:sz w:val="51"/>
          <w:szCs w:val="51"/>
        </w:rPr>
        <w:t>山东海化股份有限公司2008-2010营运能力指标</w:t>
      </w:r>
    </w:p>
    <w:p>
      <w:pPr>
        <w:spacing w:line="68" w:lineRule="exact"/>
      </w:pPr>
    </w:p>
    <w:tbl>
      <w:tblPr>
        <w:tblStyle w:val="TableNormal2"/>
        <w:tblW w:w="17540" w:type="dxa"/>
        <w:tblInd w:w="0" w:type="dxa"/>
        <w:tblBorders>
          <w:top w:val="nil"/>
          <w:left w:val="nil"/>
          <w:bottom w:val="nil"/>
          <w:right w:val="nil"/>
          <w:insideH w:val="nil"/>
          <w:insideV w:val="nil"/>
        </w:tblBorders>
        <w:tblLayout w:type="fixed"/>
      </w:tblPr>
      <w:tblGrid>
        <w:gridCol w:w="4500"/>
        <w:gridCol w:w="4301"/>
        <w:gridCol w:w="4355"/>
        <w:gridCol w:w="4384"/>
      </w:tblGrid>
      <w:tr>
        <w:tblPrEx>
          <w:tblW w:w="17540" w:type="dxa"/>
          <w:tblInd w:w="0" w:type="dxa"/>
          <w:tblBorders>
            <w:top w:val="nil"/>
            <w:left w:val="nil"/>
            <w:bottom w:val="nil"/>
            <w:right w:val="nil"/>
            <w:insideH w:val="nil"/>
            <w:insideV w:val="nil"/>
          </w:tblBorders>
          <w:tblLayout w:type="fixed"/>
        </w:tblPrEx>
        <w:trPr>
          <w:trHeight w:val="1023"/>
        </w:trPr>
        <w:tc>
          <w:tcPr>
            <w:tcW w:w="4500" w:type="dxa"/>
            <w:tcBorders>
              <w:top w:val="single" w:sz="2" w:space="0" w:color="000000"/>
              <w:bottom w:val="single" w:sz="2" w:space="0" w:color="000000"/>
            </w:tcBorders>
            <w:vAlign w:val="top"/>
          </w:tcPr>
          <w:p>
            <w:pPr>
              <w:pStyle w:val="TableText"/>
              <w:spacing w:before="313" w:line="220" w:lineRule="auto"/>
              <w:ind w:left="1209"/>
            </w:pPr>
            <w:r>
              <w:rPr>
                <w:spacing w:val="19"/>
              </w:rPr>
              <w:t>报告期(年)</w:t>
            </w:r>
          </w:p>
        </w:tc>
        <w:tc>
          <w:tcPr>
            <w:tcW w:w="4301" w:type="dxa"/>
            <w:tcBorders>
              <w:top w:val="single" w:sz="2" w:space="0" w:color="000000"/>
              <w:bottom w:val="single" w:sz="2" w:space="0" w:color="000000"/>
            </w:tcBorders>
            <w:vAlign w:val="top"/>
          </w:tcPr>
          <w:p>
            <w:pPr>
              <w:spacing w:line="410" w:lineRule="auto"/>
              <w:rPr>
                <w:rFonts w:ascii="Arial"/>
                <w:sz w:val="21"/>
              </w:rPr>
            </w:pPr>
          </w:p>
          <w:p>
            <w:pPr>
              <w:pStyle w:val="TableText"/>
              <w:spacing w:before="133" w:line="185" w:lineRule="auto"/>
              <w:ind w:left="1735"/>
            </w:pPr>
            <w:r>
              <w:rPr>
                <w:spacing w:val="-3"/>
              </w:rPr>
              <w:t>2008</w:t>
            </w:r>
          </w:p>
        </w:tc>
        <w:tc>
          <w:tcPr>
            <w:tcW w:w="4355" w:type="dxa"/>
            <w:tcBorders>
              <w:top w:val="single" w:sz="2" w:space="0" w:color="000000"/>
              <w:bottom w:val="single" w:sz="2" w:space="0" w:color="000000"/>
            </w:tcBorders>
            <w:vAlign w:val="top"/>
          </w:tcPr>
          <w:p>
            <w:pPr>
              <w:spacing w:line="410" w:lineRule="auto"/>
              <w:rPr>
                <w:rFonts w:ascii="Arial"/>
                <w:sz w:val="21"/>
              </w:rPr>
            </w:pPr>
          </w:p>
          <w:p>
            <w:pPr>
              <w:pStyle w:val="TableText"/>
              <w:spacing w:before="133" w:line="185" w:lineRule="auto"/>
              <w:ind w:left="1779"/>
            </w:pPr>
            <w:r>
              <w:rPr>
                <w:spacing w:val="-3"/>
              </w:rPr>
              <w:t>2009</w:t>
            </w:r>
          </w:p>
        </w:tc>
        <w:tc>
          <w:tcPr>
            <w:tcW w:w="4384" w:type="dxa"/>
            <w:tcBorders>
              <w:top w:val="single" w:sz="2" w:space="0" w:color="000000"/>
              <w:bottom w:val="single" w:sz="2" w:space="0" w:color="000000"/>
            </w:tcBorders>
            <w:vAlign w:val="top"/>
          </w:tcPr>
          <w:p>
            <w:pPr>
              <w:spacing w:line="410" w:lineRule="auto"/>
              <w:rPr>
                <w:rFonts w:ascii="Arial"/>
                <w:sz w:val="21"/>
              </w:rPr>
            </w:pPr>
          </w:p>
          <w:p>
            <w:pPr>
              <w:pStyle w:val="TableText"/>
              <w:spacing w:before="133" w:line="185" w:lineRule="auto"/>
              <w:ind w:left="1787"/>
            </w:pPr>
            <w:r>
              <w:rPr>
                <w:spacing w:val="-3"/>
              </w:rPr>
              <w:t>2010</w:t>
            </w:r>
          </w:p>
        </w:tc>
      </w:tr>
      <w:tr>
        <w:tblPrEx>
          <w:tblW w:w="17540" w:type="dxa"/>
          <w:tblInd w:w="0" w:type="dxa"/>
          <w:tblLayout w:type="fixed"/>
        </w:tblPrEx>
        <w:trPr>
          <w:trHeight w:val="8641"/>
        </w:trPr>
        <w:tc>
          <w:tcPr>
            <w:tcW w:w="4500" w:type="dxa"/>
            <w:tcBorders>
              <w:top w:val="single" w:sz="2" w:space="0" w:color="000000"/>
              <w:bottom w:val="single" w:sz="2" w:space="0" w:color="000000"/>
            </w:tcBorders>
            <w:vAlign w:val="top"/>
          </w:tcPr>
          <w:p>
            <w:pPr>
              <w:pStyle w:val="TableText"/>
              <w:spacing w:before="294" w:line="222" w:lineRule="auto"/>
              <w:ind w:left="998"/>
            </w:pPr>
            <w:r>
              <w:rPr>
                <w:spacing w:val="17"/>
              </w:rPr>
              <w:t>应收账款(元)</w:t>
            </w:r>
          </w:p>
          <w:p>
            <w:pPr>
              <w:spacing w:line="351" w:lineRule="auto"/>
              <w:rPr>
                <w:rFonts w:ascii="Arial"/>
                <w:sz w:val="21"/>
              </w:rPr>
            </w:pPr>
          </w:p>
          <w:p>
            <w:pPr>
              <w:pStyle w:val="TableText"/>
              <w:spacing w:before="133" w:line="222" w:lineRule="auto"/>
              <w:ind w:left="998"/>
            </w:pPr>
            <w:r>
              <w:rPr>
                <w:spacing w:val="17"/>
              </w:rPr>
              <w:t>营业收入(元)</w:t>
            </w:r>
          </w:p>
          <w:p>
            <w:pPr>
              <w:spacing w:line="351" w:lineRule="auto"/>
              <w:rPr>
                <w:rFonts w:ascii="Arial"/>
                <w:sz w:val="21"/>
              </w:rPr>
            </w:pPr>
          </w:p>
          <w:p>
            <w:pPr>
              <w:pStyle w:val="TableText"/>
              <w:spacing w:before="133" w:line="221" w:lineRule="auto"/>
              <w:ind w:left="1412"/>
            </w:pPr>
            <w:r>
              <w:rPr>
                <w:spacing w:val="22"/>
              </w:rPr>
              <w:t>存货(元)</w:t>
            </w:r>
          </w:p>
          <w:p>
            <w:pPr>
              <w:spacing w:line="319" w:lineRule="auto"/>
              <w:rPr>
                <w:rFonts w:ascii="Arial"/>
                <w:sz w:val="21"/>
              </w:rPr>
            </w:pPr>
          </w:p>
          <w:p>
            <w:pPr>
              <w:pStyle w:val="TableText"/>
              <w:spacing w:before="133" w:line="222" w:lineRule="auto"/>
              <w:ind w:left="998"/>
            </w:pPr>
            <w:r>
              <w:rPr>
                <w:spacing w:val="17"/>
              </w:rPr>
              <w:t>流动资产(元)</w:t>
            </w:r>
          </w:p>
          <w:p>
            <w:pPr>
              <w:spacing w:line="316" w:lineRule="auto"/>
              <w:rPr>
                <w:rFonts w:ascii="Arial"/>
                <w:sz w:val="21"/>
              </w:rPr>
            </w:pPr>
          </w:p>
          <w:p>
            <w:pPr>
              <w:pStyle w:val="TableText"/>
              <w:spacing w:before="134" w:line="222" w:lineRule="auto"/>
              <w:ind w:left="1209"/>
            </w:pPr>
            <w:r>
              <w:rPr>
                <w:spacing w:val="19"/>
              </w:rPr>
              <w:t>总资产(元)</w:t>
            </w:r>
          </w:p>
          <w:p>
            <w:pPr>
              <w:spacing w:line="343" w:lineRule="auto"/>
              <w:rPr>
                <w:rFonts w:ascii="Arial"/>
                <w:sz w:val="21"/>
              </w:rPr>
            </w:pPr>
          </w:p>
          <w:p>
            <w:pPr>
              <w:pStyle w:val="TableText"/>
              <w:spacing w:before="134" w:line="222" w:lineRule="auto"/>
              <w:ind w:left="794"/>
            </w:pPr>
            <w:r>
              <w:rPr>
                <w:spacing w:val="7"/>
              </w:rPr>
              <w:t>应收账款周转率</w:t>
            </w:r>
          </w:p>
          <w:p>
            <w:pPr>
              <w:spacing w:line="333" w:lineRule="auto"/>
              <w:rPr>
                <w:rFonts w:ascii="Arial"/>
                <w:sz w:val="21"/>
              </w:rPr>
            </w:pPr>
          </w:p>
          <w:p>
            <w:pPr>
              <w:pStyle w:val="TableText"/>
              <w:spacing w:before="134" w:line="221" w:lineRule="auto"/>
              <w:ind w:left="1209"/>
            </w:pPr>
            <w:r>
              <w:rPr>
                <w:spacing w:val="9"/>
              </w:rPr>
              <w:t>存货周转率</w:t>
            </w:r>
          </w:p>
          <w:p>
            <w:pPr>
              <w:spacing w:line="319" w:lineRule="auto"/>
              <w:rPr>
                <w:rFonts w:ascii="Arial"/>
                <w:sz w:val="21"/>
              </w:rPr>
            </w:pPr>
          </w:p>
          <w:p>
            <w:pPr>
              <w:pStyle w:val="TableText"/>
              <w:spacing w:before="133" w:line="222" w:lineRule="auto"/>
              <w:ind w:left="794"/>
            </w:pPr>
            <w:r>
              <w:rPr>
                <w:spacing w:val="7"/>
              </w:rPr>
              <w:t>流动资产周转率</w:t>
            </w:r>
          </w:p>
          <w:p>
            <w:pPr>
              <w:spacing w:line="307" w:lineRule="auto"/>
              <w:rPr>
                <w:rFonts w:ascii="Arial"/>
                <w:sz w:val="21"/>
              </w:rPr>
            </w:pPr>
          </w:p>
          <w:p>
            <w:pPr>
              <w:pStyle w:val="TableText"/>
              <w:spacing w:before="135" w:line="222" w:lineRule="auto"/>
              <w:ind w:left="998"/>
            </w:pPr>
            <w:r>
              <w:rPr>
                <w:spacing w:val="8"/>
              </w:rPr>
              <w:t>总资产周转率</w:t>
            </w:r>
          </w:p>
        </w:tc>
        <w:tc>
          <w:tcPr>
            <w:tcW w:w="4301" w:type="dxa"/>
            <w:tcBorders>
              <w:top w:val="single" w:sz="2" w:space="0" w:color="000000"/>
              <w:bottom w:val="single" w:sz="2" w:space="0" w:color="000000"/>
            </w:tcBorders>
            <w:vAlign w:val="top"/>
          </w:tcPr>
          <w:p>
            <w:pPr>
              <w:spacing w:line="266" w:lineRule="auto"/>
              <w:rPr>
                <w:rFonts w:ascii="Arial"/>
                <w:sz w:val="21"/>
              </w:rPr>
            </w:pPr>
          </w:p>
          <w:p>
            <w:pPr>
              <w:pStyle w:val="TableText"/>
              <w:spacing w:before="134" w:line="185" w:lineRule="auto"/>
              <w:ind w:left="904"/>
            </w:pPr>
            <w:r>
              <w:t>268643059.69</w:t>
            </w:r>
          </w:p>
          <w:p>
            <w:pPr>
              <w:spacing w:line="433" w:lineRule="auto"/>
              <w:rPr>
                <w:rFonts w:ascii="Arial"/>
                <w:sz w:val="21"/>
              </w:rPr>
            </w:pPr>
          </w:p>
          <w:p>
            <w:pPr>
              <w:pStyle w:val="TableText"/>
              <w:spacing w:before="133" w:line="185" w:lineRule="auto"/>
              <w:ind w:left="798"/>
            </w:pPr>
            <w:r>
              <w:rPr>
                <w:spacing w:val="1"/>
              </w:rPr>
              <w:t>8577631135.73</w:t>
            </w:r>
          </w:p>
          <w:p>
            <w:pPr>
              <w:spacing w:line="433" w:lineRule="auto"/>
              <w:rPr>
                <w:rFonts w:ascii="Arial"/>
                <w:sz w:val="21"/>
              </w:rPr>
            </w:pPr>
          </w:p>
          <w:p>
            <w:pPr>
              <w:pStyle w:val="TableText"/>
              <w:spacing w:before="133" w:line="185" w:lineRule="auto"/>
              <w:ind w:left="904"/>
            </w:pPr>
            <w:r>
              <w:t>683222439.29</w:t>
            </w:r>
          </w:p>
          <w:p>
            <w:pPr>
              <w:spacing w:line="398" w:lineRule="auto"/>
              <w:rPr>
                <w:rFonts w:ascii="Arial"/>
                <w:sz w:val="21"/>
              </w:rPr>
            </w:pPr>
          </w:p>
          <w:p>
            <w:pPr>
              <w:pStyle w:val="TableText"/>
              <w:spacing w:before="133" w:line="185" w:lineRule="auto"/>
              <w:ind w:left="798"/>
            </w:pPr>
            <w:r>
              <w:t>2044320238.97</w:t>
            </w:r>
          </w:p>
          <w:p>
            <w:pPr>
              <w:spacing w:line="398" w:lineRule="auto"/>
              <w:rPr>
                <w:rFonts w:ascii="Arial"/>
                <w:sz w:val="21"/>
              </w:rPr>
            </w:pPr>
          </w:p>
          <w:p>
            <w:pPr>
              <w:pStyle w:val="TableText"/>
              <w:spacing w:before="134" w:line="185" w:lineRule="auto"/>
              <w:ind w:left="798"/>
            </w:pPr>
            <w:r>
              <w:t>7733423549.24</w:t>
            </w:r>
          </w:p>
          <w:p>
            <w:pPr>
              <w:spacing w:line="424" w:lineRule="auto"/>
              <w:rPr>
                <w:rFonts w:ascii="Arial"/>
                <w:sz w:val="21"/>
              </w:rPr>
            </w:pPr>
          </w:p>
          <w:p>
            <w:pPr>
              <w:pStyle w:val="TableText"/>
              <w:spacing w:before="134" w:line="185" w:lineRule="auto"/>
              <w:ind w:left="1629"/>
            </w:pPr>
            <w:r>
              <w:rPr>
                <w:spacing w:val="-2"/>
              </w:rPr>
              <w:t>31.93</w:t>
            </w:r>
          </w:p>
          <w:p>
            <w:pPr>
              <w:spacing w:line="415" w:lineRule="auto"/>
              <w:rPr>
                <w:rFonts w:ascii="Arial"/>
                <w:sz w:val="21"/>
              </w:rPr>
            </w:pPr>
          </w:p>
          <w:p>
            <w:pPr>
              <w:pStyle w:val="TableText"/>
              <w:spacing w:before="134" w:line="185" w:lineRule="auto"/>
              <w:ind w:left="1629"/>
            </w:pPr>
            <w:r>
              <w:rPr>
                <w:spacing w:val="-6"/>
              </w:rPr>
              <w:t>12.55</w:t>
            </w:r>
          </w:p>
          <w:p>
            <w:pPr>
              <w:spacing w:line="398" w:lineRule="auto"/>
              <w:rPr>
                <w:rFonts w:ascii="Arial"/>
                <w:sz w:val="21"/>
              </w:rPr>
            </w:pPr>
          </w:p>
          <w:p>
            <w:pPr>
              <w:pStyle w:val="TableText"/>
              <w:spacing w:before="134" w:line="185" w:lineRule="auto"/>
              <w:ind w:left="1735"/>
            </w:pPr>
            <w:r>
              <w:rPr>
                <w:spacing w:val="-1"/>
              </w:rPr>
              <w:t>4.20</w:t>
            </w:r>
          </w:p>
          <w:p>
            <w:pPr>
              <w:spacing w:line="389" w:lineRule="auto"/>
              <w:rPr>
                <w:rFonts w:ascii="Arial"/>
                <w:sz w:val="21"/>
              </w:rPr>
            </w:pPr>
          </w:p>
          <w:p>
            <w:pPr>
              <w:pStyle w:val="TableText"/>
              <w:spacing w:before="133" w:line="185" w:lineRule="auto"/>
              <w:ind w:left="1735"/>
            </w:pPr>
            <w:r>
              <w:rPr>
                <w:spacing w:val="-7"/>
              </w:rPr>
              <w:t>1.11</w:t>
            </w:r>
          </w:p>
        </w:tc>
        <w:tc>
          <w:tcPr>
            <w:tcW w:w="4355" w:type="dxa"/>
            <w:tcBorders>
              <w:top w:val="single" w:sz="2" w:space="0" w:color="000000"/>
              <w:bottom w:val="single" w:sz="2" w:space="0" w:color="000000"/>
            </w:tcBorders>
            <w:vAlign w:val="top"/>
          </w:tcPr>
          <w:p>
            <w:pPr>
              <w:spacing w:line="266" w:lineRule="auto"/>
              <w:rPr>
                <w:rFonts w:ascii="Arial"/>
                <w:sz w:val="21"/>
              </w:rPr>
            </w:pPr>
          </w:p>
          <w:p>
            <w:pPr>
              <w:pStyle w:val="TableText"/>
              <w:spacing w:before="134" w:line="185" w:lineRule="auto"/>
              <w:ind w:left="949"/>
            </w:pPr>
            <w:r>
              <w:t>273611477.93</w:t>
            </w:r>
          </w:p>
          <w:p>
            <w:pPr>
              <w:spacing w:line="433" w:lineRule="auto"/>
              <w:rPr>
                <w:rFonts w:ascii="Arial"/>
                <w:sz w:val="21"/>
              </w:rPr>
            </w:pPr>
          </w:p>
          <w:p>
            <w:pPr>
              <w:pStyle w:val="TableText"/>
              <w:spacing w:before="133" w:line="185" w:lineRule="auto"/>
              <w:ind w:left="843"/>
            </w:pPr>
            <w:r>
              <w:t>5458641159.87</w:t>
            </w:r>
          </w:p>
          <w:p>
            <w:pPr>
              <w:spacing w:line="433" w:lineRule="auto"/>
              <w:rPr>
                <w:rFonts w:ascii="Arial"/>
                <w:sz w:val="21"/>
              </w:rPr>
            </w:pPr>
          </w:p>
          <w:p>
            <w:pPr>
              <w:pStyle w:val="TableText"/>
              <w:spacing w:before="133" w:line="185" w:lineRule="auto"/>
              <w:ind w:left="949"/>
            </w:pPr>
            <w:r>
              <w:rPr>
                <w:spacing w:val="1"/>
              </w:rPr>
              <w:t>476274536.91</w:t>
            </w:r>
          </w:p>
          <w:p>
            <w:pPr>
              <w:spacing w:line="398" w:lineRule="auto"/>
              <w:rPr>
                <w:rFonts w:ascii="Arial"/>
                <w:sz w:val="21"/>
              </w:rPr>
            </w:pPr>
          </w:p>
          <w:p>
            <w:pPr>
              <w:pStyle w:val="TableText"/>
              <w:spacing w:before="133" w:line="185" w:lineRule="auto"/>
              <w:ind w:left="843"/>
            </w:pPr>
            <w:r>
              <w:t>2600288657.52</w:t>
            </w:r>
          </w:p>
          <w:p>
            <w:pPr>
              <w:spacing w:line="398" w:lineRule="auto"/>
              <w:rPr>
                <w:rFonts w:ascii="Arial"/>
                <w:sz w:val="21"/>
              </w:rPr>
            </w:pPr>
          </w:p>
          <w:p>
            <w:pPr>
              <w:pStyle w:val="TableText"/>
              <w:spacing w:before="134" w:line="185" w:lineRule="auto"/>
              <w:ind w:left="843"/>
            </w:pPr>
            <w:r>
              <w:rPr>
                <w:spacing w:val="1"/>
              </w:rPr>
              <w:t>8458380212.56</w:t>
            </w:r>
          </w:p>
          <w:p>
            <w:pPr>
              <w:spacing w:line="424" w:lineRule="auto"/>
              <w:rPr>
                <w:rFonts w:ascii="Arial"/>
                <w:sz w:val="21"/>
              </w:rPr>
            </w:pPr>
          </w:p>
          <w:p>
            <w:pPr>
              <w:pStyle w:val="TableText"/>
              <w:spacing w:before="134" w:line="185" w:lineRule="auto"/>
              <w:ind w:left="1673"/>
            </w:pPr>
            <w:r>
              <w:rPr>
                <w:spacing w:val="-6"/>
              </w:rPr>
              <w:t>19.95</w:t>
            </w:r>
          </w:p>
          <w:p>
            <w:pPr>
              <w:spacing w:line="415" w:lineRule="auto"/>
              <w:rPr>
                <w:rFonts w:ascii="Arial"/>
                <w:sz w:val="21"/>
              </w:rPr>
            </w:pPr>
          </w:p>
          <w:p>
            <w:pPr>
              <w:pStyle w:val="TableText"/>
              <w:spacing w:before="134" w:line="185" w:lineRule="auto"/>
              <w:ind w:left="1673"/>
            </w:pPr>
            <w:r>
              <w:rPr>
                <w:spacing w:val="-6"/>
              </w:rPr>
              <w:t>11.46</w:t>
            </w:r>
          </w:p>
          <w:p>
            <w:pPr>
              <w:spacing w:line="398" w:lineRule="auto"/>
              <w:rPr>
                <w:rFonts w:ascii="Arial"/>
                <w:sz w:val="21"/>
              </w:rPr>
            </w:pPr>
          </w:p>
          <w:p>
            <w:pPr>
              <w:pStyle w:val="TableText"/>
              <w:spacing w:before="134" w:line="185" w:lineRule="auto"/>
              <w:ind w:left="1779"/>
            </w:pPr>
            <w:r>
              <w:rPr>
                <w:spacing w:val="-3"/>
              </w:rPr>
              <w:t>2.10</w:t>
            </w:r>
          </w:p>
          <w:p>
            <w:pPr>
              <w:spacing w:line="389" w:lineRule="auto"/>
              <w:rPr>
                <w:rFonts w:ascii="Arial"/>
                <w:sz w:val="21"/>
              </w:rPr>
            </w:pPr>
          </w:p>
          <w:p>
            <w:pPr>
              <w:pStyle w:val="TableText"/>
              <w:spacing w:before="133" w:line="185" w:lineRule="auto"/>
              <w:ind w:left="1779"/>
            </w:pPr>
            <w:r>
              <w:rPr>
                <w:spacing w:val="-2"/>
              </w:rPr>
              <w:t>0.65</w:t>
            </w:r>
          </w:p>
        </w:tc>
        <w:tc>
          <w:tcPr>
            <w:tcW w:w="4384" w:type="dxa"/>
            <w:tcBorders>
              <w:top w:val="single" w:sz="2" w:space="0" w:color="000000"/>
              <w:bottom w:val="single" w:sz="2" w:space="0" w:color="000000"/>
            </w:tcBorders>
            <w:vAlign w:val="top"/>
          </w:tcPr>
          <w:p>
            <w:pPr>
              <w:spacing w:line="266" w:lineRule="auto"/>
              <w:rPr>
                <w:rFonts w:ascii="Arial"/>
                <w:sz w:val="21"/>
              </w:rPr>
            </w:pPr>
          </w:p>
          <w:p>
            <w:pPr>
              <w:pStyle w:val="TableText"/>
              <w:spacing w:before="134" w:line="185" w:lineRule="auto"/>
              <w:ind w:left="957"/>
            </w:pPr>
            <w:r>
              <w:t>209361542.10</w:t>
            </w:r>
          </w:p>
          <w:p>
            <w:pPr>
              <w:spacing w:line="433" w:lineRule="auto"/>
              <w:rPr>
                <w:rFonts w:ascii="Arial"/>
                <w:sz w:val="21"/>
              </w:rPr>
            </w:pPr>
          </w:p>
          <w:p>
            <w:pPr>
              <w:pStyle w:val="TableText"/>
              <w:spacing w:before="133" w:line="185" w:lineRule="auto"/>
              <w:ind w:left="851"/>
            </w:pPr>
            <w:r>
              <w:rPr>
                <w:spacing w:val="1"/>
              </w:rPr>
              <w:t>6923233192.81</w:t>
            </w:r>
          </w:p>
          <w:p>
            <w:pPr>
              <w:spacing w:line="433" w:lineRule="auto"/>
              <w:rPr>
                <w:rFonts w:ascii="Arial"/>
                <w:sz w:val="21"/>
              </w:rPr>
            </w:pPr>
          </w:p>
          <w:p>
            <w:pPr>
              <w:pStyle w:val="TableText"/>
              <w:spacing w:before="133" w:line="185" w:lineRule="auto"/>
              <w:ind w:left="957"/>
            </w:pPr>
            <w:r>
              <w:t>513056140.45</w:t>
            </w:r>
          </w:p>
          <w:p>
            <w:pPr>
              <w:spacing w:line="398" w:lineRule="auto"/>
              <w:rPr>
                <w:rFonts w:ascii="Arial"/>
                <w:sz w:val="21"/>
              </w:rPr>
            </w:pPr>
          </w:p>
          <w:p>
            <w:pPr>
              <w:pStyle w:val="TableText"/>
              <w:spacing w:before="133" w:line="185" w:lineRule="auto"/>
              <w:ind w:left="851"/>
            </w:pPr>
            <w:r>
              <w:rPr>
                <w:spacing w:val="-1"/>
              </w:rPr>
              <w:t>1781095790.91</w:t>
            </w:r>
          </w:p>
          <w:p>
            <w:pPr>
              <w:spacing w:line="398" w:lineRule="auto"/>
              <w:rPr>
                <w:rFonts w:ascii="Arial"/>
                <w:sz w:val="21"/>
              </w:rPr>
            </w:pPr>
          </w:p>
          <w:p>
            <w:pPr>
              <w:pStyle w:val="TableText"/>
              <w:spacing w:before="134" w:line="185" w:lineRule="auto"/>
              <w:ind w:left="851"/>
            </w:pPr>
            <w:r>
              <w:t>7111742025.76</w:t>
            </w:r>
          </w:p>
          <w:p>
            <w:pPr>
              <w:spacing w:line="424" w:lineRule="auto"/>
              <w:rPr>
                <w:rFonts w:ascii="Arial"/>
                <w:sz w:val="21"/>
              </w:rPr>
            </w:pPr>
          </w:p>
          <w:p>
            <w:pPr>
              <w:pStyle w:val="TableText"/>
              <w:spacing w:before="134" w:line="185" w:lineRule="auto"/>
              <w:ind w:left="1681"/>
            </w:pPr>
            <w:r>
              <w:rPr>
                <w:spacing w:val="-2"/>
              </w:rPr>
              <w:t>33.07</w:t>
            </w:r>
          </w:p>
          <w:p>
            <w:pPr>
              <w:spacing w:line="415" w:lineRule="auto"/>
              <w:rPr>
                <w:rFonts w:ascii="Arial"/>
                <w:sz w:val="21"/>
              </w:rPr>
            </w:pPr>
          </w:p>
          <w:p>
            <w:pPr>
              <w:pStyle w:val="TableText"/>
              <w:spacing w:before="134" w:line="185" w:lineRule="auto"/>
              <w:ind w:left="1681"/>
            </w:pPr>
            <w:r>
              <w:rPr>
                <w:spacing w:val="-6"/>
              </w:rPr>
              <w:t>13.49</w:t>
            </w:r>
          </w:p>
          <w:p>
            <w:pPr>
              <w:spacing w:line="398" w:lineRule="auto"/>
              <w:rPr>
                <w:rFonts w:ascii="Arial"/>
                <w:sz w:val="21"/>
              </w:rPr>
            </w:pPr>
          </w:p>
          <w:p>
            <w:pPr>
              <w:pStyle w:val="TableText"/>
              <w:spacing w:before="134" w:line="185" w:lineRule="auto"/>
              <w:ind w:left="1787"/>
            </w:pPr>
            <w:r>
              <w:rPr>
                <w:spacing w:val="-3"/>
              </w:rPr>
              <w:t>3.89</w:t>
            </w:r>
          </w:p>
          <w:p>
            <w:pPr>
              <w:spacing w:line="389" w:lineRule="auto"/>
              <w:rPr>
                <w:rFonts w:ascii="Arial"/>
                <w:sz w:val="21"/>
              </w:rPr>
            </w:pPr>
          </w:p>
          <w:p>
            <w:pPr>
              <w:pStyle w:val="TableText"/>
              <w:spacing w:before="133" w:line="185" w:lineRule="auto"/>
              <w:ind w:left="1787"/>
            </w:pPr>
            <w:r>
              <w:rPr>
                <w:spacing w:val="-2"/>
              </w:rPr>
              <w:t>0.97</w:t>
            </w:r>
          </w:p>
        </w:tc>
      </w:tr>
    </w:tbl>
    <w:p>
      <w:pPr>
        <w:spacing w:before="240" w:line="231" w:lineRule="auto"/>
        <w:ind w:left="324"/>
        <w:outlineLvl w:val="0"/>
        <w:rPr>
          <w:rFonts w:ascii="KaiTi" w:eastAsia="KaiTi" w:hAnsi="KaiTi" w:cs="KaiTi"/>
          <w:sz w:val="49"/>
          <w:szCs w:val="49"/>
        </w:rPr>
      </w:pPr>
      <w:r>
        <w:rPr>
          <w:rFonts w:ascii="KaiTi" w:eastAsia="KaiTi" w:hAnsi="KaiTi" w:cs="KaiTi"/>
          <w:b/>
          <w:bCs/>
          <w:spacing w:val="-5"/>
          <w:sz w:val="49"/>
          <w:szCs w:val="49"/>
        </w:rPr>
        <w:t>3.3</w:t>
      </w:r>
      <w:r>
        <w:rPr>
          <w:rFonts w:ascii="KaiTi" w:eastAsia="KaiTi" w:hAnsi="KaiTi" w:cs="KaiTi"/>
          <w:spacing w:val="-5"/>
          <w:sz w:val="49"/>
          <w:szCs w:val="49"/>
        </w:rPr>
        <w:t xml:space="preserve"> </w:t>
      </w:r>
      <w:r>
        <w:rPr>
          <w:rFonts w:ascii="KaiTi" w:eastAsia="KaiTi" w:hAnsi="KaiTi" w:cs="KaiTi"/>
          <w:b/>
          <w:bCs/>
          <w:spacing w:val="-5"/>
          <w:sz w:val="49"/>
          <w:szCs w:val="49"/>
        </w:rPr>
        <w:t>企业的获利能力</w:t>
      </w:r>
    </w:p>
    <w:p>
      <w:pPr>
        <w:spacing w:before="394" w:line="353" w:lineRule="auto"/>
        <w:ind w:left="317" w:firstLine="1227"/>
        <w:jc w:val="both"/>
        <w:rPr>
          <w:rFonts w:ascii="SimSun" w:eastAsia="SimSun" w:hAnsi="SimSun" w:cs="SimSun"/>
          <w:sz w:val="49"/>
          <w:szCs w:val="49"/>
        </w:rPr>
      </w:pPr>
      <w:r>
        <w:rPr>
          <w:rFonts w:ascii="SimSun" w:eastAsia="SimSun" w:hAnsi="SimSun" w:cs="SimSun"/>
          <w:spacing w:val="-2"/>
          <w:sz w:val="49"/>
          <w:szCs w:val="49"/>
        </w:rPr>
        <w:t>获利能力是指企业赚取利润的能力。对于投资者来说，不仅他们的股息是从</w:t>
      </w:r>
      <w:r>
        <w:rPr>
          <w:rFonts w:ascii="SimSun" w:eastAsia="SimSun" w:hAnsi="SimSun" w:cs="SimSun"/>
          <w:spacing w:val="2"/>
          <w:sz w:val="49"/>
          <w:szCs w:val="49"/>
        </w:rPr>
        <w:t xml:space="preserve">  </w:t>
      </w:r>
      <w:r>
        <w:rPr>
          <w:rFonts w:ascii="SimSun" w:eastAsia="SimSun" w:hAnsi="SimSun" w:cs="SimSun"/>
          <w:spacing w:val="-3"/>
          <w:sz w:val="49"/>
          <w:szCs w:val="49"/>
        </w:rPr>
        <w:t>盈利中支付的，而且盈利增长能使股票价格上升，在转让股票时还可获得收益。对</w:t>
      </w:r>
      <w:r>
        <w:rPr>
          <w:rFonts w:ascii="SimSun" w:eastAsia="SimSun" w:hAnsi="SimSun" w:cs="SimSun"/>
          <w:spacing w:val="10"/>
          <w:sz w:val="49"/>
          <w:szCs w:val="49"/>
        </w:rPr>
        <w:t xml:space="preserve"> </w:t>
      </w:r>
      <w:r>
        <w:rPr>
          <w:rFonts w:ascii="SimSun" w:eastAsia="SimSun" w:hAnsi="SimSun" w:cs="SimSun"/>
          <w:spacing w:val="-2"/>
          <w:sz w:val="49"/>
          <w:szCs w:val="49"/>
        </w:rPr>
        <w:t>于债权人来说，利润是企业用于偿还债务的重要来源。对</w:t>
      </w:r>
      <w:r>
        <w:rPr>
          <w:rFonts w:ascii="SimSun" w:eastAsia="SimSun" w:hAnsi="SimSun" w:cs="SimSun"/>
          <w:spacing w:val="-3"/>
          <w:sz w:val="49"/>
          <w:szCs w:val="49"/>
        </w:rPr>
        <w:t>于企业经营者来讲，盈利</w:t>
      </w:r>
      <w:r>
        <w:rPr>
          <w:rFonts w:ascii="SimSun" w:eastAsia="SimSun" w:hAnsi="SimSun" w:cs="SimSun"/>
          <w:sz w:val="49"/>
          <w:szCs w:val="49"/>
        </w:rPr>
        <w:t xml:space="preserve"> </w:t>
      </w:r>
      <w:r>
        <w:rPr>
          <w:rFonts w:ascii="SimSun" w:eastAsia="SimSun" w:hAnsi="SimSun" w:cs="SimSun"/>
          <w:spacing w:val="-2"/>
          <w:sz w:val="49"/>
          <w:szCs w:val="49"/>
        </w:rPr>
        <w:t>水平的高低是衡量他们业绩和管理效能优劣的最重要指标，同时，企业员工也会因</w:t>
      </w:r>
      <w:r>
        <w:rPr>
          <w:rFonts w:ascii="SimSun" w:eastAsia="SimSun" w:hAnsi="SimSun" w:cs="SimSun"/>
          <w:spacing w:val="3"/>
          <w:sz w:val="49"/>
          <w:szCs w:val="49"/>
        </w:rPr>
        <w:t xml:space="preserve"> </w:t>
      </w:r>
      <w:r>
        <w:rPr>
          <w:rFonts w:ascii="SimSun" w:eastAsia="SimSun" w:hAnsi="SimSun" w:cs="SimSun"/>
          <w:spacing w:val="-13"/>
          <w:sz w:val="49"/>
          <w:szCs w:val="49"/>
        </w:rPr>
        <w:t>企业利润水平的提高、集体福利设备的较大改善而获得更多实惠</w:t>
      </w:r>
      <w:r>
        <w:rPr>
          <w:rFonts w:ascii="SimSun" w:eastAsia="SimSun" w:hAnsi="SimSun" w:cs="SimSun"/>
          <w:spacing w:val="-14"/>
          <w:sz w:val="49"/>
          <w:szCs w:val="49"/>
        </w:rPr>
        <w:t>。总之，</w:t>
      </w:r>
      <w:r>
        <w:rPr>
          <w:rFonts w:ascii="SimSun" w:eastAsia="SimSun" w:hAnsi="SimSun" w:cs="SimSun"/>
          <w:spacing w:val="135"/>
          <w:sz w:val="49"/>
          <w:szCs w:val="49"/>
        </w:rPr>
        <w:t xml:space="preserve"> </w:t>
      </w:r>
      <w:r>
        <w:rPr>
          <w:rFonts w:ascii="SimSun" w:eastAsia="SimSun" w:hAnsi="SimSun" w:cs="SimSun"/>
          <w:spacing w:val="-14"/>
          <w:sz w:val="49"/>
          <w:szCs w:val="49"/>
        </w:rPr>
        <w:t>一切与企</w:t>
      </w:r>
    </w:p>
    <w:p>
      <w:pPr>
        <w:spacing w:line="221" w:lineRule="auto"/>
        <w:ind w:right="22"/>
        <w:jc w:val="right"/>
        <w:rPr>
          <w:rFonts w:ascii="SimSun" w:eastAsia="SimSun" w:hAnsi="SimSun" w:cs="SimSun"/>
          <w:sz w:val="49"/>
          <w:szCs w:val="49"/>
        </w:rPr>
      </w:pPr>
      <w:r>
        <w:rPr>
          <w:rFonts w:ascii="SimSun" w:eastAsia="SimSun" w:hAnsi="SimSun" w:cs="SimSun"/>
          <w:spacing w:val="-3"/>
          <w:sz w:val="49"/>
          <w:szCs w:val="49"/>
        </w:rPr>
        <w:t>业有关的人，都关心企业的盈利能力并希望它不断提高。反映企业盈利能力的主要</w:t>
      </w:r>
    </w:p>
    <w:p>
      <w:pPr>
        <w:spacing w:line="221" w:lineRule="auto"/>
        <w:rPr>
          <w:rFonts w:ascii="SimSun" w:eastAsia="SimSun" w:hAnsi="SimSun" w:cs="SimSun"/>
          <w:sz w:val="49"/>
          <w:szCs w:val="49"/>
        </w:rPr>
        <w:sectPr>
          <w:footerReference w:type="default" r:id="rId19"/>
          <w:pgSz w:w="22849" w:h="31680"/>
          <w:pgMar w:top="2692" w:right="2361" w:bottom="400" w:left="2596" w:header="0" w:footer="0" w:gutter="0"/>
          <w:pgNumType w:start="16"/>
          <w:cols w:space="708"/>
        </w:sectPr>
      </w:pPr>
    </w:p>
    <w:p>
      <w:pPr>
        <w:spacing w:before="400" w:line="221" w:lineRule="auto"/>
        <w:rPr>
          <w:rFonts w:ascii="SimSun" w:eastAsia="SimSun" w:hAnsi="SimSun" w:cs="SimSun"/>
          <w:sz w:val="49"/>
          <w:szCs w:val="49"/>
        </w:rPr>
      </w:pPr>
      <w:r>
        <w:rPr>
          <w:rFonts w:ascii="SimSun" w:eastAsia="SimSun" w:hAnsi="SimSun" w:cs="SimSun"/>
          <w:spacing w:val="-5"/>
          <w:sz w:val="49"/>
          <w:szCs w:val="49"/>
        </w:rPr>
        <w:t>指标有销售利润率、资产报酬率、股东权益报酬率等。</w:t>
      </w:r>
    </w:p>
    <w:p>
      <w:pPr>
        <w:spacing w:before="365" w:line="362" w:lineRule="auto"/>
        <w:ind w:right="387" w:firstLine="1289"/>
        <w:rPr>
          <w:rFonts w:ascii="SimSun" w:eastAsia="SimSun" w:hAnsi="SimSun" w:cs="SimSun"/>
          <w:sz w:val="49"/>
          <w:szCs w:val="49"/>
        </w:rPr>
      </w:pPr>
      <w:r>
        <w:rPr>
          <w:rFonts w:ascii="SimSun" w:eastAsia="SimSun" w:hAnsi="SimSun" w:cs="SimSun"/>
          <w:spacing w:val="-3"/>
          <w:sz w:val="49"/>
          <w:szCs w:val="49"/>
        </w:rPr>
        <w:t>获利能力分析的主要目的是从外部市场的角度分析企业</w:t>
      </w:r>
      <w:r>
        <w:rPr>
          <w:rFonts w:ascii="SimSun" w:eastAsia="SimSun" w:hAnsi="SimSun" w:cs="SimSun"/>
          <w:spacing w:val="-4"/>
          <w:sz w:val="49"/>
          <w:szCs w:val="49"/>
        </w:rPr>
        <w:t xml:space="preserve">行为对经营利润的  </w:t>
      </w:r>
      <w:r>
        <w:rPr>
          <w:rFonts w:ascii="SimSun" w:eastAsia="SimSun" w:hAnsi="SimSun" w:cs="SimSun"/>
          <w:spacing w:val="-16"/>
          <w:sz w:val="49"/>
          <w:szCs w:val="49"/>
        </w:rPr>
        <w:t>影，允许从业务方面(客户，客户组，产品，产品组，内销外销等销售类型等及其组</w:t>
      </w:r>
      <w:r>
        <w:rPr>
          <w:rFonts w:ascii="SimSun" w:eastAsia="SimSun" w:hAnsi="SimSun" w:cs="SimSun"/>
          <w:spacing w:val="15"/>
          <w:sz w:val="49"/>
          <w:szCs w:val="49"/>
        </w:rPr>
        <w:t xml:space="preserve"> </w:t>
      </w:r>
      <w:r>
        <w:rPr>
          <w:rFonts w:ascii="SimSun" w:eastAsia="SimSun" w:hAnsi="SimSun" w:cs="SimSun"/>
          <w:spacing w:val="-2"/>
          <w:sz w:val="49"/>
          <w:szCs w:val="49"/>
        </w:rPr>
        <w:t>合)和组织单元(比如销售组织，分销渠道，业务范围，工厂等组合)对企业经营利</w:t>
      </w:r>
    </w:p>
    <w:p>
      <w:pPr>
        <w:spacing w:before="2" w:line="221" w:lineRule="auto"/>
        <w:rPr>
          <w:rFonts w:ascii="SimSun" w:eastAsia="SimSun" w:hAnsi="SimSun" w:cs="SimSun"/>
          <w:sz w:val="49"/>
          <w:szCs w:val="49"/>
        </w:rPr>
      </w:pPr>
      <w:r>
        <w:rPr>
          <w:rFonts w:ascii="SimSun" w:eastAsia="SimSun" w:hAnsi="SimSun" w:cs="SimSun"/>
          <w:spacing w:val="-9"/>
          <w:sz w:val="49"/>
          <w:szCs w:val="49"/>
        </w:rPr>
        <w:t>润进行详细分析。</w:t>
      </w:r>
    </w:p>
    <w:p>
      <w:pPr>
        <w:spacing w:line="255" w:lineRule="auto"/>
        <w:rPr>
          <w:rFonts w:ascii="Arial"/>
          <w:sz w:val="21"/>
        </w:rPr>
      </w:pPr>
    </w:p>
    <w:p>
      <w:pPr>
        <w:spacing w:before="159" w:line="221" w:lineRule="auto"/>
        <w:rPr>
          <w:rFonts w:ascii="SimSun" w:eastAsia="SimSun" w:hAnsi="SimSun" w:cs="SimSun"/>
          <w:sz w:val="49"/>
          <w:szCs w:val="49"/>
        </w:rPr>
      </w:pPr>
      <w:r>
        <w:rPr>
          <w:rFonts w:ascii="SimSun" w:eastAsia="SimSun" w:hAnsi="SimSun" w:cs="SimSun"/>
          <w:spacing w:val="-2"/>
          <w:sz w:val="49"/>
          <w:szCs w:val="49"/>
        </w:rPr>
        <w:t>3.3.1</w:t>
      </w:r>
      <w:r>
        <w:rPr>
          <w:rFonts w:ascii="SimSun" w:eastAsia="SimSun" w:hAnsi="SimSun" w:cs="SimSun"/>
          <w:spacing w:val="49"/>
          <w:sz w:val="49"/>
          <w:szCs w:val="49"/>
        </w:rPr>
        <w:t xml:space="preserve"> </w:t>
      </w:r>
      <w:r>
        <w:rPr>
          <w:rFonts w:ascii="SimSun" w:eastAsia="SimSun" w:hAnsi="SimSun" w:cs="SimSun"/>
          <w:spacing w:val="-2"/>
          <w:sz w:val="49"/>
          <w:szCs w:val="49"/>
        </w:rPr>
        <w:t>销售净利润率</w:t>
      </w:r>
    </w:p>
    <w:p>
      <w:pPr>
        <w:pStyle w:val="BodyText"/>
        <w:spacing w:before="319" w:line="993" w:lineRule="exact"/>
        <w:ind w:right="117"/>
        <w:jc w:val="right"/>
        <w:rPr>
          <w:rFonts w:ascii="SimSun" w:eastAsia="SimSun" w:hAnsi="SimSun" w:cs="SimSun"/>
          <w:sz w:val="49"/>
          <w:szCs w:val="49"/>
        </w:rPr>
      </w:pPr>
      <w:r>
        <w:rPr>
          <w:rFonts w:ascii="SimSun" w:eastAsia="SimSun" w:hAnsi="SimSun" w:cs="SimSun"/>
          <w:spacing w:val="1"/>
          <w:position w:val="38"/>
          <w:sz w:val="49"/>
          <w:szCs w:val="49"/>
        </w:rPr>
        <w:t>销售净利率</w:t>
      </w:r>
      <w:r>
        <w:rPr>
          <w:spacing w:val="1"/>
          <w:position w:val="38"/>
          <w:sz w:val="49"/>
          <w:szCs w:val="49"/>
        </w:rPr>
        <w:t>(</w:t>
      </w:r>
      <w:r>
        <w:rPr>
          <w:position w:val="38"/>
          <w:sz w:val="49"/>
          <w:szCs w:val="49"/>
        </w:rPr>
        <w:t>Net</w:t>
      </w:r>
      <w:r>
        <w:rPr>
          <w:spacing w:val="1"/>
          <w:position w:val="38"/>
          <w:sz w:val="49"/>
          <w:szCs w:val="49"/>
        </w:rPr>
        <w:t xml:space="preserve">   </w:t>
      </w:r>
      <w:r>
        <w:rPr>
          <w:position w:val="38"/>
          <w:sz w:val="49"/>
          <w:szCs w:val="49"/>
        </w:rPr>
        <w:t>Profit</w:t>
      </w:r>
      <w:r>
        <w:rPr>
          <w:spacing w:val="1"/>
          <w:position w:val="38"/>
          <w:sz w:val="49"/>
          <w:szCs w:val="49"/>
        </w:rPr>
        <w:t xml:space="preserve">    </w:t>
      </w:r>
      <w:r>
        <w:rPr>
          <w:position w:val="38"/>
          <w:sz w:val="49"/>
          <w:szCs w:val="49"/>
        </w:rPr>
        <w:t>Margin</w:t>
      </w:r>
      <w:r>
        <w:rPr>
          <w:spacing w:val="1"/>
          <w:position w:val="38"/>
          <w:sz w:val="49"/>
          <w:szCs w:val="49"/>
        </w:rPr>
        <w:t xml:space="preserve">    </w:t>
      </w:r>
      <w:r>
        <w:rPr>
          <w:position w:val="38"/>
          <w:sz w:val="49"/>
          <w:szCs w:val="49"/>
        </w:rPr>
        <w:t>on</w:t>
      </w:r>
      <w:r>
        <w:rPr>
          <w:spacing w:val="1"/>
          <w:position w:val="38"/>
          <w:sz w:val="49"/>
          <w:szCs w:val="49"/>
        </w:rPr>
        <w:t xml:space="preserve">    </w:t>
      </w:r>
      <w:r>
        <w:rPr>
          <w:position w:val="38"/>
          <w:sz w:val="49"/>
          <w:szCs w:val="49"/>
        </w:rPr>
        <w:t>Sales</w:t>
      </w:r>
      <w:r>
        <w:rPr>
          <w:spacing w:val="1"/>
          <w:position w:val="38"/>
          <w:sz w:val="49"/>
          <w:szCs w:val="49"/>
        </w:rPr>
        <w:t>/</w:t>
      </w:r>
      <w:r>
        <w:rPr>
          <w:position w:val="38"/>
          <w:sz w:val="49"/>
          <w:szCs w:val="49"/>
        </w:rPr>
        <w:t>Net</w:t>
      </w:r>
      <w:r>
        <w:rPr>
          <w:spacing w:val="1"/>
          <w:position w:val="38"/>
          <w:sz w:val="49"/>
          <w:szCs w:val="49"/>
        </w:rPr>
        <w:t xml:space="preserve">   </w:t>
      </w:r>
      <w:r>
        <w:rPr>
          <w:position w:val="38"/>
          <w:sz w:val="49"/>
          <w:szCs w:val="49"/>
        </w:rPr>
        <w:t>profit</w:t>
      </w:r>
      <w:r>
        <w:rPr>
          <w:spacing w:val="1"/>
          <w:position w:val="38"/>
          <w:sz w:val="49"/>
          <w:szCs w:val="49"/>
        </w:rPr>
        <w:t xml:space="preserve">    </w:t>
      </w:r>
      <w:r>
        <w:rPr>
          <w:position w:val="38"/>
          <w:sz w:val="49"/>
          <w:szCs w:val="49"/>
        </w:rPr>
        <w:t>margin</w:t>
      </w:r>
      <w:r>
        <w:rPr>
          <w:spacing w:val="1"/>
          <w:position w:val="38"/>
          <w:sz w:val="49"/>
          <w:szCs w:val="49"/>
        </w:rPr>
        <w:t xml:space="preserve">)  </w:t>
      </w:r>
      <w:r>
        <w:rPr>
          <w:rFonts w:ascii="SimSun" w:eastAsia="SimSun" w:hAnsi="SimSun" w:cs="SimSun"/>
          <w:position w:val="38"/>
          <w:sz w:val="49"/>
          <w:szCs w:val="49"/>
        </w:rPr>
        <w:t>净利润与销</w:t>
      </w:r>
    </w:p>
    <w:p>
      <w:pPr>
        <w:spacing w:line="221" w:lineRule="auto"/>
        <w:rPr>
          <w:rFonts w:ascii="SimSun" w:eastAsia="SimSun" w:hAnsi="SimSun" w:cs="SimSun"/>
          <w:sz w:val="49"/>
          <w:szCs w:val="49"/>
        </w:rPr>
      </w:pPr>
      <w:r>
        <w:rPr>
          <w:rFonts w:ascii="SimSun" w:eastAsia="SimSun" w:hAnsi="SimSun" w:cs="SimSun"/>
          <w:spacing w:val="-10"/>
          <w:sz w:val="49"/>
          <w:szCs w:val="49"/>
        </w:rPr>
        <w:t>售收入净额的比率。计算公式如下：</w:t>
      </w:r>
    </w:p>
    <w:p>
      <w:pPr>
        <w:spacing w:before="367" w:line="221" w:lineRule="auto"/>
        <w:ind w:left="1289"/>
        <w:rPr>
          <w:rFonts w:ascii="SimSun" w:eastAsia="SimSun" w:hAnsi="SimSun" w:cs="SimSun"/>
          <w:sz w:val="49"/>
          <w:szCs w:val="49"/>
        </w:rPr>
      </w:pPr>
      <w:r>
        <w:rPr>
          <w:rFonts w:ascii="SimSun" w:eastAsia="SimSun" w:hAnsi="SimSun" w:cs="SimSun"/>
          <w:spacing w:val="-2"/>
          <w:sz w:val="49"/>
          <w:szCs w:val="49"/>
        </w:rPr>
        <w:t>销售利润率=净利润/营业收入×100%</w:t>
      </w:r>
    </w:p>
    <w:p>
      <w:pPr>
        <w:spacing w:before="378" w:line="361" w:lineRule="auto"/>
        <w:ind w:right="186" w:firstLine="1289"/>
        <w:rPr>
          <w:rFonts w:ascii="SimSun" w:eastAsia="SimSun" w:hAnsi="SimSun" w:cs="SimSun"/>
          <w:sz w:val="49"/>
          <w:szCs w:val="49"/>
        </w:rPr>
      </w:pPr>
      <w:r>
        <w:rPr>
          <w:rFonts w:ascii="SimSun" w:eastAsia="SimSun" w:hAnsi="SimSun" w:cs="SimSun"/>
          <w:spacing w:val="-5"/>
          <w:sz w:val="49"/>
          <w:szCs w:val="49"/>
        </w:rPr>
        <w:t xml:space="preserve">销售净利润率表明企业每百元销售收入净额可实现的净利润。该比率越高， </w:t>
      </w:r>
      <w:r>
        <w:rPr>
          <w:rFonts w:ascii="SimSun" w:eastAsia="SimSun" w:hAnsi="SimSun" w:cs="SimSun"/>
          <w:spacing w:val="-3"/>
          <w:sz w:val="49"/>
          <w:szCs w:val="49"/>
        </w:rPr>
        <w:t>说明企业的获利能力越强，但它受行业特点影响较大，在分析时应该结合不</w:t>
      </w:r>
      <w:r>
        <w:rPr>
          <w:rFonts w:ascii="SimSun" w:eastAsia="SimSun" w:hAnsi="SimSun" w:cs="SimSun"/>
          <w:spacing w:val="-4"/>
          <w:sz w:val="49"/>
          <w:szCs w:val="49"/>
        </w:rPr>
        <w:t>同行业</w:t>
      </w:r>
    </w:p>
    <w:p>
      <w:pPr>
        <w:spacing w:before="3" w:line="221" w:lineRule="auto"/>
        <w:rPr>
          <w:rFonts w:ascii="SimSun" w:eastAsia="SimSun" w:hAnsi="SimSun" w:cs="SimSun"/>
          <w:sz w:val="49"/>
          <w:szCs w:val="49"/>
        </w:rPr>
      </w:pPr>
      <w:r>
        <w:rPr>
          <w:rFonts w:ascii="SimSun" w:eastAsia="SimSun" w:hAnsi="SimSun" w:cs="SimSun"/>
          <w:spacing w:val="-15"/>
          <w:sz w:val="49"/>
          <w:szCs w:val="49"/>
        </w:rPr>
        <w:t>具体情况进行分析。</w:t>
      </w:r>
    </w:p>
    <w:p>
      <w:pPr>
        <w:spacing w:before="320" w:line="361" w:lineRule="auto"/>
        <w:ind w:right="219" w:firstLine="1289"/>
        <w:rPr>
          <w:rFonts w:ascii="SimSun" w:eastAsia="SimSun" w:hAnsi="SimSun" w:cs="SimSun"/>
          <w:sz w:val="49"/>
          <w:szCs w:val="49"/>
        </w:rPr>
      </w:pPr>
      <w:r>
        <w:rPr>
          <w:rFonts w:ascii="SimSun" w:eastAsia="SimSun" w:hAnsi="SimSun" w:cs="SimSun"/>
          <w:spacing w:val="24"/>
          <w:sz w:val="49"/>
          <w:szCs w:val="49"/>
        </w:rPr>
        <w:t>由表4可以得到，山东海化2008年的销售利润率2.5%,2009年销售利润率</w:t>
      </w:r>
      <w:r>
        <w:rPr>
          <w:rFonts w:ascii="SimSun" w:eastAsia="SimSun" w:hAnsi="SimSun" w:cs="SimSun"/>
          <w:spacing w:val="12"/>
          <w:sz w:val="49"/>
          <w:szCs w:val="49"/>
        </w:rPr>
        <w:t xml:space="preserve"> </w:t>
      </w:r>
      <w:r>
        <w:rPr>
          <w:rFonts w:ascii="SimSun" w:eastAsia="SimSun" w:hAnsi="SimSun" w:cs="SimSun"/>
          <w:spacing w:val="19"/>
          <w:sz w:val="49"/>
          <w:szCs w:val="49"/>
        </w:rPr>
        <w:t>-13.55%,2010年的销售利润率0.87%,</w:t>
      </w:r>
      <w:r>
        <w:rPr>
          <w:rFonts w:ascii="SimSun" w:eastAsia="SimSun" w:hAnsi="SimSun" w:cs="SimSun"/>
          <w:spacing w:val="18"/>
          <w:sz w:val="49"/>
          <w:szCs w:val="49"/>
        </w:rPr>
        <w:t>可见三年销售利润率先降后升，其中2009</w:t>
      </w:r>
    </w:p>
    <w:p>
      <w:pPr>
        <w:spacing w:before="1" w:line="218" w:lineRule="auto"/>
        <w:rPr>
          <w:rFonts w:ascii="SimSun" w:eastAsia="SimSun" w:hAnsi="SimSun" w:cs="SimSun"/>
          <w:sz w:val="49"/>
          <w:szCs w:val="49"/>
        </w:rPr>
      </w:pPr>
      <w:r>
        <w:rPr>
          <w:rFonts w:ascii="SimSun" w:eastAsia="SimSun" w:hAnsi="SimSun" w:cs="SimSun"/>
          <w:spacing w:val="2"/>
          <w:sz w:val="49"/>
          <w:szCs w:val="49"/>
        </w:rPr>
        <w:t>年竟将到-13.55%,主要原因营业收入在2009年</w:t>
      </w:r>
      <w:r>
        <w:rPr>
          <w:rFonts w:ascii="SimSun" w:eastAsia="SimSun" w:hAnsi="SimSun" w:cs="SimSun"/>
          <w:spacing w:val="1"/>
          <w:sz w:val="49"/>
          <w:szCs w:val="49"/>
        </w:rPr>
        <w:t>下降很多，营业收入呈现先降后升。</w:t>
      </w:r>
    </w:p>
    <w:p>
      <w:pPr>
        <w:spacing w:before="391" w:line="221" w:lineRule="auto"/>
        <w:ind w:left="264"/>
        <w:rPr>
          <w:rFonts w:ascii="SimSun" w:eastAsia="SimSun" w:hAnsi="SimSun" w:cs="SimSun"/>
          <w:sz w:val="49"/>
          <w:szCs w:val="49"/>
        </w:rPr>
      </w:pPr>
      <w:r>
        <w:rPr>
          <w:rFonts w:ascii="SimSun" w:eastAsia="SimSun" w:hAnsi="SimSun" w:cs="SimSun"/>
          <w:spacing w:val="-4"/>
          <w:sz w:val="49"/>
          <w:szCs w:val="49"/>
        </w:rPr>
        <w:t>3.3.2</w:t>
      </w:r>
      <w:r>
        <w:rPr>
          <w:rFonts w:ascii="SimSun" w:eastAsia="SimSun" w:hAnsi="SimSun" w:cs="SimSun"/>
          <w:spacing w:val="47"/>
          <w:sz w:val="49"/>
          <w:szCs w:val="49"/>
        </w:rPr>
        <w:t xml:space="preserve"> </w:t>
      </w:r>
      <w:r>
        <w:rPr>
          <w:rFonts w:ascii="SimSun" w:eastAsia="SimSun" w:hAnsi="SimSun" w:cs="SimSun"/>
          <w:spacing w:val="-4"/>
          <w:sz w:val="49"/>
          <w:szCs w:val="49"/>
        </w:rPr>
        <w:t>资产报酬率</w:t>
      </w:r>
    </w:p>
    <w:p>
      <w:pPr>
        <w:spacing w:before="396" w:line="360" w:lineRule="auto"/>
        <w:ind w:right="161" w:firstLine="1289"/>
        <w:rPr>
          <w:rFonts w:ascii="SimSun" w:eastAsia="SimSun" w:hAnsi="SimSun" w:cs="SimSun"/>
          <w:sz w:val="49"/>
          <w:szCs w:val="49"/>
        </w:rPr>
      </w:pPr>
      <w:r>
        <w:rPr>
          <w:rFonts w:ascii="SimSun" w:eastAsia="SimSun" w:hAnsi="SimSun" w:cs="SimSun"/>
          <w:spacing w:val="-2"/>
          <w:sz w:val="49"/>
          <w:szCs w:val="49"/>
        </w:rPr>
        <w:t>总资产报酬率又称总资产利润率、总资产回报率、资产总额利润率。是指企</w:t>
      </w:r>
      <w:r>
        <w:rPr>
          <w:rFonts w:ascii="SimSun" w:eastAsia="SimSun" w:hAnsi="SimSun" w:cs="SimSun"/>
          <w:spacing w:val="7"/>
          <w:sz w:val="49"/>
          <w:szCs w:val="49"/>
        </w:rPr>
        <w:t xml:space="preserve"> </w:t>
      </w:r>
      <w:r>
        <w:rPr>
          <w:rFonts w:ascii="SimSun" w:eastAsia="SimSun" w:hAnsi="SimSun" w:cs="SimSun"/>
          <w:spacing w:val="-2"/>
          <w:sz w:val="49"/>
          <w:szCs w:val="49"/>
        </w:rPr>
        <w:t>业一定时期内息税前利润与资产平均总额的比率。</w:t>
      </w:r>
      <w:r>
        <w:rPr>
          <w:rFonts w:ascii="SimSun" w:eastAsia="SimSun" w:hAnsi="SimSun" w:cs="SimSun"/>
          <w:spacing w:val="-3"/>
          <w:sz w:val="49"/>
          <w:szCs w:val="49"/>
        </w:rPr>
        <w:t>用以评价企业运用全部资产的总</w:t>
      </w:r>
    </w:p>
    <w:p>
      <w:pPr>
        <w:spacing w:before="1" w:line="219" w:lineRule="auto"/>
        <w:jc w:val="right"/>
        <w:rPr>
          <w:rFonts w:ascii="SimSun" w:eastAsia="SimSun" w:hAnsi="SimSun" w:cs="SimSun"/>
          <w:sz w:val="49"/>
          <w:szCs w:val="49"/>
        </w:rPr>
      </w:pPr>
      <w:r>
        <w:rPr>
          <w:rFonts w:ascii="SimSun" w:eastAsia="SimSun" w:hAnsi="SimSun" w:cs="SimSun"/>
          <w:spacing w:val="-11"/>
          <w:sz w:val="49"/>
          <w:szCs w:val="49"/>
        </w:rPr>
        <w:t>体获利能力，是评价企业资产运营效益的重要指标。总资产报</w:t>
      </w:r>
      <w:r>
        <w:rPr>
          <w:rFonts w:ascii="SimSun" w:eastAsia="SimSun" w:hAnsi="SimSun" w:cs="SimSun"/>
          <w:spacing w:val="-12"/>
          <w:sz w:val="49"/>
          <w:szCs w:val="49"/>
        </w:rPr>
        <w:t>酬率的计算公式如下：</w:t>
      </w:r>
    </w:p>
    <w:p>
      <w:pPr>
        <w:spacing w:before="384" w:line="221" w:lineRule="auto"/>
        <w:ind w:left="1289"/>
        <w:rPr>
          <w:rFonts w:ascii="SimSun" w:eastAsia="SimSun" w:hAnsi="SimSun" w:cs="SimSun"/>
          <w:sz w:val="49"/>
          <w:szCs w:val="49"/>
        </w:rPr>
      </w:pPr>
      <w:r>
        <w:rPr>
          <w:rFonts w:ascii="SimSun" w:eastAsia="SimSun" w:hAnsi="SimSun" w:cs="SimSun"/>
          <w:spacing w:val="-2"/>
          <w:sz w:val="49"/>
          <w:szCs w:val="49"/>
        </w:rPr>
        <w:t>资产报酬率=净利润/总资产×100%</w:t>
      </w:r>
    </w:p>
    <w:p>
      <w:pPr>
        <w:spacing w:before="343" w:line="353" w:lineRule="auto"/>
        <w:ind w:right="316" w:firstLine="1289"/>
        <w:rPr>
          <w:rFonts w:ascii="SimSun" w:eastAsia="SimSun" w:hAnsi="SimSun" w:cs="SimSun"/>
          <w:sz w:val="49"/>
          <w:szCs w:val="49"/>
        </w:rPr>
      </w:pPr>
      <w:r>
        <w:rPr>
          <w:rFonts w:ascii="SimSun" w:eastAsia="SimSun" w:hAnsi="SimSun" w:cs="SimSun"/>
          <w:spacing w:val="-2"/>
          <w:sz w:val="49"/>
          <w:szCs w:val="49"/>
        </w:rPr>
        <w:t>评价企业管理者运用各种来源资金获取报酬的能力。公式中的资产总额包括</w:t>
      </w:r>
      <w:r>
        <w:rPr>
          <w:rFonts w:ascii="SimSun" w:eastAsia="SimSun" w:hAnsi="SimSun" w:cs="SimSun"/>
          <w:spacing w:val="5"/>
          <w:sz w:val="49"/>
          <w:szCs w:val="49"/>
        </w:rPr>
        <w:t xml:space="preserve"> </w:t>
      </w:r>
      <w:r>
        <w:rPr>
          <w:rFonts w:ascii="SimSun" w:eastAsia="SimSun" w:hAnsi="SimSun" w:cs="SimSun"/>
          <w:spacing w:val="-27"/>
          <w:sz w:val="49"/>
          <w:szCs w:val="49"/>
        </w:rPr>
        <w:t>两部分： 一是负债， 一是所有者权益或企业自有资本.利息费用是债权人所提供资产</w:t>
      </w:r>
      <w:r>
        <w:rPr>
          <w:rFonts w:ascii="SimSun" w:eastAsia="SimSun" w:hAnsi="SimSun" w:cs="SimSun"/>
          <w:sz w:val="49"/>
          <w:szCs w:val="49"/>
        </w:rPr>
        <w:t xml:space="preserve"> </w:t>
      </w:r>
      <w:r>
        <w:rPr>
          <w:rFonts w:ascii="SimSun" w:eastAsia="SimSun" w:hAnsi="SimSun" w:cs="SimSun"/>
          <w:spacing w:val="-14"/>
          <w:sz w:val="49"/>
          <w:szCs w:val="49"/>
        </w:rPr>
        <w:t>的报酬；所得税是企业对国家应尽的义务，只有税后利</w:t>
      </w:r>
      <w:r>
        <w:rPr>
          <w:rFonts w:ascii="SimSun" w:eastAsia="SimSun" w:hAnsi="SimSun" w:cs="SimSun"/>
          <w:spacing w:val="-15"/>
          <w:sz w:val="49"/>
          <w:szCs w:val="49"/>
        </w:rPr>
        <w:t>润才是最终归属于企业所有.</w:t>
      </w:r>
      <w:r>
        <w:rPr>
          <w:rFonts w:ascii="SimSun" w:eastAsia="SimSun" w:hAnsi="SimSun" w:cs="SimSun"/>
          <w:sz w:val="49"/>
          <w:szCs w:val="49"/>
        </w:rPr>
        <w:t xml:space="preserve"> </w:t>
      </w:r>
      <w:r>
        <w:rPr>
          <w:rFonts w:ascii="SimSun" w:eastAsia="SimSun" w:hAnsi="SimSun" w:cs="SimSun"/>
          <w:spacing w:val="-22"/>
          <w:sz w:val="49"/>
          <w:szCs w:val="49"/>
        </w:rPr>
        <w:t>因此在计算全部资产报酬率实时，应在税前利润额的基础上，加上利息费用，减去所</w:t>
      </w:r>
    </w:p>
    <w:p>
      <w:pPr>
        <w:spacing w:before="1" w:line="219" w:lineRule="auto"/>
        <w:rPr>
          <w:rFonts w:ascii="SimSun" w:eastAsia="SimSun" w:hAnsi="SimSun" w:cs="SimSun"/>
          <w:sz w:val="49"/>
          <w:szCs w:val="49"/>
        </w:rPr>
      </w:pPr>
      <w:r>
        <w:rPr>
          <w:rFonts w:ascii="SimSun" w:eastAsia="SimSun" w:hAnsi="SimSun" w:cs="SimSun"/>
          <w:spacing w:val="-17"/>
          <w:sz w:val="49"/>
          <w:szCs w:val="49"/>
        </w:rPr>
        <w:t>得税，以便正确评价企业资产的运营效率。</w:t>
      </w:r>
    </w:p>
    <w:p>
      <w:pPr>
        <w:spacing w:line="329" w:lineRule="auto"/>
        <w:rPr>
          <w:rFonts w:ascii="Arial"/>
          <w:sz w:val="21"/>
        </w:rPr>
      </w:pPr>
    </w:p>
    <w:p>
      <w:pPr>
        <w:spacing w:before="160" w:line="917" w:lineRule="exact"/>
        <w:ind w:right="50"/>
        <w:jc w:val="right"/>
        <w:rPr>
          <w:rFonts w:ascii="SimSun" w:eastAsia="SimSun" w:hAnsi="SimSun" w:cs="SimSun"/>
          <w:sz w:val="49"/>
          <w:szCs w:val="49"/>
        </w:rPr>
      </w:pPr>
      <w:r>
        <w:rPr>
          <w:rFonts w:ascii="SimSun" w:eastAsia="SimSun" w:hAnsi="SimSun" w:cs="SimSun"/>
          <w:spacing w:val="12"/>
          <w:position w:val="31"/>
          <w:sz w:val="49"/>
          <w:szCs w:val="49"/>
        </w:rPr>
        <w:t>由表4可以得到，资产报酬率呈现先降后升的趋势，其中2009降到了-</w:t>
      </w:r>
      <w:r>
        <w:rPr>
          <w:rFonts w:ascii="SimSun" w:eastAsia="SimSun" w:hAnsi="SimSun" w:cs="SimSun"/>
          <w:spacing w:val="11"/>
          <w:position w:val="31"/>
          <w:sz w:val="49"/>
          <w:szCs w:val="49"/>
        </w:rPr>
        <w:t>9.6%,</w:t>
      </w:r>
    </w:p>
    <w:p>
      <w:pPr>
        <w:spacing w:line="221" w:lineRule="auto"/>
        <w:rPr>
          <w:rFonts w:ascii="SimSun" w:eastAsia="SimSun" w:hAnsi="SimSun" w:cs="SimSun"/>
          <w:sz w:val="49"/>
          <w:szCs w:val="49"/>
        </w:rPr>
      </w:pPr>
      <w:r>
        <w:rPr>
          <w:rFonts w:ascii="SimSun" w:eastAsia="SimSun" w:hAnsi="SimSun" w:cs="SimSun"/>
          <w:spacing w:val="-3"/>
          <w:sz w:val="49"/>
          <w:szCs w:val="49"/>
        </w:rPr>
        <w:t>这说明企业的整个盈利能力都下降了，财务管理水平较低，财务杠杆能力没有得到</w:t>
      </w:r>
    </w:p>
    <w:p>
      <w:pPr>
        <w:spacing w:line="221" w:lineRule="auto"/>
        <w:rPr>
          <w:rFonts w:ascii="SimSun" w:eastAsia="SimSun" w:hAnsi="SimSun" w:cs="SimSun"/>
          <w:sz w:val="49"/>
          <w:szCs w:val="49"/>
        </w:rPr>
      </w:pPr>
      <w:r>
        <w:rPr>
          <w:rFonts w:ascii="SimSun" w:eastAsia="SimSun" w:hAnsi="SimSun" w:cs="SimSun"/>
          <w:sz w:val="49"/>
          <w:szCs w:val="49"/>
        </w:rPr>
        <w:br/>
      </w:r>
      <w:r>
        <w:rPr>
          <w:rFonts w:ascii="SimSun" w:eastAsia="SimSun" w:hAnsi="SimSun" w:cs="SimSun"/>
          <w:sz w:val="49"/>
          <w:szCs w:val="49"/>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0" w:history="1">
        <w:r>
          <w:rPr>
            <w:rFonts w:ascii="SimSun" w:eastAsia="SimSun" w:hAnsi="SimSun" w:cs="SimSun"/>
            <w:b/>
            <w:bCs/>
            <w:noProof w:val="0"/>
            <w:snapToGrid/>
            <w:color w:val="0000EE"/>
            <w:kern w:val="0"/>
            <w:sz w:val="30"/>
            <w:szCs w:val="30"/>
            <w:u w:val="single" w:color="0000EE"/>
          </w:rPr>
          <w:t>https://d.book118.com/136005044120010034</w:t>
        </w:r>
      </w:hyperlink>
    </w:p>
    <w:p>
      <w:pPr>
        <w:spacing w:line="221" w:lineRule="auto"/>
        <w:rPr>
          <w:rFonts w:ascii="SimSun" w:eastAsia="SimSun" w:hAnsi="SimSun" w:cs="SimSun"/>
          <w:sz w:val="49"/>
          <w:szCs w:val="49"/>
        </w:rPr>
      </w:pPr>
    </w:p>
    <w:sectPr>
      <w:footerReference w:type="default" r:id="rId21"/>
      <w:pgSz w:w="22849" w:h="31680"/>
      <w:pgMar w:top="2692" w:right="2278" w:bottom="400" w:left="2852" w:header="0" w:footer="0" w:gutter="0"/>
      <w:pgNumType w:start="1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81" w:lineRule="auto"/>
      <w:rPr>
        <w:rFonts w:ascii="Arial"/>
        <w:sz w:val="2"/>
      </w:rPr>
    </w:pPr>
    <w:r>
      <w:pict>
        <v:rect id="_x0000_s2049" style="width:877.05pt;height:0.9pt;margin-top:1438.27pt;margin-left:129.39pt;mso-position-horizontal-relative:page;mso-position-vertical-relative:page;position:absolute;z-index:251658240" o:allowincell="f" filled="t" fillcolor="black" stroked="f"/>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81" w:lineRule="auto"/>
      <w:rPr>
        <w:rFonts w:ascii="Arial"/>
        <w:sz w:val="2"/>
      </w:rPr>
    </w:pPr>
    <w:r>
      <w:pict>
        <v:rect id="_x0000_s2050" style="width:877.05pt;height:0.9pt;margin-top:1438.27pt;margin-left:129.39pt;mso-position-horizontal-relative:page;mso-position-vertical-relative:page;position:absolute;z-index:251659264" o:allowincell="f" filled="t" fillcolor="black" stroked="f"/>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81" w:lineRule="auto"/>
      <w:rPr>
        <w:rFonts w:ascii="Arial"/>
        <w:sz w:val="2"/>
      </w:rPr>
    </w:pPr>
    <w:r>
      <w:pict>
        <v:rect id="_x0000_s2051" style="width:877.05pt;height:0.9pt;margin-top:1438.27pt;margin-left:129.39pt;mso-position-horizontal-relative:page;mso-position-vertical-relative:page;position:absolute;z-index:251660288" o:allowincell="f" filled="t" fillcolor="black" stroked="f"/>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Times New Roman" w:eastAsia="Times New Roman" w:hAnsi="Times New Roman" w:cs="Times New Roman"/>
      <w:sz w:val="42"/>
      <w:szCs w:val="42"/>
      <w:lang w:val="en-US" w:eastAsia="en-US" w:bidi="ar-SA"/>
    </w:rPr>
  </w:style>
  <w:style w:type="paragraph" w:customStyle="1" w:styleId="TableText">
    <w:name w:val="Table Text"/>
    <w:basedOn w:val="Normal"/>
    <w:semiHidden/>
    <w:qFormat/>
    <w:rPr>
      <w:rFonts w:ascii="SimSun" w:eastAsia="SimSun" w:hAnsi="SimSun" w:cs="SimSun"/>
      <w:sz w:val="41"/>
      <w:szCs w:val="4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yperlink" Target="3.1.2.1" TargetMode="External" /><Relationship Id="rId13" Type="http://schemas.openxmlformats.org/officeDocument/2006/relationships/hyperlink" Target="3.1.2.2" TargetMode="External"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footer" Target="footer9.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hyperlink" Target="https://d.book118.com/136005044120010034" TargetMode="External" /><Relationship Id="rId21" Type="http://schemas.openxmlformats.org/officeDocument/2006/relationships/footer" Target="footer11.xm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yperlink" Target="3.1.1.1" TargetMode="External" /><Relationship Id="rId5" Type="http://schemas.openxmlformats.org/officeDocument/2006/relationships/hyperlink" Target="3.1.1.2" TargetMode="External" /><Relationship Id="rId6" Type="http://schemas.openxmlformats.org/officeDocument/2006/relationships/image" Target="media/image1.png" /><Relationship Id="rId7" Type="http://schemas.openxmlformats.org/officeDocument/2006/relationships/hyperlink" Target="3.1.1.3" TargetMode="Externa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2024-01-01T19:58:53Z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2024-01-01T19:58:57Z</vt:filetime>
  </property>
  <property fmtid="{D5CDD505-2E9C-101B-9397-08002B2CF9AE}" pid="3" name="CRO">
    <vt:lpwstr>wqlLaW5nc29mdCBQREYgdG8gV1BTIDkw</vt:lpwstr>
  </property>
  <property fmtid="{D5CDD505-2E9C-101B-9397-08002B2CF9AE}" pid="4" name="UsrData">
    <vt:lpwstr>6592a8f5f23622001f6e5786wl</vt:lpwstr>
  </property>
</Properties>
</file>