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压铸机项目可行性建设方案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55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_Toc24559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69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_Toc9469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0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_Toc17090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78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_Toc18578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7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_Toc26617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31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_Toc19631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8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_Toc5498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42" w:history="1">
        <w:r>
          <w:rPr>
            <w:rFonts w:ascii="仿宋" w:eastAsia="仿宋" w:hAnsi="仿宋" w:cs="仿宋" w:hint="eastAsia"/>
            <w:lang w:eastAsia="zh-CN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_Toc22342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70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_Toc31370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77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_Toc24377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58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_Toc27758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12" w:history="1">
        <w:r>
          <w:rPr>
            <w:rFonts w:ascii="仿宋" w:eastAsia="仿宋" w:hAnsi="仿宋" w:cs="仿宋" w:hint="eastAsia"/>
            <w:lang w:eastAsia="zh-CN"/>
          </w:rPr>
          <w:t>三、发展规划、产业政策和行业准入分析</w:t>
        </w:r>
        <w:r>
          <w:tab/>
        </w:r>
        <w:r>
          <w:fldChar w:fldCharType="begin"/>
        </w:r>
        <w:r>
          <w:instrText xml:space="preserve"> PAGEREF _Toc24312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9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_Toc5389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85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_Toc29985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1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_Toc2971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07" w:history="1">
        <w:r>
          <w:rPr>
            <w:rFonts w:ascii="仿宋" w:eastAsia="仿宋" w:hAnsi="仿宋" w:cs="仿宋" w:hint="eastAsia"/>
            <w:lang w:eastAsia="zh-CN"/>
          </w:rPr>
          <w:t>四、建设风险评估分析</w:t>
        </w:r>
        <w:r>
          <w:tab/>
        </w:r>
        <w:r>
          <w:fldChar w:fldCharType="begin"/>
        </w:r>
        <w:r>
          <w:instrText xml:space="preserve"> PAGEREF _Toc11007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67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_Toc20367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9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_Toc6169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7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_Toc8317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0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_Toc4920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6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_Toc16776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0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_Toc25730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4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_Toc28034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56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_Toc18856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8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_Toc10488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48" w:history="1">
        <w:r>
          <w:rPr>
            <w:rFonts w:ascii="仿宋" w:eastAsia="仿宋" w:hAnsi="仿宋" w:cs="仿宋" w:hint="eastAsia"/>
            <w:lang w:eastAsia="zh-CN"/>
          </w:rPr>
          <w:t>五、社会影响分析</w:t>
        </w:r>
        <w:r>
          <w:tab/>
        </w:r>
        <w:r>
          <w:fldChar w:fldCharType="begin"/>
        </w:r>
        <w:r>
          <w:instrText xml:space="preserve"> PAGEREF _Toc25648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9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_Toc18879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6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_Toc11106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4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_Toc1974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5" w:history="1">
        <w:r>
          <w:rPr>
            <w:rFonts w:ascii="仿宋" w:eastAsia="仿宋" w:hAnsi="仿宋" w:cs="仿宋" w:hint="eastAsia"/>
            <w:lang w:eastAsia="zh-CN"/>
          </w:rPr>
          <w:t>六、项目监理与质量保证</w:t>
        </w:r>
        <w:r>
          <w:tab/>
        </w:r>
        <w:r>
          <w:fldChar w:fldCharType="begin"/>
        </w:r>
        <w:r>
          <w:instrText xml:space="preserve"> PAGEREF _Toc1645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7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_Toc18657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5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_Toc6315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3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_Toc11013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48" w:history="1">
        <w:r>
          <w:rPr>
            <w:rFonts w:ascii="仿宋" w:eastAsia="仿宋" w:hAnsi="仿宋" w:cs="仿宋" w:hint="eastAsia"/>
            <w:lang w:eastAsia="zh-CN"/>
          </w:rPr>
          <w:t>七、项目质量与标准</w:t>
        </w:r>
        <w:r>
          <w:tab/>
        </w:r>
        <w:r>
          <w:fldChar w:fldCharType="begin"/>
        </w:r>
        <w:r>
          <w:instrText xml:space="preserve"> PAGEREF _Toc22848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9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_Toc8039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7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_Toc6237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1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_Toc20841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7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_Toc26607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03" w:history="1">
        <w:r>
          <w:rPr>
            <w:rFonts w:ascii="仿宋" w:eastAsia="仿宋" w:hAnsi="仿宋" w:cs="仿宋" w:hint="eastAsia"/>
            <w:lang w:eastAsia="zh-CN"/>
          </w:rPr>
          <w:t>八、安全与应急管理</w:t>
        </w:r>
        <w:r>
          <w:tab/>
        </w:r>
        <w:r>
          <w:fldChar w:fldCharType="begin"/>
        </w:r>
        <w:r>
          <w:instrText xml:space="preserve"> PAGEREF _Toc5903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1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_Toc19081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73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_Toc25273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282" w:history="1">
        <w:r>
          <w:rPr>
            <w:rFonts w:ascii="仿宋" w:eastAsia="仿宋" w:hAnsi="仿宋" w:cs="仿宋" w:hint="eastAsia"/>
            <w:lang w:eastAsia="zh-CN"/>
          </w:rPr>
          <w:t>九、客户关系管理与市场拓展</w:t>
        </w:r>
        <w:r>
          <w:tab/>
        </w:r>
        <w:r>
          <w:fldChar w:fldCharType="begin"/>
        </w:r>
        <w:r>
          <w:instrText xml:space="preserve"> PAGEREF _Toc25282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6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_Toc10126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6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_Toc28256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76" w:history="1">
        <w:r>
          <w:rPr>
            <w:rFonts w:ascii="仿宋" w:eastAsia="仿宋" w:hAnsi="仿宋" w:cs="仿宋" w:hint="eastAsia"/>
            <w:lang w:eastAsia="zh-CN"/>
          </w:rPr>
          <w:t>十、项目进度计划</w:t>
        </w:r>
        <w:r>
          <w:tab/>
        </w:r>
        <w:r>
          <w:fldChar w:fldCharType="begin"/>
        </w:r>
        <w:r>
          <w:instrText xml:space="preserve"> PAGEREF _Toc28276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6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_Toc29706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_Toc1924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96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_Toc32596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8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_Toc25688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1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_Toc26210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3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_Toc18863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2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_Toc11642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53" w:history="1">
        <w:r>
          <w:rPr>
            <w:rFonts w:ascii="仿宋" w:eastAsia="仿宋" w:hAnsi="仿宋" w:cs="仿宋" w:hint="eastAsia"/>
            <w:lang w:eastAsia="zh-CN"/>
          </w:rPr>
          <w:t>十一、技术创新与产业升级</w:t>
        </w:r>
        <w:r>
          <w:tab/>
        </w:r>
        <w:r>
          <w:fldChar w:fldCharType="begin"/>
        </w:r>
        <w:r>
          <w:instrText xml:space="preserve"> PAGEREF _Toc15153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_Toc53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35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_Toc23135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19" w:history="1">
        <w:r>
          <w:rPr>
            <w:rFonts w:ascii="仿宋" w:eastAsia="仿宋" w:hAnsi="仿宋" w:cs="仿宋" w:hint="eastAsia"/>
            <w:lang w:eastAsia="zh-CN"/>
          </w:rPr>
          <w:t>十二、经济效益与社会效益优化</w:t>
        </w:r>
        <w:r>
          <w:tab/>
        </w:r>
        <w:r>
          <w:fldChar w:fldCharType="begin"/>
        </w:r>
        <w:r>
          <w:instrText xml:space="preserve"> PAGEREF _Toc13619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16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_Toc31216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4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_Toc14464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70" w:history="1">
        <w:r>
          <w:rPr>
            <w:rFonts w:ascii="仿宋" w:eastAsia="仿宋" w:hAnsi="仿宋" w:cs="仿宋" w:hint="eastAsia"/>
            <w:lang w:eastAsia="zh-CN"/>
          </w:rPr>
          <w:t>十三、项目施工方案</w:t>
        </w:r>
        <w:r>
          <w:tab/>
        </w:r>
        <w:r>
          <w:fldChar w:fldCharType="begin"/>
        </w:r>
        <w:r>
          <w:instrText xml:space="preserve"> PAGEREF _Toc28970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1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_Toc23051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8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_Toc22268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57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_Toc10457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68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_Toc19168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3" w:history="1">
        <w:r>
          <w:rPr>
            <w:rFonts w:ascii="仿宋" w:eastAsia="仿宋" w:hAnsi="仿宋" w:cs="仿宋" w:hint="eastAsia"/>
            <w:lang w:eastAsia="zh-CN"/>
          </w:rPr>
          <w:t>十四、企业合规与伦理</w:t>
        </w:r>
        <w:r>
          <w:tab/>
        </w:r>
        <w:r>
          <w:fldChar w:fldCharType="begin"/>
        </w:r>
        <w:r>
          <w:instrText xml:space="preserve"> PAGEREF _Toc2273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7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_Toc25037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3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_Toc24753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2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_Toc16322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29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_Toc25929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18" w:history="1">
        <w:r>
          <w:rPr>
            <w:rFonts w:ascii="仿宋" w:eastAsia="仿宋" w:hAnsi="仿宋" w:cs="仿宋" w:hint="eastAsia"/>
            <w:lang w:eastAsia="zh-CN"/>
          </w:rPr>
          <w:t>十五、合作与交流机制建立</w:t>
        </w:r>
        <w:r>
          <w:tab/>
        </w:r>
        <w:r>
          <w:fldChar w:fldCharType="begin"/>
        </w:r>
        <w:r>
          <w:instrText xml:space="preserve"> PAGEREF _Toc27318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4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_Toc32214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_Toc2542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66" w:history="1">
        <w:r>
          <w:rPr>
            <w:rFonts w:ascii="仿宋" w:eastAsia="仿宋" w:hAnsi="仿宋" w:cs="仿宋" w:hint="eastAsia"/>
            <w:lang w:eastAsia="zh-CN"/>
          </w:rPr>
          <w:t>十六、创新驱动与持续发展</w:t>
        </w:r>
        <w:r>
          <w:tab/>
        </w:r>
        <w:r>
          <w:fldChar w:fldCharType="begin"/>
        </w:r>
        <w:r>
          <w:instrText xml:space="preserve"> PAGEREF _Toc17966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6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_Toc7426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5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_Toc11835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10" w:history="1">
        <w:r>
          <w:rPr>
            <w:rFonts w:ascii="仿宋" w:eastAsia="仿宋" w:hAnsi="仿宋" w:cs="仿宋" w:hint="eastAsia"/>
            <w:lang w:eastAsia="zh-CN"/>
          </w:rPr>
          <w:t>十七、质量管理与控制</w:t>
        </w:r>
        <w:r>
          <w:tab/>
        </w:r>
        <w:r>
          <w:fldChar w:fldCharType="begin"/>
        </w:r>
        <w:r>
          <w:instrText xml:space="preserve"> PAGEREF _Toc20510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4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_Toc26044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9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_Toc32579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08" w:history="1">
        <w:r>
          <w:rPr>
            <w:rFonts w:ascii="仿宋" w:eastAsia="仿宋" w:hAnsi="仿宋" w:cs="仿宋" w:hint="eastAsia"/>
            <w:lang w:eastAsia="zh-CN"/>
          </w:rPr>
          <w:t>十八、成果转化与推广应用</w:t>
        </w:r>
        <w:r>
          <w:tab/>
        </w:r>
        <w:r>
          <w:fldChar w:fldCharType="begin"/>
        </w:r>
        <w:r>
          <w:instrText xml:space="preserve"> PAGEREF _Toc32508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6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_Toc18556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3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_Toc19943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25" w:history="1">
        <w:r>
          <w:rPr>
            <w:rFonts w:ascii="仿宋" w:eastAsia="仿宋" w:hAnsi="仿宋" w:cs="仿宋" w:hint="eastAsia"/>
            <w:lang w:eastAsia="zh-CN"/>
          </w:rPr>
          <w:t>十九、法律法规与政策遵循</w:t>
        </w:r>
        <w:r>
          <w:tab/>
        </w:r>
        <w:r>
          <w:fldChar w:fldCharType="begin"/>
        </w:r>
        <w:r>
          <w:instrText xml:space="preserve"> PAGEREF _Toc7325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3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_Toc2123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9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_Toc8129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55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469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090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压铸机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压铸机项目将进行详细的生态影响评估，确保不会对当地的动植物种群和自然栖息地造成负面影响。如果项目地点附近有重要的生物栖息地或生态敏感区，项目将重新考虑建设地点或采取相应的保护措施。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压铸机项目将积极采用可持续材料，如再生塑料和生物降解材料，以减少对环境的影响。项目还将推行废物减量和回收计划，例如通过再利用工业废料或建立回收系统。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压铸机项目还将参与当地的环保活动和计划，如资助当地的环境保护项目或与社区合作进行环保宣传活动。通过这些活动，项目不仅能够提高自身的环境表现，还能在当地社区中树立积极的环保形象。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578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压铸机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压铸机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压铸机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6617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压铸机项目将采用绿色屋顶和生态墙等环境友好型建筑设计，这些设计不仅有助于改善空气质量，还能为城市野生动植物提供栖息地。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压铸机项目将建立高效的废水处理系统，确保所有工业废水在排放前都经过适当处理，达到或超过环保标准。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压铸机项目将致力于使用清洁能源，如太阳能和风能，减少对化石燃料的依赖。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压铸机项目将举办环保教育研讨会，向员工和当地社区普及环保知识，提升对环境保护重要性的认识。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9631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在压铸机项目启动前，将进行一系列深入的地质调查，包括钻探和土壤取样，以深入了解项目区域的地层结构和土壤组成。特别是对于土壤的承载能力和地下水位的深度进行详细评估。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压铸机项目将通过地下水位监测系统定期检测水位变化，以预测和预防由高地下水位可能引起的地基问题。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压铸机项目将进行详尽的水文和地形分析，以识别可能的洪水和泥石流风险区。基于这些分析，项目将设计防洪设施，如提高地基、构建防洪墙和排水沟。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压铸机项目还将考虑建设排水系统，以减少地表水对土壤稳定性的影响。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完成初始的地质风险评估后，压铸机项目将安装长期地质监测设备，如倾斜仪、裂缝计和地下水位计，以持续监测地质条件的变化。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5498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压铸机项目将通过这些措施来适应和尊重特殊环境条件，确保项目的可持续发展，同时减少对环境的负面影响。这不仅有助于保护自然和文化遗产，还能提升项目在社会责任方面的表现和形象。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2342"/>
      <w:r>
        <w:rPr>
          <w:rFonts w:ascii="仿宋" w:eastAsia="仿宋" w:hAnsi="仿宋" w:cs="仿宋" w:hint="eastAsia"/>
          <w:sz w:val="28"/>
          <w:lang w:eastAsia="zh-CN"/>
        </w:rPr>
        <w:t>二、资源开发及综合利用分析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31370"/>
      <w:r>
        <w:rPr>
          <w:rFonts w:ascii="仿宋" w:eastAsia="仿宋" w:hAnsi="仿宋" w:cs="仿宋" w:hint="eastAsia"/>
          <w:lang w:eastAsia="zh-CN"/>
        </w:rPr>
        <w:t>(一)、资源开发方案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一、压铸机项目的技术资源开发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压铸机项目将着重开发先进的自动化技术以提升生产效率。具体来说，项目将引入智能制造系统，这些系统能够通过实时数据分析优化生产流程，降低成本，同时提高产品质量。除此之外，项目还计划建立一个内部研发团队，专注于开发专有的软件解决方案，以进一步提升运营效率。此外，为了保持技术领先，项目将与几所知名大学和研究机构建立合作关系，共同进行新技术的研究和开发，例如在新材料或能源效率方面的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二、压铸机项目的人力资源管理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人力资源方面，压铸机项目计划招聘一批经验丰富的行业专家和技术人员，这些人员将负责项目的关键技术和运营管理。例如，项目将招聘具有高级机械工程和软件开发经验的人才，以支持项目的技术开发和实施。同时，项目还将设立定期的员工培训计划，内容涵盖最新的行业趋势、技术技能培训和领导力发展。此外，项目还将推行一系列激励机制，如绩效奖金和职业晋升路径，以激励员工的创新和参与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三、压铸机项目的资金资源筹措与优化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项目的顺利运行，资金资源的筹措将采取多元化策略。压铸机项目计划吸引外部投资者，特别是那些对高新技术和可持续发展感兴趣的风险投资基金。同时，项目还将申请政府提供的创新基金和行业补贴，尤其是那些支持绿色技术和可持续发展的政府项目。为优化资金使用，项目将建立严格的预算控制系统，确保每一笔开支都能带来最大的投资回报。此外，项目还将定期进行财务审计，以确保财务透明度和效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4377"/>
      <w:r>
        <w:rPr>
          <w:rFonts w:ascii="仿宋" w:eastAsia="仿宋" w:hAnsi="仿宋" w:cs="仿宋" w:hint="eastAsia"/>
          <w:sz w:val="28"/>
          <w:lang w:eastAsia="zh-CN"/>
        </w:rPr>
        <w:t>(二)、资源利用方案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制定压铸机项目的资源利用方案时，项目将深入专注于将现有资源最大化利用，以提高效率和降低成本。项目首先将引入最新的自动化技术，比如机器人装配线和自动化质量检测系统，这不仅加速生产过程，还确保产品的一致性和质量。同时，项目会利用云计算和大数据分析来优化供应链管理和市场需求预测，减少库存成本并提高对市场变化的响应速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https://d.book118.com/136025113010010040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压铸机项目可行性建设方案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压铸机项目可行性建设方案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压铸机项目可行性建设方案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压铸机项目可行性建设方案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压铸机项目可行性建设方案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压铸机项目可行性建设方案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压铸机项目可行性建设方案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压铸机项目可行性建设方案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压铸机项目可行性建设方案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压铸机项目可行性建设方案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压铸机项目可行性建设方案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压铸机项目可行性建设方案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8896FB7"/>
    <w:rsid w:val="38896F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13602511301001004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2024-01-16T03:53:00Z</dcterms:created>
  <dcterms:modified xsi:type="dcterms:W3CDTF">2024-01-16T03:54:12Z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B53C8755D1E24D78B150C4A7646F51A9_11</vt:lpwstr>
  </property>
  <property fmtid="{D5CDD505-2E9C-101B-9397-08002B2CF9AE}" pid="3" name="KSOProductBuildVer">
    <vt:lpwstr>2052-12.1.0.16120</vt:lpwstr>
  </property>
</Properties>
</file>