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  <w:rPr>
          <w:rFonts w:ascii="Times New Roman" w:eastAsia="新宋体" w:hAnsi="Times New Roman" w:cs="Times New Roman" w:hint="eastAsia"/>
          <w:b/>
          <w:sz w:val="30"/>
          <w:szCs w:val="30"/>
        </w:rPr>
      </w:pPr>
      <w:r>
        <w:rPr>
          <w:rFonts w:ascii="Times New Roman" w:eastAsia="新宋体" w:hAnsi="Times New Roman" w:cs="Times New Roman" w:hint="eastAsia"/>
          <w:b/>
          <w:sz w:val="30"/>
          <w:szCs w:val="30"/>
          <w:lang w:val="en-US" w:eastAsia="zh-C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10528300</wp:posOffset>
            </wp:positionH>
            <wp:positionV relativeFrom="topMargin">
              <wp:posOffset>11214100</wp:posOffset>
            </wp:positionV>
            <wp:extent cx="393700" cy="330200"/>
            <wp:effectExtent l="0" t="0" r="6350" b="12700"/>
            <wp:wrapNone/>
            <wp:docPr id="100124" name="图片 100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24" name="图片 1001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3700" cy="3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新宋体" w:hAnsi="Times New Roman" w:cs="Times New Roman" w:hint="eastAsia"/>
          <w:b/>
          <w:sz w:val="30"/>
          <w:szCs w:val="30"/>
          <w:lang w:val="en-US" w:eastAsia="zh-CN"/>
        </w:rPr>
        <w:t>八年级上册物理学霸赛考卷03（解析版）</w:t>
      </w:r>
    </w:p>
    <w:p>
      <w:pPr>
        <w:widowControl/>
        <w:spacing w:line="288" w:lineRule="auto"/>
        <w:jc w:val="center"/>
        <w:rPr>
          <w:rFonts w:ascii="黑体" w:eastAsia="黑体" w:hAnsi="黑体"/>
          <w:color w:val="000000"/>
          <w:sz w:val="44"/>
          <w:szCs w:val="44"/>
        </w:rPr>
      </w:pPr>
      <w:r>
        <w:rPr>
          <w:rFonts w:ascii="黑体" w:eastAsia="黑体" w:hAnsi="黑体" w:hint="eastAsia"/>
          <w:color w:val="000000"/>
          <w:sz w:val="32"/>
          <w:szCs w:val="32"/>
          <w:lang w:val="en-US" w:eastAsia="zh-CN"/>
        </w:rPr>
        <w:t>初中</w:t>
      </w:r>
      <w:r>
        <w:rPr>
          <w:rFonts w:ascii="黑体" w:eastAsia="黑体" w:hAnsi="黑体" w:hint="eastAsia"/>
          <w:color w:val="000000"/>
          <w:sz w:val="32"/>
          <w:szCs w:val="32"/>
        </w:rPr>
        <w:t>物理</w:t>
      </w:r>
    </w:p>
    <w:p>
      <w:pPr>
        <w:adjustRightInd w:val="0"/>
        <w:spacing w:line="360" w:lineRule="auto"/>
        <w:jc w:val="center"/>
        <w:textAlignment w:val="center"/>
        <w:rPr>
          <w:rFonts w:ascii="Times New Roman" w:eastAsia="楷体" w:hAnsi="Times New Roman"/>
          <w:kern w:val="0"/>
        </w:rPr>
      </w:pPr>
      <w:r>
        <w:rPr>
          <w:rFonts w:ascii="Times New Roman" w:eastAsia="楷体" w:hAnsi="Times New Roman"/>
          <w:kern w:val="0"/>
        </w:rPr>
        <w:t>（考试时间：</w:t>
      </w:r>
      <w:r>
        <w:rPr>
          <w:rFonts w:ascii="Times New Roman" w:eastAsia="楷体" w:hAnsi="Times New Roman" w:hint="eastAsia"/>
          <w:kern w:val="0"/>
        </w:rPr>
        <w:t>9</w:t>
      </w:r>
      <w:r>
        <w:rPr>
          <w:rFonts w:ascii="Times New Roman" w:eastAsia="楷体" w:hAnsi="Times New Roman"/>
          <w:kern w:val="0"/>
        </w:rPr>
        <w:t>0分钟  试卷满分：</w:t>
      </w:r>
      <w:r>
        <w:rPr>
          <w:rFonts w:ascii="Times New Roman" w:eastAsia="楷体" w:hAnsi="Times New Roman" w:hint="eastAsia"/>
          <w:kern w:val="0"/>
        </w:rPr>
        <w:t>1</w:t>
      </w:r>
      <w:r>
        <w:rPr>
          <w:rFonts w:ascii="Times New Roman" w:eastAsia="楷体" w:hAnsi="Times New Roman"/>
          <w:kern w:val="0"/>
        </w:rPr>
        <w:t>00分）</w:t>
      </w:r>
    </w:p>
    <w:p>
      <w:pPr>
        <w:widowControl/>
        <w:spacing w:line="360" w:lineRule="auto"/>
        <w:jc w:val="left"/>
        <w:textAlignment w:val="center"/>
        <w:rPr>
          <w:rFonts w:ascii="Times New Roman" w:eastAsia="黑体" w:hAnsi="Times New Roman"/>
          <w:kern w:val="0"/>
          <w:szCs w:val="21"/>
        </w:rPr>
      </w:pPr>
      <w:r>
        <w:rPr>
          <w:rFonts w:ascii="Times New Roman" w:eastAsia="黑体" w:hAnsi="Times New Roman"/>
          <w:kern w:val="0"/>
          <w:szCs w:val="21"/>
        </w:rPr>
        <w:t>注意事项：</w:t>
      </w:r>
    </w:p>
    <w:p>
      <w:pPr>
        <w:widowControl/>
        <w:spacing w:line="288" w:lineRule="auto"/>
        <w:ind w:firstLine="420" w:firstLineChars="200"/>
        <w:jc w:val="left"/>
        <w:textAlignment w:val="center"/>
        <w:rPr>
          <w:rFonts w:ascii="Times New Roman" w:hAnsi="Times New Roman"/>
          <w:color w:val="FF0000"/>
          <w:szCs w:val="21"/>
        </w:rPr>
      </w:pPr>
      <w:r>
        <w:rPr>
          <w:rFonts w:ascii="Times New Roman" w:hAnsi="Times New Roman" w:hint="eastAsia"/>
          <w:szCs w:val="21"/>
          <w:lang w:val="en-US" w:eastAsia="zh-CN"/>
        </w:rPr>
        <w:t>1</w:t>
      </w:r>
      <w:r>
        <w:rPr>
          <w:rFonts w:ascii="Times New Roman" w:hAnsi="Times New Roman" w:hint="eastAsia"/>
          <w:szCs w:val="21"/>
        </w:rPr>
        <w:t>．测试范围：</w:t>
      </w:r>
      <w:r>
        <w:rPr>
          <w:rFonts w:ascii="Times New Roman" w:hAnsi="Times New Roman" w:hint="eastAsia"/>
          <w:color w:val="FF0000"/>
          <w:szCs w:val="21"/>
        </w:rPr>
        <w:t>人教版</w:t>
      </w:r>
      <w:r>
        <w:rPr>
          <w:rFonts w:ascii="Times New Roman" w:hAnsi="Times New Roman" w:hint="eastAsia"/>
          <w:color w:val="FF0000"/>
          <w:szCs w:val="21"/>
          <w:lang w:val="en-US" w:eastAsia="zh-CN"/>
        </w:rPr>
        <w:t>八年级上册</w:t>
      </w:r>
      <w:r>
        <w:rPr>
          <w:rFonts w:ascii="Times New Roman" w:hAnsi="Times New Roman" w:hint="eastAsia"/>
          <w:color w:val="FF0000"/>
          <w:szCs w:val="21"/>
        </w:rPr>
        <w:t>第</w:t>
      </w:r>
      <w:r>
        <w:rPr>
          <w:rFonts w:ascii="Times New Roman" w:hAnsi="Times New Roman" w:hint="eastAsia"/>
          <w:color w:val="FF0000"/>
          <w:szCs w:val="21"/>
          <w:lang w:val="en-US" w:eastAsia="zh-CN"/>
        </w:rPr>
        <w:t>5</w:t>
      </w:r>
      <w:r>
        <w:rPr>
          <w:rFonts w:ascii="Times New Roman" w:hAnsi="Times New Roman" w:hint="eastAsia"/>
          <w:color w:val="FF0000"/>
          <w:szCs w:val="21"/>
        </w:rPr>
        <w:t>-</w:t>
      </w:r>
      <w:r>
        <w:rPr>
          <w:rFonts w:ascii="Times New Roman" w:hAnsi="Times New Roman" w:hint="eastAsia"/>
          <w:color w:val="FF0000"/>
          <w:szCs w:val="21"/>
          <w:lang w:val="en-US" w:eastAsia="zh-CN"/>
        </w:rPr>
        <w:t>6</w:t>
      </w:r>
      <w:r>
        <w:rPr>
          <w:rFonts w:ascii="Times New Roman" w:hAnsi="Times New Roman"/>
          <w:color w:val="FF0000"/>
          <w:szCs w:val="21"/>
        </w:rPr>
        <w:t>章</w:t>
      </w:r>
      <w:r>
        <w:rPr>
          <w:rFonts w:ascii="Times New Roman" w:hAnsi="Times New Roman" w:hint="eastAsia"/>
          <w:b/>
          <w:bCs/>
          <w:color w:val="auto"/>
          <w:szCs w:val="21"/>
        </w:rPr>
        <w:t>。</w:t>
      </w:r>
    </w:p>
    <w:p>
      <w:pPr>
        <w:widowControl/>
        <w:spacing w:line="360" w:lineRule="auto"/>
        <w:ind w:firstLine="420" w:firstLineChars="200"/>
        <w:jc w:val="both"/>
        <w:textAlignment w:val="center"/>
        <w:rPr>
          <w:rFonts w:ascii="Times New Roman" w:hAnsi="Times New Roman" w:hint="default"/>
          <w:szCs w:val="21"/>
        </w:rPr>
      </w:pPr>
      <w:r>
        <w:rPr>
          <w:rFonts w:ascii="Times New Roman" w:hAnsi="Times New Roman" w:hint="eastAsia"/>
          <w:szCs w:val="21"/>
          <w:lang w:val="en-US" w:eastAsia="zh-CN"/>
        </w:rPr>
        <w:t>2</w:t>
      </w:r>
      <w:r>
        <w:rPr>
          <w:rFonts w:ascii="Times New Roman" w:hAnsi="Times New Roman" w:hint="eastAsia"/>
          <w:szCs w:val="21"/>
        </w:rPr>
        <w:t>．</w:t>
      </w:r>
      <w:r>
        <w:rPr>
          <w:rFonts w:ascii="Times New Roman" w:hAnsi="Times New Roman" w:hint="eastAsia"/>
          <w:szCs w:val="21"/>
          <w:lang w:val="en-US" w:eastAsia="zh-CN"/>
        </w:rPr>
        <w:t>本卷平均难度系数0.3。</w:t>
      </w:r>
    </w:p>
    <w:p>
      <w:pPr>
        <w:widowControl/>
        <w:spacing w:line="360" w:lineRule="auto"/>
        <w:jc w:val="center"/>
        <w:textAlignment w:val="center"/>
        <w:rPr>
          <w:rFonts w:ascii="宋体" w:hAnsi="宋体" w:cs="宋体" w:hint="eastAsia"/>
          <w:b/>
          <w:bCs/>
          <w:snapToGrid w:val="0"/>
          <w:kern w:val="0"/>
          <w:sz w:val="28"/>
          <w:szCs w:val="28"/>
        </w:rPr>
      </w:pPr>
      <w:r>
        <w:rPr>
          <w:rFonts w:ascii="宋体" w:hAnsi="宋体" w:cs="宋体" w:hint="eastAsia"/>
          <w:b/>
          <w:bCs/>
          <w:snapToGrid w:val="0"/>
          <w:kern w:val="0"/>
          <w:sz w:val="28"/>
          <w:szCs w:val="28"/>
        </w:rPr>
        <w:t>第Ⅰ卷  选择题</w:t>
      </w:r>
    </w:p>
    <w:p>
      <w:pPr>
        <w:spacing w:line="360" w:lineRule="auto"/>
        <w:rPr>
          <w:rFonts w:ascii="宋体" w:hAnsi="宋体" w:cs="宋体"/>
          <w:b/>
          <w:szCs w:val="21"/>
        </w:rPr>
      </w:pPr>
      <w:r>
        <w:rPr>
          <w:rFonts w:ascii="宋体" w:hAnsi="宋体" w:cs="宋体" w:hint="eastAsia"/>
          <w:b/>
          <w:szCs w:val="21"/>
        </w:rPr>
        <w:t>一、选择题（本</w:t>
      </w:r>
      <w:r>
        <w:rPr>
          <w:rFonts w:ascii="宋体" w:hAnsi="宋体" w:cs="宋体" w:hint="eastAsia"/>
          <w:b/>
          <w:lang w:val="zh-CN"/>
        </w:rPr>
        <w:t>题共1</w:t>
      </w:r>
      <w:r>
        <w:rPr>
          <w:rFonts w:ascii="宋体" w:hAnsi="宋体" w:cs="宋体" w:hint="eastAsia"/>
          <w:b/>
          <w:lang w:val="en-US" w:eastAsia="zh-CN"/>
        </w:rPr>
        <w:t>2</w:t>
      </w:r>
      <w:r>
        <w:rPr>
          <w:rFonts w:ascii="宋体" w:hAnsi="宋体" w:cs="宋体" w:hint="eastAsia"/>
          <w:b/>
          <w:lang w:val="zh-CN"/>
        </w:rPr>
        <w:t>小题，每小题</w:t>
      </w:r>
      <w:r>
        <w:rPr>
          <w:rFonts w:ascii="宋体" w:hAnsi="宋体" w:cs="宋体" w:hint="eastAsia"/>
          <w:b/>
          <w:lang w:val="en-US" w:eastAsia="zh-CN"/>
        </w:rPr>
        <w:t>3</w:t>
      </w:r>
      <w:r>
        <w:rPr>
          <w:rFonts w:ascii="宋体" w:hAnsi="宋体" w:cs="宋体" w:hint="eastAsia"/>
          <w:b/>
          <w:lang w:val="zh-CN"/>
        </w:rPr>
        <w:t>分，共3</w:t>
      </w:r>
      <w:r>
        <w:rPr>
          <w:rFonts w:ascii="宋体" w:hAnsi="宋体" w:cs="宋体" w:hint="eastAsia"/>
          <w:b/>
          <w:lang w:val="en-US" w:eastAsia="zh-CN"/>
        </w:rPr>
        <w:t>6</w:t>
      </w:r>
      <w:r>
        <w:rPr>
          <w:rFonts w:ascii="宋体" w:hAnsi="宋体" w:cs="宋体" w:hint="eastAsia"/>
          <w:b/>
          <w:lang w:val="zh-CN"/>
        </w:rPr>
        <w:t>分。</w:t>
      </w:r>
      <w:r>
        <w:rPr>
          <w:rFonts w:ascii="宋体" w:hAnsi="宋体" w:cs="宋体" w:hint="eastAsia"/>
          <w:b/>
          <w:lang w:val="en-US" w:eastAsia="zh-CN"/>
        </w:rPr>
        <w:t>其中1-10</w:t>
      </w:r>
      <w:r>
        <w:rPr>
          <w:rFonts w:ascii="宋体" w:hAnsi="宋体" w:cs="宋体" w:hint="eastAsia"/>
          <w:b/>
          <w:lang w:val="zh-CN"/>
        </w:rPr>
        <w:t>题</w:t>
      </w:r>
      <w:r>
        <w:rPr>
          <w:rFonts w:ascii="宋体" w:hAnsi="宋体" w:cs="宋体" w:hint="eastAsia"/>
          <w:b/>
          <w:lang w:val="en-US" w:eastAsia="zh-CN"/>
        </w:rPr>
        <w:t>只有一</w:t>
      </w:r>
      <w:r>
        <w:rPr>
          <w:rFonts w:ascii="宋体" w:hAnsi="宋体" w:cs="宋体" w:hint="eastAsia"/>
          <w:b/>
          <w:lang w:val="zh-CN"/>
        </w:rPr>
        <w:t>个选项符合题目要求，</w:t>
      </w:r>
      <w:r>
        <w:rPr>
          <w:rFonts w:ascii="宋体" w:hAnsi="宋体" w:cs="宋体" w:hint="eastAsia"/>
          <w:b/>
          <w:lang w:val="en-US" w:eastAsia="zh-CN"/>
        </w:rPr>
        <w:t>11、12题有多个</w:t>
      </w:r>
      <w:r>
        <w:rPr>
          <w:rFonts w:ascii="宋体" w:hAnsi="宋体" w:cs="宋体" w:hint="eastAsia"/>
          <w:b/>
          <w:lang w:val="zh-CN"/>
        </w:rPr>
        <w:t>选项符合题目要求</w:t>
      </w:r>
      <w:r>
        <w:rPr>
          <w:rFonts w:ascii="宋体" w:hAnsi="宋体" w:cs="宋体" w:hint="eastAsia"/>
          <w:b/>
          <w:szCs w:val="21"/>
        </w:rPr>
        <w:t>）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1．做凸透镜成像实验时，将光具座上的蜡烛、凸透镜、光屏如图放置，光屏上呈现清晰的像。下列说法中（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①</w:t>
      </w:r>
      <w:r>
        <w:rPr>
          <w:rFonts w:ascii="Times New Roman" w:eastAsia="新宋体" w:hAnsi="Times New Roman" w:hint="eastAsia"/>
          <w:sz w:val="21"/>
          <w:szCs w:val="21"/>
        </w:rPr>
        <w:t>此时成像特点和照相机相同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②</w:t>
      </w:r>
      <w:r>
        <w:rPr>
          <w:rFonts w:ascii="Times New Roman" w:eastAsia="新宋体" w:hAnsi="Times New Roman" w:hint="eastAsia"/>
          <w:sz w:val="21"/>
          <w:szCs w:val="21"/>
        </w:rPr>
        <w:t>该凸透镜的焦距可能是10.0cm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③</w:t>
      </w:r>
      <w:r>
        <w:rPr>
          <w:rFonts w:ascii="Times New Roman" w:eastAsia="新宋体" w:hAnsi="Times New Roman" w:hint="eastAsia"/>
          <w:sz w:val="21"/>
          <w:szCs w:val="21"/>
        </w:rPr>
        <w:t>先向右移动光屏，再移动凸透镜到某位置一定能在光屏上看到清晰的像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Calibri" w:hAnsi="Times New Roman" w:hint="eastAsia"/>
          <w:sz w:val="21"/>
          <w:szCs w:val="21"/>
        </w:rPr>
        <w:t>④</w:t>
      </w:r>
      <w:r>
        <w:rPr>
          <w:rFonts w:ascii="Times New Roman" w:eastAsia="新宋体" w:hAnsi="Times New Roman" w:hint="eastAsia"/>
          <w:sz w:val="21"/>
          <w:szCs w:val="21"/>
        </w:rPr>
        <w:t>只将蜡烛向左移动一段距离，在蜡烛和透镜间放上远视眼镜可在屏上再次看到清晰的像</w:t>
      </w: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3392170" cy="953135"/>
            <wp:effectExtent l="0" t="0" r="6350" b="6985"/>
            <wp:docPr id="70" name="图片 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392170" cy="953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A．只有</w:t>
      </w:r>
      <w:r>
        <w:rPr>
          <w:rFonts w:ascii="Times New Roman" w:eastAsia="Calibri" w:hAnsi="Times New Roman" w:hint="eastAsia"/>
          <w:sz w:val="21"/>
          <w:szCs w:val="21"/>
        </w:rPr>
        <w:t>①②④</w:t>
      </w:r>
      <w:r>
        <w:rPr>
          <w:rFonts w:ascii="Times New Roman" w:eastAsia="新宋体" w:hAnsi="Times New Roman" w:hint="eastAsia"/>
          <w:sz w:val="21"/>
          <w:szCs w:val="21"/>
        </w:rPr>
        <w:t>正确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B．只有</w:t>
      </w:r>
      <w:r>
        <w:rPr>
          <w:rFonts w:ascii="Times New Roman" w:eastAsia="Calibri" w:hAnsi="Times New Roman" w:hint="eastAsia"/>
          <w:sz w:val="21"/>
          <w:szCs w:val="21"/>
        </w:rPr>
        <w:t>②③④</w:t>
      </w:r>
      <w:r>
        <w:rPr>
          <w:rFonts w:ascii="Times New Roman" w:eastAsia="新宋体" w:hAnsi="Times New Roman" w:hint="eastAsia"/>
          <w:sz w:val="21"/>
          <w:szCs w:val="21"/>
        </w:rPr>
        <w:t>正确</w:t>
      </w:r>
      <w:r>
        <w:tab/>
      </w:r>
    </w:p>
    <w:p>
      <w:pPr>
        <w:tabs>
          <w:tab w:val="left" w:pos="4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C．只有</w:t>
      </w:r>
      <w:r>
        <w:rPr>
          <w:rFonts w:ascii="Times New Roman" w:eastAsia="Calibri" w:hAnsi="Times New Roman" w:hint="eastAsia"/>
          <w:sz w:val="21"/>
          <w:szCs w:val="21"/>
        </w:rPr>
        <w:t>①②③</w:t>
      </w:r>
      <w:r>
        <w:rPr>
          <w:rFonts w:ascii="Times New Roman" w:eastAsia="新宋体" w:hAnsi="Times New Roman" w:hint="eastAsia"/>
          <w:sz w:val="21"/>
          <w:szCs w:val="21"/>
        </w:rPr>
        <w:t>正确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D．只有</w:t>
      </w:r>
      <w:r>
        <w:rPr>
          <w:rFonts w:ascii="Times New Roman" w:eastAsia="Calibri" w:hAnsi="Times New Roman" w:hint="eastAsia"/>
          <w:sz w:val="21"/>
          <w:szCs w:val="21"/>
        </w:rPr>
        <w:t>①③④</w:t>
      </w:r>
      <w:r>
        <w:rPr>
          <w:rFonts w:ascii="Times New Roman" w:eastAsia="新宋体" w:hAnsi="Times New Roman" w:hint="eastAsia"/>
          <w:sz w:val="21"/>
          <w:szCs w:val="21"/>
        </w:rPr>
        <w:t>正确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【答案】C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根据凸透镜成实像时，物距大于像距，成倒立缩小的实像，照相机就是利用此原理制成的；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 w:val="21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u＞v，且成实像，说明u＝30cm＞2f，2f＞v＝15cm＞f，由此可得焦距的范围；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 w:val="21"/>
          <w:szCs w:val="21"/>
        </w:rPr>
        <w:t>③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根据凸透镜成实像时，物近像远像变大分析回答；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 w:val="21"/>
          <w:szCs w:val="21"/>
        </w:rPr>
        <w:t>④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远视眼镜是凸透镜，凸透镜对光线具有会聚作用。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footerReference w:type="default" r:id="rId7"/>
          <w:pgSz w:w="11906" w:h="16838"/>
          <w:pgMar w:top="1440" w:right="1800" w:bottom="1440" w:left="1800" w:header="851" w:footer="992" w:gutter="0"/>
          <w:pgNumType w:fmt="decimal"/>
          <w:cols w:num="1" w:space="425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由图可知，此时物距大于像距，根据凸透镜成实像时，物距大于像距，成倒立缩小的实像，照相机就是利用此原理制成的，故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正确；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 w:val="21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由图可知，u＞v，且成实像，说明u＝30cm＞2f，2f＞v＝15cm＞f，即15cm＞f＞7.5cm，所以该凸透镜的焦距可能是10.0cm，故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正确；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 w:val="21"/>
          <w:szCs w:val="21"/>
        </w:rPr>
        <w:t>③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先向右移动光屏，此时像距增大，再移动凸透镜到某位置，根据凸透镜成实像时，物近像远像变大，可知，减小物距，一定能在光屏上看到清晰的像，故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③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正确；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 w:val="21"/>
          <w:szCs w:val="21"/>
        </w:rPr>
        <w:t>④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只将蜡烛向左移动一段距离，根据凸透镜成实像时，物远像近像变小，可知，此时像成光屏的左侧；在蜡烛和透镜间放上远视眼镜，远视眼镜是凸透镜，凸透镜对光线具有会聚作用，会将光线提前会聚成像，所以不能在屏上再次看到清晰的像，故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④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错误。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故选：C。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2．如图是一款智能体脂秤的铭牌参数，小华利用该体脂秤测量出自己的体重为68.05kg，随后她想测出一箱苹果中质量最小的那只苹果质量，则下列操作方案可行的是（　　）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800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00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产品名称：智能体脂秤</w:t>
            </w:r>
          </w:p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尺寸：310×310×25mm</w:t>
            </w:r>
          </w:p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称量范围：0.50﹣180.00kg</w:t>
            </w:r>
          </w:p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电池：4颗1.5VAAA电池</w:t>
            </w:r>
          </w:p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执行标准：Q/EOL003﹣2019</w:t>
            </w:r>
          </w:p>
        </w:tc>
      </w:tr>
    </w:tbl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A．直接将那只苹果放置体脂秤上称量，读出示数m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0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B．从这箱苹果中取10只放置体脂秤上称量，读出示数M，计算出最小苹果的质量m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sz w:val="21"/>
          <w:szCs w:val="21"/>
        </w:rPr>
        <w:t>＝</w:t>
      </w:r>
      <w:r>
        <w:rPr>
          <w:position w:val="-22"/>
        </w:rPr>
        <w:drawing>
          <wp:inline distT="0" distB="0" distL="114300" distR="114300">
            <wp:extent cx="200025" cy="333375"/>
            <wp:effectExtent l="0" t="0" r="13335" b="1905"/>
            <wp:docPr id="72" name="图片 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图片 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C．先测出小华自身质量m，再将那只苹果拿在手上测出苹果和自身总质量M，计算苹果的质量m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sz w:val="21"/>
          <w:szCs w:val="21"/>
        </w:rPr>
        <w:t>＝M﹣m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D．以上操作方案均不可行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【答案】C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【分析】一只苹果无法直接称量，由体脂秤的铭牌参数：称量范围：0.50﹣180.00kg，结合小华利用该体脂秤测量出自己的体重为68.05kg，可知测量方法。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【解答】解：A、一只苹果质量小于0.5kg，直接放在体脂秤上测是测不出质量的，故A错误；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B、先称出只苹果的总质量，用所得数据除以个数10就可以算出一只苹果质量m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200025" cy="333375"/>
            <wp:effectExtent l="0" t="0" r="13335" b="1905"/>
            <wp:docPr id="69" name="图片 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图片 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，但不是最小苹果的质量，故B错误；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fmt="decimal" w:start="2"/>
          <w:cols w:num="1" w:space="425"/>
          <w:titlePg w:val="0"/>
          <w:docGrid w:type="lines" w:linePitch="312" w:charSpace="0"/>
        </w:sectPr>
      </w:pP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C、先测出小华自身质量m，再将那只苹果拿在手上测出苹果和自身总质量M，计算苹果的质量m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＝M﹣m，故C正确；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D、由ABC可知，D错误。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故选：C。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3．实验室有一容积是400mL的烧杯，小海利用此烧杯、一些密度已知的液体绘制出m﹣</w:t>
      </w:r>
      <w:r>
        <w:rPr>
          <w:rFonts w:ascii="Cambria Math" w:eastAsia="Cambria Math" w:hAnsi="Cambria Math"/>
          <w:sz w:val="21"/>
          <w:szCs w:val="21"/>
        </w:rPr>
        <w:t>ρ</w:t>
      </w:r>
      <w:r>
        <w:rPr>
          <w:rFonts w:ascii="Times New Roman" w:eastAsia="新宋体" w:hAnsi="Times New Roman" w:hint="eastAsia"/>
          <w:sz w:val="21"/>
          <w:szCs w:val="21"/>
        </w:rPr>
        <w:t>图像，如图所示，纵坐标m是烧杯和所装液体的总质量，横坐标</w:t>
      </w:r>
      <w:r>
        <w:rPr>
          <w:rFonts w:ascii="Cambria Math" w:eastAsia="Cambria Math" w:hAnsi="Cambria Math"/>
          <w:sz w:val="21"/>
          <w:szCs w:val="21"/>
        </w:rPr>
        <w:t>ρ</w:t>
      </w:r>
      <w:r>
        <w:rPr>
          <w:rFonts w:ascii="Times New Roman" w:eastAsia="新宋体" w:hAnsi="Times New Roman" w:hint="eastAsia"/>
          <w:sz w:val="21"/>
          <w:szCs w:val="21"/>
        </w:rPr>
        <w:t>是所装液体的密度。当烧杯中装有某种液体，烧杯和液体的总质量是480g时，液体密度</w:t>
      </w:r>
      <w:r>
        <w:rPr>
          <w:rFonts w:ascii="Cambria Math" w:eastAsia="Cambria Math" w:hAnsi="Cambria Math"/>
          <w:sz w:val="21"/>
          <w:szCs w:val="21"/>
        </w:rPr>
        <w:t>ρ</w:t>
      </w:r>
      <w:r>
        <w:rPr>
          <w:rFonts w:ascii="Times New Roman" w:eastAsia="新宋体" w:hAnsi="Times New Roman" w:hint="eastAsia"/>
          <w:sz w:val="21"/>
          <w:szCs w:val="21"/>
        </w:rPr>
        <w:t>'为（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2624455" cy="1569720"/>
            <wp:effectExtent l="0" t="0" r="12065" b="0"/>
            <wp:docPr id="71" name="图片 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24455" cy="1569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61" name="图片 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/>
          <w:sz w:val="21"/>
          <w:szCs w:val="21"/>
        </w:rPr>
        <w:t>ρ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58" name="图片 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/>
          <w:sz w:val="21"/>
          <w:szCs w:val="21"/>
        </w:rPr>
        <w:t>ρ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57" name="图片 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/>
          <w:sz w:val="21"/>
          <w:szCs w:val="21"/>
        </w:rPr>
        <w:t>ρ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56" name="图片 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/>
          <w:sz w:val="21"/>
          <w:szCs w:val="21"/>
        </w:rPr>
        <w:t>ρ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【答案】A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【分析】烧杯和液体的总质量等于烧杯与所盛液体质量之和，从图象得出两组数据，列方程求出烧杯的质量；根据m＝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V可知，体积一定时，质量与密度成正比。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【解答】解：设烧杯的质量为m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杯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，液体的密度为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烧杯和液体的总质量m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总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杯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由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68" name="图片 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可得液体的质量为：m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V，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所以：m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总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杯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V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由图可知，当烧杯和液体的质量为460g时，液体的密度为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63" name="图片 1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图片 1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即：460g＝m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杯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62" name="图片 1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1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×V，﹣﹣﹣﹣﹣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①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当烧杯和液体的质量为540g时，液体的密度为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即：540g＝m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杯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+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×V，﹣﹣﹣﹣﹣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②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 w:val="21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﹣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得：80g＝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73" name="图片 1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图片 1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V，则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V＝240g，m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杯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＝300g，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根据m＝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V可知，体积一定时，质量与密度成正比，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color w:val="FF0000"/>
          <w:position w:val="-46"/>
        </w:rPr>
        <w:drawing>
          <wp:inline distT="0" distB="0" distL="114300" distR="114300">
            <wp:extent cx="1181100" cy="523875"/>
            <wp:effectExtent l="0" t="0" r="7620" b="9525"/>
            <wp:docPr id="59" name="图片 1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1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，解得，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'＝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74" name="图片 1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图片 1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。故A正确，BCD错误。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footerReference w:type="default" r:id="rId20"/>
          <w:type w:val="nextPage"/>
          <w:pgSz w:w="11906" w:h="16838"/>
          <w:pgMar w:top="1440" w:right="1800" w:bottom="1440" w:left="1800" w:header="851" w:footer="992" w:gutter="0"/>
          <w:pgNumType w:fmt="decimal" w:start="3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故选：A。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4．小红用托盘天平和量筒测量小石块的密度，图甲是调节天平平衡时的情形，图乙和图丙分别是测量石块质量和体积时的情形。下列说法正确的是（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4307205" cy="2296160"/>
            <wp:effectExtent l="0" t="0" r="5715" b="5080"/>
            <wp:docPr id="53" name="图片 1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1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307205" cy="229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A．向左调平衡螺母可以使天平平衡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B．石块的质量是54.2g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C．石块的体积是20dm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D．石块的密度是2.72×10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kg/m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【答案】B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【分析】A、调节天平平衡时，平衡螺母的移动方向与指针的偏转方向相反；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B、天平的读数等于砝码的质量加游码在标尺上所对的刻度值；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C、石块的体积等于水和石块的总体积减水的体积；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D、根据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64" name="图片 1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1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计算出石块的密度。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【解答】解：A、由图甲知，指针左偏，应将平衡螺母向右调使横梁平衡，故A错误；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B、由图乙知，标尺的分度值为0.2g，石块的质量m＝20g+20g+10g+4.2g＝54.2g，故B正确；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C、由图丙知，水的体积为60mL，水和石块的总体积为80mL，则石块的体积V＝80mL﹣60mL＝20mL＝20cm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，故C错误；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D、石块的密度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30"/>
        </w:rPr>
        <w:drawing>
          <wp:inline distT="0" distB="0" distL="114300" distR="114300">
            <wp:extent cx="676275" cy="400050"/>
            <wp:effectExtent l="0" t="0" r="9525" b="11430"/>
            <wp:docPr id="60" name="图片 1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1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676275" cy="400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＝2.71g/cm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＝2.71×10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kg/m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，故D错误。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故选：B。</w:t>
      </w:r>
    </w:p>
    <w:p>
      <w:pPr>
        <w:spacing w:line="360" w:lineRule="auto"/>
        <w:ind w:left="273" w:hanging="273" w:hangingChars="130"/>
        <w:sectPr>
          <w:footerReference w:type="default" r:id="rId24"/>
          <w:type w:val="nextPage"/>
          <w:pgSz w:w="11906" w:h="16838"/>
          <w:pgMar w:top="1440" w:right="1800" w:bottom="1440" w:left="1800" w:header="851" w:footer="992" w:gutter="0"/>
          <w:pgNumType w:fmt="decimal" w:start="4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5．将凸透镜正对太阳，可在距凸透镜15cm处得到一个最小、最亮的光斑。现将该凸透镜和蜡烛、光屏安装到光具座上，位置如图所示，下列说法正确的是（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3401060" cy="952500"/>
            <wp:effectExtent l="0" t="0" r="12700" b="7620"/>
            <wp:docPr id="65" name="图片 1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1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401060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A．此时可以在光屏上观察到清晰缩小的像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B．仅在凸透镜左侧附近放一合适的凹透镜，可模拟近视眼的矫正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C．将蜡烛移到30cm刻度处，移动光屏可在光屏上得到清晰等大的像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D．将蜡烛移到40cm刻度处，移动光屏可在光屏上得到清晰放大的像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【答案】B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【分析】（1）焦点指凸透镜能使平行于主光轴的光会聚的点，而焦距即为焦点到光心的距离。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（2）根据图中提供的数值得出物距，凹透镜对光线有发散作用。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（3）2f＞u＞f，v＞2f，成倒立、放大的实像。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（4）u＞2f，2f＞v＞f，成倒立、缩小的实像，u＝v＝2f，凸透镜成倒立等大的实像。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【解答】解：根据焦点和焦距的定义，当拿着凸透镜正对太阳光，在距透镜中心15cm处得到一个最小最亮的光斑，则该凸透镜的焦距为该点到透镜的距离，即焦距为15cm。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A、从图上看出，物距u＝50.0cm﹣10.0cm＝40.0cm。v＝85.0cm﹣50.0cm＝35.0cm，凸透镜u＞2f，2f＞v＞f，成倒立、缩小的实像，此时光屏到凸透镜的距离大于二倍焦距，不会得到清晰的像，故A错误；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B、由A分析可知，像距较大要延迟光线会聚，应在凸透镜左侧附近放一合适的凹透镜，可模拟近视眼的矫正，故B正确；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C、u＝v＝2f，凸透镜成倒立等大的实像，由图可知，将蜡烛移到30cm刻度处，u＝50cm﹣30cm＝20cm≠2f，故移动光屏不能在屏上得到清晰等大的像。故C错误；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D、将蜡烛移到40cm刻度处，u＝50cm﹣40cm＝10cm，物距满足u＜f，成正立、放大的虚像，虚像不能成在光屏上。故D错误。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故选：B。</w:t>
      </w:r>
    </w:p>
    <w:p>
      <w:pPr>
        <w:spacing w:line="360" w:lineRule="auto"/>
        <w:ind w:left="273" w:hanging="273" w:hangingChars="130"/>
        <w:sectPr>
          <w:footerReference w:type="default" r:id="rId26"/>
          <w:type w:val="nextPage"/>
          <w:pgSz w:w="11906" w:h="16838"/>
          <w:pgMar w:top="1440" w:right="1800" w:bottom="1440" w:left="1800" w:header="851" w:footer="992" w:gutter="0"/>
          <w:pgNumType w:fmt="decimal" w:start="5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6．如图所示，甲、乙两个正方体质量之比为2：7，边长之比为1：2，所用材料的密度之比为2：1。若两个正方体有一个是空心的，一个是实心的，且实心的体积为V，下列说法正确的是（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2343785" cy="1485900"/>
            <wp:effectExtent l="0" t="0" r="3175" b="7620"/>
            <wp:docPr id="67" name="图片 1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图片 1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343785" cy="148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A．甲是空心的，空心体积为V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B．甲是空心的，空心体积为</w:t>
      </w:r>
      <w:r>
        <w:rPr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66" name="图片 2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2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C．乙是空心的，空心体积为V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D．乙是空心的，空心体积为</w:t>
      </w:r>
      <w:r>
        <w:rPr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54" name="图片 2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2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【答案】C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【分析】根据密度公式和V＝l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求出甲、乙正方体的密度之比，然后与材料的密度之比比较可知谁是空心的；根据甲、乙的边长之比和V＝l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可知甲、乙的体积关系，再根据密度公式表示出两种材料的密度之比，进一步求出空心部分的体积。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由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55" name="图片 2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2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和V＝l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可得，甲、乙正方体的密度之比：</w:t>
      </w:r>
      <w:r>
        <w:rPr>
          <w:color w:val="FF0000"/>
          <w:position w:val="-30"/>
        </w:rPr>
        <w:drawing>
          <wp:inline distT="0" distB="0" distL="114300" distR="114300">
            <wp:extent cx="342900" cy="447675"/>
            <wp:effectExtent l="0" t="0" r="7620" b="9525"/>
            <wp:docPr id="88" name="图片 2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2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68"/>
        </w:rPr>
        <w:drawing>
          <wp:inline distT="0" distB="0" distL="114300" distR="114300">
            <wp:extent cx="295275" cy="1019175"/>
            <wp:effectExtent l="0" t="0" r="9525" b="1905"/>
            <wp:docPr id="81" name="图片 2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图片 2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30"/>
        </w:rPr>
        <w:drawing>
          <wp:inline distT="0" distB="0" distL="114300" distR="114300">
            <wp:extent cx="266700" cy="447675"/>
            <wp:effectExtent l="0" t="0" r="7620" b="9525"/>
            <wp:docPr id="77" name="图片 2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图片 2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×</w:t>
      </w:r>
      <w:r>
        <w:rPr>
          <w:color w:val="FF0000"/>
          <w:position w:val="-36"/>
        </w:rPr>
        <w:drawing>
          <wp:inline distT="0" distB="0" distL="114300" distR="114300">
            <wp:extent cx="266700" cy="542925"/>
            <wp:effectExtent l="0" t="0" r="7620" b="5715"/>
            <wp:docPr id="76" name="图片 2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2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75" name="图片 2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图片 2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×（2）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＝16：7，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已知所用材料的密度之比为2：1，所以正方体甲是实心的，乙是空心的；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已知甲、乙的边长之比为1：2，由V＝l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可得，乙的体积是甲体积的8倍，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已知甲实心的体积为V，乙的体积为8V，m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甲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：m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乙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＝2：7，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设乙的空心部分体积为V′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则有</w:t>
      </w:r>
      <w:r>
        <w:rPr>
          <w:color w:val="FF0000"/>
          <w:position w:val="-22"/>
        </w:rPr>
        <w:drawing>
          <wp:inline distT="0" distB="0" distL="114300" distR="114300">
            <wp:extent cx="266700" cy="390525"/>
            <wp:effectExtent l="0" t="0" r="7620" b="5715"/>
            <wp:docPr id="78" name="图片 2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2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：</w:t>
      </w:r>
      <w:r>
        <w:rPr>
          <w:color w:val="FF0000"/>
          <w:position w:val="-22"/>
        </w:rPr>
        <w:drawing>
          <wp:inline distT="0" distB="0" distL="114300" distR="114300">
            <wp:extent cx="504825" cy="390525"/>
            <wp:effectExtent l="0" t="0" r="13335" b="5715"/>
            <wp:docPr id="79" name="图片 2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图片 2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＝2：1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color w:val="FF0000"/>
          <w:position w:val="-30"/>
        </w:rPr>
        <w:drawing>
          <wp:inline distT="0" distB="0" distL="114300" distR="114300">
            <wp:extent cx="266700" cy="447675"/>
            <wp:effectExtent l="0" t="0" r="7620" b="9525"/>
            <wp:docPr id="86" name="图片 3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图片 3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447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×</w:t>
      </w:r>
      <w:r>
        <w:rPr>
          <w:color w:val="FF0000"/>
          <w:position w:val="-22"/>
        </w:rPr>
        <w:drawing>
          <wp:inline distT="0" distB="0" distL="114300" distR="114300">
            <wp:extent cx="504825" cy="333375"/>
            <wp:effectExtent l="0" t="0" r="13335" b="1905"/>
            <wp:docPr id="80" name="图片 3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图片 3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82" name="图片 3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图片 3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×</w:t>
      </w:r>
      <w:r>
        <w:rPr>
          <w:color w:val="FF0000"/>
          <w:position w:val="-22"/>
        </w:rPr>
        <w:drawing>
          <wp:inline distT="0" distB="0" distL="114300" distR="114300">
            <wp:extent cx="504825" cy="333375"/>
            <wp:effectExtent l="0" t="0" r="13335" b="1905"/>
            <wp:docPr id="85" name="图片 3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图片 3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504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＝2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footerReference w:type="default" r:id="rId39"/>
          <w:type w:val="nextPage"/>
          <w:pgSz w:w="11906" w:h="16838"/>
          <w:pgMar w:top="1440" w:right="1800" w:bottom="1440" w:left="1800" w:header="851" w:footer="992" w:gutter="0"/>
          <w:pgNumType w:fmt="decimal" w:start="6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V′＝V，故ABD错误，C正确。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故选：C。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7．李新同学阅读了下表后，得出了一些结论，其中不正确的是（　　）</w:t>
      </w:r>
    </w:p>
    <w:tbl>
      <w:tblPr>
        <w:tblStyle w:val="TableNormal"/>
        <w:tblW w:w="0" w:type="auto"/>
        <w:tblInd w:w="280" w:type="dxa"/>
        <w:tblBorders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  <w:insideH w:val="single" w:sz="0" w:space="0" w:color="000000"/>
          <w:insideV w:val="single" w:sz="0" w:space="0" w:color="000000"/>
        </w:tblBorders>
        <w:tblCellMar>
          <w:top w:w="30" w:type="dxa"/>
          <w:left w:w="30" w:type="dxa"/>
          <w:bottom w:w="30" w:type="dxa"/>
          <w:right w:w="30" w:type="dxa"/>
        </w:tblCellMar>
      </w:tblPr>
      <w:tblGrid>
        <w:gridCol w:w="1776"/>
        <w:gridCol w:w="2224"/>
        <w:gridCol w:w="1776"/>
        <w:gridCol w:w="2310"/>
      </w:tblGrid>
      <w:tr>
        <w:tblPrEx>
          <w:tblW w:w="0" w:type="auto"/>
          <w:tblInd w:w="280" w:type="dxa"/>
          <w:tblBorders>
            <w:top w:val="single" w:sz="0" w:space="0" w:color="000000"/>
            <w:left w:val="single" w:sz="0" w:space="0" w:color="000000"/>
            <w:bottom w:val="single" w:sz="0" w:space="0" w:color="000000"/>
            <w:right w:val="single" w:sz="0" w:space="0" w:color="000000"/>
            <w:insideH w:val="single" w:sz="0" w:space="0" w:color="000000"/>
            <w:insideV w:val="single" w:sz="0" w:space="0" w:color="000000"/>
          </w:tblBorders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21600" w:type="dxa"/>
            <w:gridSpan w:val="4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一些物质的密度（kg/m</w:t>
            </w:r>
            <w:r>
              <w:rPr>
                <w:rFonts w:ascii="Times New Roman" w:eastAsia="新宋体" w:hAnsi="Times New Roman" w:cs="Times New Roman" w:hint="eastAsia"/>
                <w:kern w:val="2"/>
                <w:sz w:val="24"/>
                <w:szCs w:val="24"/>
                <w:vertAlign w:val="superscript"/>
                <w:lang w:val="en-US" w:eastAsia="zh-CN" w:bidi="ar-SA"/>
              </w:rPr>
              <w:t>3</w:t>
            </w: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）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34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水</w:t>
            </w:r>
          </w:p>
        </w:tc>
        <w:tc>
          <w:tcPr>
            <w:tcW w:w="834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1.0×10</w:t>
            </w:r>
            <w:r>
              <w:rPr>
                <w:rFonts w:ascii="Times New Roman" w:eastAsia="新宋体" w:hAnsi="Times New Roman" w:cs="Times New Roman" w:hint="eastAsia"/>
                <w:kern w:val="2"/>
                <w:sz w:val="24"/>
                <w:szCs w:val="24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834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水银</w:t>
            </w:r>
          </w:p>
        </w:tc>
        <w:tc>
          <w:tcPr>
            <w:tcW w:w="834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13.6×10</w:t>
            </w:r>
            <w:r>
              <w:rPr>
                <w:rFonts w:ascii="Times New Roman" w:eastAsia="新宋体" w:hAnsi="Times New Roman" w:cs="Times New Roman" w:hint="eastAsia"/>
                <w:kern w:val="2"/>
                <w:sz w:val="24"/>
                <w:szCs w:val="24"/>
                <w:vertAlign w:val="superscript"/>
                <w:lang w:val="en-US" w:eastAsia="zh-CN" w:bidi="ar-SA"/>
              </w:rPr>
              <w:t>3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34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冰</w:t>
            </w:r>
          </w:p>
        </w:tc>
        <w:tc>
          <w:tcPr>
            <w:tcW w:w="834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0.9×10</w:t>
            </w:r>
            <w:r>
              <w:rPr>
                <w:rFonts w:ascii="Times New Roman" w:eastAsia="新宋体" w:hAnsi="Times New Roman" w:cs="Times New Roman" w:hint="eastAsia"/>
                <w:kern w:val="2"/>
                <w:sz w:val="24"/>
                <w:szCs w:val="24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834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干松木</w:t>
            </w:r>
          </w:p>
        </w:tc>
        <w:tc>
          <w:tcPr>
            <w:tcW w:w="834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0.5×10</w:t>
            </w:r>
            <w:r>
              <w:rPr>
                <w:rFonts w:ascii="Times New Roman" w:eastAsia="新宋体" w:hAnsi="Times New Roman" w:cs="Times New Roman" w:hint="eastAsia"/>
                <w:kern w:val="2"/>
                <w:sz w:val="24"/>
                <w:szCs w:val="24"/>
                <w:vertAlign w:val="superscript"/>
                <w:lang w:val="en-US" w:eastAsia="zh-CN" w:bidi="ar-SA"/>
              </w:rPr>
              <w:t>3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34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煤油</w:t>
            </w:r>
          </w:p>
        </w:tc>
        <w:tc>
          <w:tcPr>
            <w:tcW w:w="834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0.8×10</w:t>
            </w:r>
            <w:r>
              <w:rPr>
                <w:rFonts w:ascii="Times New Roman" w:eastAsia="新宋体" w:hAnsi="Times New Roman" w:cs="Times New Roman" w:hint="eastAsia"/>
                <w:kern w:val="2"/>
                <w:sz w:val="24"/>
                <w:szCs w:val="24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834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铜</w:t>
            </w:r>
          </w:p>
        </w:tc>
        <w:tc>
          <w:tcPr>
            <w:tcW w:w="834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8.9×10</w:t>
            </w:r>
            <w:r>
              <w:rPr>
                <w:rFonts w:ascii="Times New Roman" w:eastAsia="新宋体" w:hAnsi="Times New Roman" w:cs="Times New Roman" w:hint="eastAsia"/>
                <w:kern w:val="2"/>
                <w:sz w:val="24"/>
                <w:szCs w:val="24"/>
                <w:vertAlign w:val="superscript"/>
                <w:lang w:val="en-US" w:eastAsia="zh-CN" w:bidi="ar-SA"/>
              </w:rPr>
              <w:t>3</w:t>
            </w:r>
          </w:p>
        </w:tc>
      </w:tr>
      <w:tr>
        <w:tblPrEx>
          <w:tblW w:w="0" w:type="auto"/>
          <w:tblInd w:w="280" w:type="dxa"/>
          <w:tblCellMar>
            <w:top w:w="30" w:type="dxa"/>
            <w:left w:w="30" w:type="dxa"/>
            <w:bottom w:w="30" w:type="dxa"/>
            <w:right w:w="30" w:type="dxa"/>
          </w:tblCellMar>
        </w:tblPrEx>
        <w:tc>
          <w:tcPr>
            <w:tcW w:w="834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酒精</w:t>
            </w:r>
          </w:p>
        </w:tc>
        <w:tc>
          <w:tcPr>
            <w:tcW w:w="834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0.8×10</w:t>
            </w:r>
            <w:r>
              <w:rPr>
                <w:rFonts w:ascii="Times New Roman" w:eastAsia="新宋体" w:hAnsi="Times New Roman" w:cs="Times New Roman" w:hint="eastAsia"/>
                <w:kern w:val="2"/>
                <w:sz w:val="24"/>
                <w:szCs w:val="24"/>
                <w:vertAlign w:val="superscript"/>
                <w:lang w:val="en-US" w:eastAsia="zh-CN" w:bidi="ar-SA"/>
              </w:rPr>
              <w:t>3</w:t>
            </w:r>
          </w:p>
        </w:tc>
        <w:tc>
          <w:tcPr>
            <w:tcW w:w="834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铅</w:t>
            </w:r>
          </w:p>
        </w:tc>
        <w:tc>
          <w:tcPr>
            <w:tcW w:w="8340" w:type="dxa"/>
            <w:noWrap w:val="0"/>
            <w:vAlign w:val="top"/>
          </w:tcPr>
          <w:p>
            <w:pPr>
              <w:widowControl w:val="0"/>
              <w:spacing w:line="360" w:lineRule="auto"/>
              <w:jc w:val="center"/>
              <w:rPr>
                <w:rFonts w:ascii="Calibri" w:eastAsia="宋体" w:hAnsi="Calibri" w:cs="Times New Roman"/>
                <w:szCs w:val="22"/>
              </w:rPr>
            </w:pPr>
            <w:r>
              <w:rPr>
                <w:rFonts w:ascii="Times New Roman" w:eastAsia="新宋体" w:hAnsi="Times New Roman" w:cs="Times New Roman" w:hint="eastAsia"/>
                <w:kern w:val="2"/>
                <w:sz w:val="21"/>
                <w:szCs w:val="21"/>
                <w:lang w:val="en-US" w:eastAsia="zh-CN" w:bidi="ar-SA"/>
              </w:rPr>
              <w:t>11.3×10</w:t>
            </w:r>
            <w:r>
              <w:rPr>
                <w:rFonts w:ascii="Times New Roman" w:eastAsia="新宋体" w:hAnsi="Times New Roman" w:cs="Times New Roman" w:hint="eastAsia"/>
                <w:kern w:val="2"/>
                <w:sz w:val="24"/>
                <w:szCs w:val="24"/>
                <w:vertAlign w:val="superscript"/>
                <w:lang w:val="en-US" w:eastAsia="zh-CN" w:bidi="ar-SA"/>
              </w:rPr>
              <w:t>3</w:t>
            </w:r>
          </w:p>
        </w:tc>
      </w:tr>
    </w:tbl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A．液体的密度一定都比固体小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B．把100 g酒精倒掉50 g，剩下酒精的密度仍为0.8×10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 xml:space="preserve"> kg/m</w:t>
      </w:r>
      <w:r>
        <w:rPr>
          <w:rFonts w:ascii="Times New Roman" w:eastAsia="新宋体" w:hAnsi="Times New Roman" w:hint="eastAsia"/>
          <w:sz w:val="24"/>
          <w:szCs w:val="24"/>
          <w:vertAlign w:val="superscript"/>
        </w:rPr>
        <w:t>3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C．水结冰后，体积会变大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D．质量相等的实心铜块和实心铅块，则实心铜块的体积一定大于实心铅块的体积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【答案】A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①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密度是物质本身的一种特性，不同物质，密度一般不同。固体的密度大多大于液体；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 w:val="21"/>
          <w:szCs w:val="21"/>
        </w:rPr>
        <w:t>②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同种物质，状态不变时，密度不变；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Calibri" w:hAnsi="Times New Roman" w:hint="eastAsia"/>
          <w:color w:val="FF0000"/>
          <w:sz w:val="21"/>
          <w:szCs w:val="21"/>
        </w:rPr>
        <w:t>③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质量相等的不同物质，体积大小用V＝</w:t>
      </w:r>
      <w:r>
        <w:rPr>
          <w:color w:val="FF0000"/>
          <w:position w:val="-22"/>
        </w:rPr>
        <w:drawing>
          <wp:inline distT="0" distB="0" distL="114300" distR="114300">
            <wp:extent cx="200025" cy="333375"/>
            <wp:effectExtent l="0" t="0" r="13335" b="1905"/>
            <wp:docPr id="83" name="图片 3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图片 3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分析。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【解答】解：A、从密度表中可知，水、煤油、酒精的密度都大于干松木的密度，故A错误；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B、把100克酒精倒掉50g，质量减小一半，体积减小一半，密度不变，仍为0.8×10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 xml:space="preserve"> kg/m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per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．故B正确；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C、质量是物质的属性，一杯水结成冰，所含物质多少没变，质量m不变；冰的密度小于水的密度，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根据公式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84" name="图片 3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图片 3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，当m一定时，密度变小，体积变大，故C正确；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D、铅的密度大于铜，质量相同的实心铅块和实心铜块，由公式V＝</w:t>
      </w:r>
      <w:r>
        <w:rPr>
          <w:color w:val="FF0000"/>
          <w:position w:val="-22"/>
        </w:rPr>
        <w:drawing>
          <wp:inline distT="0" distB="0" distL="114300" distR="114300">
            <wp:extent cx="200025" cy="333375"/>
            <wp:effectExtent l="0" t="0" r="13335" b="1905"/>
            <wp:docPr id="90" name="图片 3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3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知，质量一定，密度大的体积小，即铅的体积较小。故D正确；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故选：A。</w:t>
      </w:r>
    </w:p>
    <w:p>
      <w:pPr>
        <w:spacing w:line="360" w:lineRule="auto"/>
        <w:ind w:left="273" w:hanging="273" w:hangingChars="130"/>
        <w:sectPr>
          <w:footerReference w:type="default" r:id="rId42"/>
          <w:type w:val="nextPage"/>
          <w:pgSz w:w="11906" w:h="16838"/>
          <w:pgMar w:top="1440" w:right="1800" w:bottom="1440" w:left="1800" w:header="851" w:footer="992" w:gutter="0"/>
          <w:pgNumType w:fmt="decimal" w:start="7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t>8．一只氧气瓶总质量为60kg，刚启用时瓶内氧气密度为</w:t>
      </w:r>
      <w:r>
        <w:rPr>
          <w:rFonts w:ascii="Cambria Math" w:eastAsia="Cambria Math" w:hAnsi="Cambria Math"/>
          <w:sz w:val="21"/>
          <w:szCs w:val="21"/>
        </w:rPr>
        <w:t>ρ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，使用1小时后，氧气瓶的总质量变为54kg，瓶内氧气的密度变为原来的三分之二，再使用一段时间，氧气瓶的总质量变为45kg，则此时氧气瓶内氧气的密度为（　　）</w:t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</w:t>
      </w:r>
      <w:r>
        <w:rPr>
          <w:position w:val="-22"/>
        </w:rPr>
        <w:drawing>
          <wp:inline distT="0" distB="0" distL="114300" distR="114300">
            <wp:extent cx="295275" cy="333375"/>
            <wp:effectExtent l="0" t="0" r="9525" b="1905"/>
            <wp:docPr id="87" name="图片 3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图片 3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</w:t>
      </w:r>
      <w:r>
        <w:rPr>
          <w:position w:val="-22"/>
        </w:rPr>
        <w:drawing>
          <wp:inline distT="0" distB="0" distL="114300" distR="114300">
            <wp:extent cx="295275" cy="333375"/>
            <wp:effectExtent l="0" t="0" r="9525" b="1905"/>
            <wp:docPr id="89" name="图片 38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38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</w:t>
      </w:r>
      <w:r>
        <w:rPr>
          <w:position w:val="-22"/>
        </w:rPr>
        <w:drawing>
          <wp:inline distT="0" distB="0" distL="114300" distR="114300">
            <wp:extent cx="295275" cy="333375"/>
            <wp:effectExtent l="0" t="0" r="9525" b="1905"/>
            <wp:docPr id="99" name="图片 39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图片 39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</w:t>
      </w:r>
      <w:r>
        <w:rPr>
          <w:position w:val="-22"/>
        </w:rPr>
        <w:drawing>
          <wp:inline distT="0" distB="0" distL="114300" distR="114300">
            <wp:extent cx="295275" cy="333375"/>
            <wp:effectExtent l="0" t="0" r="9525" b="1905"/>
            <wp:docPr id="102" name="图片 40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40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29527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【答案】D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【分析】题目提供的质量都是氧气的质量和氧气瓶质量的总和，要设氧气瓶质量为m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，体积为V，根据前两个条件列方程求出氧气瓶质量m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，然后利用体积一定，氧气密度和氧气质量成正比得出答案。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设氧气瓶的质量为m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，体积为V，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则由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100" name="图片 41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图片 41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得，原来氧气的密度：</w:t>
      </w:r>
      <w:r>
        <w:rPr>
          <w:color w:val="FF0000"/>
          <w:position w:val="-23"/>
        </w:rPr>
        <w:drawing>
          <wp:inline distT="0" distB="0" distL="114300" distR="114300">
            <wp:extent cx="609600" cy="390525"/>
            <wp:effectExtent l="0" t="0" r="0" b="5715"/>
            <wp:docPr id="107" name="图片 42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42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﹣﹣﹣﹣﹣﹣﹣﹣﹣﹣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①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使用1小时后氧气的密度：</w:t>
      </w:r>
      <w:r>
        <w:rPr>
          <w:color w:val="FF0000"/>
          <w:position w:val="-23"/>
        </w:rPr>
        <w:drawing>
          <wp:inline distT="0" distB="0" distL="114300" distR="114300">
            <wp:extent cx="609600" cy="390525"/>
            <wp:effectExtent l="0" t="0" r="0" b="5715"/>
            <wp:docPr id="105" name="图片 43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图片 43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91" name="图片 44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44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﹣﹣﹣﹣﹣﹣﹣﹣﹣</w:t>
      </w:r>
      <w:r>
        <w:rPr>
          <w:rFonts w:ascii="Times New Roman" w:eastAsia="Calibri" w:hAnsi="Times New Roman" w:hint="eastAsia"/>
          <w:color w:val="FF0000"/>
          <w:sz w:val="21"/>
          <w:szCs w:val="21"/>
        </w:rPr>
        <w:t>②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color w:val="FF0000"/>
          <w:position w:val="-22"/>
        </w:rPr>
        <w:drawing>
          <wp:inline distT="0" distB="0" distL="114300" distR="114300">
            <wp:extent cx="200025" cy="333375"/>
            <wp:effectExtent l="0" t="0" r="13335" b="1905"/>
            <wp:docPr id="95" name="图片 45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45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解得氧气瓶的质量：m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0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＝42kg，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总质量为60kg的氧气瓶，瓶内纯氧气的质量为60kg﹣42kg＝18kg时，瓶内氧气密度为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再使用一段时间，氧气瓶的总质量变为45kg，则氧气瓶内氧气的质量为45kg﹣42kg＝3kg，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氧气的体积一定，根据m＝</w:t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V可知，氧气密度和氧气质量成正比，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所以，此时瓶内的氧气密度应为原来的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101" name="图片 46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图片 46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，应为</w:t>
      </w:r>
      <w:r>
        <w:rPr>
          <w:color w:val="FF0000"/>
          <w:position w:val="-22"/>
        </w:rPr>
        <w:drawing>
          <wp:inline distT="0" distB="0" distL="114300" distR="114300">
            <wp:extent cx="123825" cy="333375"/>
            <wp:effectExtent l="0" t="0" r="13335" b="1905"/>
            <wp:docPr id="98" name="图片 47" descr="菁优网-jyeo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47" descr="菁优网-jyeoo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123825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mbria Math" w:eastAsia="Cambria Math" w:hAnsi="Cambria Math"/>
          <w:color w:val="FF0000"/>
          <w:sz w:val="21"/>
          <w:szCs w:val="21"/>
        </w:rPr>
        <w:t>ρ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故选：D。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9．如图所示，在凸透镜的主光轴上放一点光源P成像于A点，OP＜OA，A处放有垂直于主光轴的平面镜，通过透镜的光经平面镜反射再经透镜折射后，以下说法正确的个数是（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（1）可在OP之间成像；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（2）可在P点成像；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（3）向右移动透镜，可在P点成像；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t>（4）向左移动透镜，可在P点成像。</w:t>
      </w:r>
    </w:p>
    <w:p>
      <w:pPr>
        <w:spacing w:line="360" w:lineRule="auto"/>
        <w:ind w:left="273" w:right="0" w:firstLine="0" w:leftChars="130" w:firstLineChars="0"/>
        <w:sectPr>
          <w:footerReference w:type="default" r:id="rId53"/>
          <w:type w:val="nextPage"/>
          <w:pgSz w:w="11906" w:h="16838"/>
          <w:pgMar w:top="1440" w:right="1800" w:bottom="1440" w:left="1800" w:header="851" w:footer="992" w:gutter="0"/>
          <w:pgNumType w:fmt="decimal" w:start="8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2667000" cy="838200"/>
            <wp:effectExtent l="0" t="0" r="0" b="0"/>
            <wp:docPr id="92" name="图片 4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4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A．1个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B．2个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C．3个</w:t>
      </w:r>
      <w:r>
        <w:tab/>
      </w:r>
      <w:r>
        <w:rPr>
          <w:rFonts w:ascii="Times New Roman" w:eastAsia="新宋体" w:hAnsi="Times New Roman" w:hint="eastAsia"/>
          <w:sz w:val="21"/>
          <w:szCs w:val="21"/>
        </w:rPr>
        <w:t>D．4个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【答案】C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【分析】在光的反射和光的折射中，光路是可逆的。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【解答】解：由题意可知，平面镜垂直于主光轴，凸透镜的主光轴上放一点光源P成像于A点，由于平面镜会反射光线，且光路是可逆的，所以照射在A点的光线会逆着入射光线返回，仍然会在P点成像；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由题意和图示可知，OP＜OA（即物距小于像距），且在A点的像为实像，由凸透镜成像规律可知此时f＜u＜2f，v＞2f；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向右移动凸透镜时，若物距等于原来的像距、像距等于原来的物距（即凸透镜移到u、v互换的位置时），根据光路的可逆性可知，可在A点成像，同理经平面镜反射后可再次在P点成像；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向左移动透镜时，若凸透镜移到一倍焦距处，根据凸透镜的特殊光线可知，过焦点的光线经凸透镜折射后会平行于主光轴，同理经平面镜反射后可再次在P点成像；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综上所述，（2）（3）（4）是正确的。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故选：C。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10．有两块凸透镜L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和L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，它们的焦距分别是f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＝16cm和f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＝6cm。另有一块凹透镜L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，其焦距为f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＝6厘米，欲使一束平行光先后通过其中两块透镜后，仍为平行光，但光束变窄，则下列所选透镜和安置方法都正确的是（　　）</w:t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A．选L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和L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，使两透镜间距D＝22厘米，并使光先通过L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B．选L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和L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，使两透镜间距D＝22厘米，并使光先通过L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C．选L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sz w:val="21"/>
          <w:szCs w:val="21"/>
        </w:rPr>
        <w:t>和L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，使两透镜间距D＝8厘米，使光先通过L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1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D．选L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sz w:val="21"/>
          <w:szCs w:val="21"/>
        </w:rPr>
        <w:t>和L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sz w:val="21"/>
          <w:szCs w:val="21"/>
        </w:rPr>
        <w:t>，使两透镜间距D＝2厘米，使光先通过L</w:t>
      </w:r>
      <w:r>
        <w:rPr>
          <w:rFonts w:ascii="Times New Roman" w:eastAsia="新宋体" w:hAnsi="Times New Roman" w:hint="eastAsia"/>
          <w:sz w:val="24"/>
          <w:szCs w:val="24"/>
          <w:vertAlign w:val="subscript"/>
        </w:rPr>
        <w:t>2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【答案】A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【分析】根据平行于主光轴的光线经凸透镜折射后通过焦点，经凹透镜折射后反向延长通过焦点，分别作出四个透镜组合对光线的作用，找到满足题干要求的选择项。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【解答】解：A、对平行于主光轴的光线经L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、L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透镜组合折射后折射光线如图：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  <w:sectPr>
          <w:footerReference w:type="default" r:id="rId55"/>
          <w:type w:val="nextPage"/>
          <w:pgSz w:w="11906" w:h="16838"/>
          <w:pgMar w:top="1440" w:right="1800" w:bottom="1440" w:left="1800" w:header="851" w:footer="992" w:gutter="0"/>
          <w:pgNumType w:fmt="decimal" w:start="9"/>
          <w:cols w:num="1" w:space="425"/>
          <w:titlePg w:val="0"/>
          <w:docGrid w:type="lines" w:linePitch="312" w:charSpace="0"/>
        </w:sect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drawing>
          <wp:inline distT="0" distB="0" distL="114300" distR="114300">
            <wp:extent cx="1219200" cy="1000125"/>
            <wp:effectExtent l="0" t="0" r="0" b="5715"/>
            <wp:docPr id="96" name="图片 4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4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6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能把一束从左侧射入的较宽的平行光变为较窄的平行光，A符合要求；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B、对平行于主光轴的光线经L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、L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透镜组合折射后折射光线如图：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drawing>
          <wp:inline distT="0" distB="0" distL="114300" distR="114300">
            <wp:extent cx="1181100" cy="904875"/>
            <wp:effectExtent l="0" t="0" r="7620" b="9525"/>
            <wp:docPr id="108" name="图片 5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图片 5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能把一束从左侧射入的平行光变为较宽的平行光，B不符合要求；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C、选L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和L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，使两透镜间距D＝8厘米，使光先通过L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1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，一束从左侧射入的平行光，最后的折射光线不再是平行光，C不符合要求；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D、对平行于主光轴的光线经L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2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、L</w:t>
      </w:r>
      <w:r>
        <w:rPr>
          <w:rFonts w:ascii="Times New Roman" w:eastAsia="新宋体" w:hAnsi="Times New Roman" w:hint="eastAsia"/>
          <w:color w:val="FF0000"/>
          <w:sz w:val="24"/>
          <w:szCs w:val="24"/>
          <w:vertAlign w:val="subscript"/>
        </w:rPr>
        <w:t>3</w:t>
      </w:r>
      <w:r>
        <w:rPr>
          <w:rFonts w:ascii="Times New Roman" w:eastAsia="新宋体" w:hAnsi="Times New Roman" w:hint="eastAsia"/>
          <w:color w:val="FF0000"/>
          <w:sz w:val="21"/>
          <w:szCs w:val="21"/>
        </w:rPr>
        <w:t>透镜组合折射后折射光线，一束从左侧射入的平行光，最后的折射光线不再是平行光，D不符合要求；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故选：A。</w:t>
      </w:r>
    </w:p>
    <w:p>
      <w:pPr>
        <w:spacing w:line="360" w:lineRule="auto"/>
        <w:ind w:left="273" w:hanging="273" w:hangingChars="130"/>
      </w:pPr>
      <w:r>
        <w:rPr>
          <w:rFonts w:ascii="Times New Roman" w:eastAsia="新宋体" w:hAnsi="Times New Roman" w:hint="eastAsia"/>
          <w:sz w:val="21"/>
          <w:szCs w:val="21"/>
        </w:rPr>
        <w:t>11．如图所示，凸透镜的下半部分被截去，其上半部分的高度为L。在其左焦点F处放有高为L的发光物AB，在右焦点F'处放有一平面镜MN。则关于AB通过凸透镜的成像情况，下列说法中正确的是（　　）</w:t>
      </w:r>
    </w:p>
    <w:p>
      <w:pPr>
        <w:spacing w:line="360" w:lineRule="auto"/>
        <w:ind w:left="273" w:right="0" w:firstLine="0" w:leftChars="130" w:firstLineChars="0"/>
      </w:pPr>
      <w:r>
        <w:rPr>
          <w:rFonts w:ascii="Times New Roman" w:eastAsia="新宋体" w:hAnsi="Times New Roman" w:hint="eastAsia"/>
          <w:sz w:val="21"/>
          <w:szCs w:val="21"/>
        </w:rPr>
        <w:drawing>
          <wp:inline distT="0" distB="0" distL="114300" distR="114300">
            <wp:extent cx="1181100" cy="990600"/>
            <wp:effectExtent l="0" t="0" r="7620" b="0"/>
            <wp:docPr id="93" name="图片 5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图片 5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A．成一个正立等大的虚像和一个正立放大的虚像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B．成一个正立等大的虚像和一个倒立缩小的实像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C．AB的上半部分成一个等大倒立的实像，下半部分不成像</w:t>
      </w:r>
      <w:r>
        <w:tab/>
      </w:r>
    </w:p>
    <w:p>
      <w:pPr>
        <w:spacing w:line="360" w:lineRule="auto"/>
        <w:ind w:firstLine="273" w:firstLineChars="130"/>
        <w:jc w:val="left"/>
      </w:pPr>
      <w:r>
        <w:rPr>
          <w:rFonts w:ascii="Times New Roman" w:eastAsia="新宋体" w:hAnsi="Times New Roman" w:hint="eastAsia"/>
          <w:sz w:val="21"/>
          <w:szCs w:val="21"/>
        </w:rPr>
        <w:t>D．AB的下半部分成一个等大倒立的实像，上半部分不成像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【答案】D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【分析】本题可用作图法进行分析，取AB物体的中点P分析，P点以上各点发出的光线，P点以下各点发出的光线三种情况进行分析。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【解答】解：（1）如图2（a）所示，取AB物体的中点P分析：从该点发光的光线，经凸透镜折射后，折射光线应为平行光，经平面镜反射后，反射光线仍为平行光。但所有这些光线的位置均在凸透镜光心以下，所以这些光线不可能直接会聚成像，也不可能通过凸透镜会聚成像。</w:t>
      </w:r>
    </w:p>
    <w:p>
      <w:pPr>
        <w:spacing w:line="360" w:lineRule="auto"/>
        <w:ind w:left="273" w:right="0" w:firstLine="0" w:leftChars="130" w:firstLineChars="0"/>
        <w:rPr>
          <w:color w:val="FF0000"/>
        </w:rPr>
      </w:pPr>
      <w:r>
        <w:rPr>
          <w:rFonts w:ascii="Times New Roman" w:eastAsia="新宋体" w:hAnsi="Times New Roman" w:hint="eastAsia"/>
          <w:color w:val="FF0000"/>
          <w:sz w:val="21"/>
          <w:szCs w:val="21"/>
        </w:rPr>
        <w:t>P点以上各点发出的光线，情况与P点相似，但反射光线的位置更要向下移。</w:t>
      </w:r>
      <w:r>
        <w:rPr>
          <w:color w:val="FF0000"/>
        </w:rPr>
        <w:br/>
      </w:r>
      <w:r>
        <w:rPr>
          <w:color w:val="FF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https://d.book118.com/136144000203010041</w:t>
        </w:r>
      </w:hyperlink>
    </w:p>
    <w:p>
      <w:pPr>
        <w:spacing w:line="360" w:lineRule="auto"/>
        <w:ind w:left="273" w:right="0" w:firstLine="0" w:leftChars="130" w:firstLineChars="0"/>
        <w:rPr>
          <w:color w:val="FF0000"/>
        </w:rPr>
      </w:pPr>
    </w:p>
    <w:sectPr>
      <w:footerReference w:type="default" r:id="rId60"/>
      <w:type w:val="nextPage"/>
      <w:pgSz w:w="11906" w:h="16838"/>
      <w:pgMar w:top="1440" w:right="1800" w:bottom="1440" w:left="1800" w:header="851" w:footer="992" w:gutter="0"/>
      <w:pgNumType w:fmt="decimal" w:start="10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304010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5481411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6237340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5106461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11227735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755988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7856722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1606687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</w:pPr>
    <w:r>
      <w:rPr>
        <w:sz w:val="18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9071068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xmlns:a="http://schemas.openxmlformats.org/drawingml/2006/main"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xmlns:a="http://schemas.openxmlformats.org/drawingml/2006/main"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3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E8C533A"/>
    <w:rsid w:val="004151FC"/>
    <w:rsid w:val="00C02FC6"/>
    <w:rsid w:val="3BFE07FA"/>
    <w:rsid w:val="5A024FFB"/>
    <w:rsid w:val="6E8C533A"/>
  </w:rsids>
  <w:docVars>
    <w:docVar w:name="commondata" w:val="eyJoZGlkIjoiMjZhNTM3NWJjMmFhMjJlOTEzMmU5NTJiNzdiNzkyMD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png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image" Target="media/image9.png" /><Relationship Id="rId16" Type="http://schemas.openxmlformats.org/officeDocument/2006/relationships/image" Target="media/image10.png" /><Relationship Id="rId17" Type="http://schemas.openxmlformats.org/officeDocument/2006/relationships/image" Target="media/image11.png" /><Relationship Id="rId18" Type="http://schemas.openxmlformats.org/officeDocument/2006/relationships/image" Target="media/image12.png" /><Relationship Id="rId19" Type="http://schemas.openxmlformats.org/officeDocument/2006/relationships/image" Target="media/image13.png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1" Type="http://schemas.openxmlformats.org/officeDocument/2006/relationships/image" Target="media/image14.png" /><Relationship Id="rId22" Type="http://schemas.openxmlformats.org/officeDocument/2006/relationships/image" Target="media/image15.png" /><Relationship Id="rId23" Type="http://schemas.openxmlformats.org/officeDocument/2006/relationships/image" Target="media/image16.png" /><Relationship Id="rId24" Type="http://schemas.openxmlformats.org/officeDocument/2006/relationships/footer" Target="footer4.xml" /><Relationship Id="rId25" Type="http://schemas.openxmlformats.org/officeDocument/2006/relationships/image" Target="media/image17.png" /><Relationship Id="rId26" Type="http://schemas.openxmlformats.org/officeDocument/2006/relationships/footer" Target="footer5.xml" /><Relationship Id="rId27" Type="http://schemas.openxmlformats.org/officeDocument/2006/relationships/image" Target="media/image18.png" /><Relationship Id="rId28" Type="http://schemas.openxmlformats.org/officeDocument/2006/relationships/image" Target="media/image19.png" /><Relationship Id="rId29" Type="http://schemas.openxmlformats.org/officeDocument/2006/relationships/image" Target="media/image20.png" /><Relationship Id="rId3" Type="http://schemas.openxmlformats.org/officeDocument/2006/relationships/fontTable" Target="fontTable.xml" /><Relationship Id="rId30" Type="http://schemas.openxmlformats.org/officeDocument/2006/relationships/image" Target="media/image21.png" /><Relationship Id="rId31" Type="http://schemas.openxmlformats.org/officeDocument/2006/relationships/image" Target="media/image22.png" /><Relationship Id="rId32" Type="http://schemas.openxmlformats.org/officeDocument/2006/relationships/image" Target="media/image23.png" /><Relationship Id="rId33" Type="http://schemas.openxmlformats.org/officeDocument/2006/relationships/image" Target="media/image24.png" /><Relationship Id="rId34" Type="http://schemas.openxmlformats.org/officeDocument/2006/relationships/image" Target="media/image25.png" /><Relationship Id="rId35" Type="http://schemas.openxmlformats.org/officeDocument/2006/relationships/image" Target="media/image26.png" /><Relationship Id="rId36" Type="http://schemas.openxmlformats.org/officeDocument/2006/relationships/image" Target="media/image27.png" /><Relationship Id="rId37" Type="http://schemas.openxmlformats.org/officeDocument/2006/relationships/image" Target="media/image28.png" /><Relationship Id="rId38" Type="http://schemas.openxmlformats.org/officeDocument/2006/relationships/image" Target="media/image29.png" /><Relationship Id="rId39" Type="http://schemas.openxmlformats.org/officeDocument/2006/relationships/footer" Target="footer6.xml" /><Relationship Id="rId4" Type="http://schemas.openxmlformats.org/officeDocument/2006/relationships/customXml" Target="../customXml/item1.xml" /><Relationship Id="rId40" Type="http://schemas.openxmlformats.org/officeDocument/2006/relationships/image" Target="media/image30.png" /><Relationship Id="rId41" Type="http://schemas.openxmlformats.org/officeDocument/2006/relationships/image" Target="media/image31.png" /><Relationship Id="rId42" Type="http://schemas.openxmlformats.org/officeDocument/2006/relationships/footer" Target="footer7.xml" /><Relationship Id="rId43" Type="http://schemas.openxmlformats.org/officeDocument/2006/relationships/image" Target="media/image32.png" /><Relationship Id="rId44" Type="http://schemas.openxmlformats.org/officeDocument/2006/relationships/image" Target="media/image33.png" /><Relationship Id="rId45" Type="http://schemas.openxmlformats.org/officeDocument/2006/relationships/image" Target="media/image34.png" /><Relationship Id="rId46" Type="http://schemas.openxmlformats.org/officeDocument/2006/relationships/image" Target="media/image35.png" /><Relationship Id="rId47" Type="http://schemas.openxmlformats.org/officeDocument/2006/relationships/image" Target="media/image36.png" /><Relationship Id="rId48" Type="http://schemas.openxmlformats.org/officeDocument/2006/relationships/image" Target="media/image37.png" /><Relationship Id="rId49" Type="http://schemas.openxmlformats.org/officeDocument/2006/relationships/image" Target="media/image38.png" /><Relationship Id="rId5" Type="http://schemas.openxmlformats.org/officeDocument/2006/relationships/image" Target="media/image1.png" /><Relationship Id="rId50" Type="http://schemas.openxmlformats.org/officeDocument/2006/relationships/image" Target="media/image39.png" /><Relationship Id="rId51" Type="http://schemas.openxmlformats.org/officeDocument/2006/relationships/image" Target="media/image40.png" /><Relationship Id="rId52" Type="http://schemas.openxmlformats.org/officeDocument/2006/relationships/image" Target="media/image41.png" /><Relationship Id="rId53" Type="http://schemas.openxmlformats.org/officeDocument/2006/relationships/footer" Target="footer8.xml" /><Relationship Id="rId54" Type="http://schemas.openxmlformats.org/officeDocument/2006/relationships/image" Target="media/image42.png" /><Relationship Id="rId55" Type="http://schemas.openxmlformats.org/officeDocument/2006/relationships/footer" Target="footer9.xml" /><Relationship Id="rId56" Type="http://schemas.openxmlformats.org/officeDocument/2006/relationships/image" Target="media/image43.png" /><Relationship Id="rId57" Type="http://schemas.openxmlformats.org/officeDocument/2006/relationships/image" Target="media/image44.png" /><Relationship Id="rId58" Type="http://schemas.openxmlformats.org/officeDocument/2006/relationships/image" Target="media/image45.png" /><Relationship Id="rId59" Type="http://schemas.openxmlformats.org/officeDocument/2006/relationships/hyperlink" Target="https://d.book118.com/136144000203010041" TargetMode="External" /><Relationship Id="rId6" Type="http://schemas.openxmlformats.org/officeDocument/2006/relationships/image" Target="media/image2.png" /><Relationship Id="rId60" Type="http://schemas.openxmlformats.org/officeDocument/2006/relationships/footer" Target="footer10.xml" /><Relationship Id="rId61" Type="http://schemas.openxmlformats.org/officeDocument/2006/relationships/theme" Target="theme/theme1.xml" /><Relationship Id="rId62" Type="http://schemas.openxmlformats.org/officeDocument/2006/relationships/styles" Target="styles.xml" /><Relationship Id="rId7" Type="http://schemas.openxmlformats.org/officeDocument/2006/relationships/footer" Target="footer1.xml" /><Relationship Id="rId8" Type="http://schemas.openxmlformats.org/officeDocument/2006/relationships/image" Target="media/image3.pn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18376708956</dc:creator>
  <cp:lastModifiedBy>嘿！你得努力了</cp:lastModifiedBy>
  <cp:revision>1</cp:revision>
  <dcterms:created xsi:type="dcterms:W3CDTF">2023-11-16T04:23:00Z</dcterms:created>
  <dcterms:modified xsi:type="dcterms:W3CDTF">2024-01-27T06:33:35Z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8314F2044DBE4C44ADE65EAE3307B0F3_12</vt:lpwstr>
  </property>
  <property fmtid="{D5CDD505-2E9C-101B-9397-08002B2CF9AE}" pid="7" name="KSOProductBuildVer">
    <vt:lpwstr>2052-12.1.0.16120</vt:lpwstr>
  </property>
</Properties>
</file>