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年雨伞行业相关公司设立可行性研究报告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49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_Toc32491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20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_Toc26920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8" w:history="1">
        <w:r>
          <w:rPr>
            <w:rFonts w:ascii="仿宋" w:eastAsia="仿宋" w:hAnsi="仿宋" w:cs="仿宋" w:hint="eastAsia"/>
            <w:lang w:eastAsia="zh-CN"/>
          </w:rPr>
          <w:t>(一)、年雨伞项目选址原则</w:t>
        </w:r>
        <w:r>
          <w:tab/>
        </w:r>
        <w:r>
          <w:fldChar w:fldCharType="begin"/>
        </w:r>
        <w:r>
          <w:instrText xml:space="preserve"> PAGEREF _Toc6178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_Toc21268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_Toc22474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_Toc16758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8" w:history="1">
        <w:r>
          <w:rPr>
            <w:rFonts w:ascii="仿宋" w:eastAsia="仿宋" w:hAnsi="仿宋" w:cs="仿宋" w:hint="eastAsia"/>
            <w:lang w:eastAsia="zh-CN"/>
          </w:rPr>
          <w:t>(五)、年雨伞项目选址综合评价</w:t>
        </w:r>
        <w:r>
          <w:tab/>
        </w:r>
        <w:r>
          <w:fldChar w:fldCharType="begin"/>
        </w:r>
        <w:r>
          <w:instrText xml:space="preserve"> PAGEREF _Toc5048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17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_Toc19217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_Toc18142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_Toc10590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42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_Toc3542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_Toc21363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_Toc9405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_Toc6381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_Toc22757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_Toc1364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_Toc13614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_Toc22431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28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_Toc9728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_Toc30389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_Toc31292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_Toc21284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_Toc4261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69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_Toc26469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_Toc15753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_Toc21347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_Toc4785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05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_Toc13605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_Toc17381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_Toc12224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_Toc29835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_Toc23305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1" w:history="1">
        <w:r>
          <w:rPr>
            <w:rFonts w:ascii="仿宋" w:eastAsia="仿宋" w:hAnsi="仿宋" w:cs="仿宋" w:hint="eastAsia"/>
            <w:lang w:eastAsia="zh-CN"/>
          </w:rPr>
          <w:t>(五)、年雨伞项目总投资</w:t>
        </w:r>
        <w:r>
          <w:tab/>
        </w:r>
        <w:r>
          <w:fldChar w:fldCharType="begin"/>
        </w:r>
        <w:r>
          <w:instrText xml:space="preserve"> PAGEREF _Toc24351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_Toc27034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87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_Toc3487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_Toc21019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_Toc20504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_Toc26894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73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_Toc22873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4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_Toc15141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39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_Toc4390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_Toc8867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_Toc25246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_Toc30853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_Toc23482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_Toc4106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_Toc13122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_Toc15188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_Toc30556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_Toc2620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_Toc29090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_Toc15502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25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_Toc29925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4" w:history="1">
        <w:r>
          <w:rPr>
            <w:rFonts w:ascii="仿宋" w:eastAsia="仿宋" w:hAnsi="仿宋" w:cs="仿宋" w:hint="eastAsia"/>
            <w:lang w:eastAsia="zh-CN"/>
          </w:rPr>
          <w:t>(一)、年雨伞项目进度安排</w:t>
        </w:r>
        <w:r>
          <w:tab/>
        </w:r>
        <w:r>
          <w:fldChar w:fldCharType="begin"/>
        </w:r>
        <w:r>
          <w:instrText xml:space="preserve"> PAGEREF _Toc27454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8" w:history="1">
        <w:r>
          <w:rPr>
            <w:rFonts w:ascii="仿宋" w:eastAsia="仿宋" w:hAnsi="仿宋" w:cs="仿宋" w:hint="eastAsia"/>
            <w:lang w:eastAsia="zh-CN"/>
          </w:rPr>
          <w:t>(二)、年雨伞项目实施保障措施</w:t>
        </w:r>
        <w:r>
          <w:tab/>
        </w:r>
        <w:r>
          <w:fldChar w:fldCharType="begin"/>
        </w:r>
        <w:r>
          <w:instrText xml:space="preserve"> PAGEREF _Toc10758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36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_Toc18536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_Toc23687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_Toc5131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_Toc3272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_Toc5091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13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_Toc32013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_Toc3791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_Toc22457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_Toc4257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49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920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178"/>
      <w:r>
        <w:rPr>
          <w:rFonts w:ascii="仿宋" w:eastAsia="仿宋" w:hAnsi="仿宋" w:cs="仿宋" w:hint="eastAsia"/>
          <w:lang w:eastAsia="zh-CN"/>
        </w:rPr>
        <w:t>(一)、年雨伞项目选址原则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年雨伞项目选址是决定工业年雨伞项目成败的关键因素之一。根据现行政策，年雨伞项目选址必须符合一系列要求，以确保城乡建设、环境保护和资源利用的协调。以下是一些关于年雨伞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年雨伞项目选址必须与当地城乡建设总体规划相一致。它应该符合工业年雨伞项目占地使用规划的要求，并与大气污染防治、水资源和自然生态保护政策相协调。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避开特殊区域： 年雨伞项目选址应避开自然保护区、风景名胜区、生活饮用水源地和其他特别需要保护的敏感性目标。这有助于维护自然环境的完整性和生态系统的稳定。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节约土地资源：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年雨伞项目选址应充分考虑土地资源的节约。最好选择空闲地、非耕地或荒地，以减少对良田或耕地的占用。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年雨伞项目选址应提供足够的场地，以满足工艺和辅助生产设施的建设需要。这有助于确保生产流程的高效运行。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年雨伞项目选址应具备良好的生产基础条件，包括充足的水源、电力、运输和可靠的能源供应。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年雨伞项目选址应地势平缓，便于排除雨水和处理生产、生活废水。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年雨伞项目选址应与居民区及环境污染敏感点保持足够的防护距离，以确保生产活动不会对人民健康和环境造成危害。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年雨伞项目选址是年雨伞项目成功的第一步，符合政策要求的选址将有助于确保年雨伞项目的可持续发展，并避免对环境和社会造成不利影响。因此，在年雨伞项目规划和选址阶段，应认真考虑这些原则和要求。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268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年雨伞项目，坐落于中国东南沿海地带，占地面积约为XX平方公里。其地理位置堪称优越，距离市中心仅有短短的XX公里，具备出色的交通便捷性。在过去几十年的快速发展中，年雨伞项目已经崭露头角，逐渐崭露头角，成为国内重要的经济和人口中心之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https://d.book118.com/136144033202010041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年雨伞行业相关公司设立可行性研究报告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年雨伞行业相关公司设立可行性研究报告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年雨伞行业相关公司设立可行性研究报告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年雨伞行业相关公司设立可行性研究报告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年雨伞行业相关公司设立可行性研究报告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36144033202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2024-01-19T16:11:00Z</dcterms:created>
  <dcterms:modified xsi:type="dcterms:W3CDTF">2024-01-19T16:11:33Z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F8979C258EC24F01ADEB1AB53E12911C_11</vt:lpwstr>
  </property>
  <property fmtid="{D5CDD505-2E9C-101B-9397-08002B2CF9AE}" pid="3" name="KSOProductBuildVer">
    <vt:lpwstr>2052-12.1.0.16120</vt:lpwstr>
  </property>
</Properties>
</file>