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2609" w:rsidRPr="00944BFF" w:rsidP="00944BFF">
      <w:pPr>
        <w:adjustRightInd w:val="0"/>
        <w:snapToGrid w:val="0"/>
        <w:spacing w:after="0" w:line="360" w:lineRule="auto"/>
        <w:rPr>
          <w:snapToGrid w:val="0"/>
          <w:color w:val="000000"/>
          <w:sz w:val="24"/>
        </w:rPr>
      </w:pPr>
      <w:r w:rsidRPr="00944BFF">
        <w:rPr>
          <w:snapToGrid w:val="0"/>
          <w:color w:val="000000"/>
          <w:sz w:val="24"/>
        </w:rPr>
        <w:t>摘 要</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玉米期货作为我国现货规模最大的商品期货品种，其产量以及品质会因为天气的变动而具有很强的波动性。论文旨在对大连商品期货交易所的玉米期货主力合约进行研究分析，根据其指定交割仓库的位置进行气象数据的收集，通过大连市、营口市的地面气象数据构建出一个天气综合评价指数体系，以该体系内的所有数据对我国同期玉米期货主力合约的收盘价及持仓量开展回归分析。论文的研究可以完善我国期货市场交易主体对玉米期货合约价格预测的研究，帮助投资者们进行合理、理性的投资，为其进入大连商品期货交易所创造优良的服务环境。</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通过多次的回归分析得出如下结论：天气变动情况对我国玉米期货市场主力合约的收盘价以及其持仓量具有一定影响、存在一定相关性。天气综合评价指数体系中日照对数变动对玉米期货市场的影响最大；平均水汽压变动对于我国玉米期货主力合约收盘价变动影响较大；玉米期货主力合约持仓量变动受天气综合评价指数体系内单因素变动影响。</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关键词：玉米期货；天气变动；多元回归分析</w:t>
      </w:r>
    </w:p>
    <w:p w:rsidR="00EB2609" w:rsidRPr="00944BFF" w:rsidP="00944BFF">
      <w:pPr>
        <w:numPr>
          <w:ilvl w:val="0"/>
          <w:numId w:val="1"/>
        </w:numPr>
        <w:adjustRightInd w:val="0"/>
        <w:snapToGrid w:val="0"/>
        <w:spacing w:after="0" w:line="360" w:lineRule="auto"/>
        <w:ind w:hanging="210"/>
        <w:rPr>
          <w:snapToGrid w:val="0"/>
          <w:color w:val="000000"/>
          <w:sz w:val="24"/>
        </w:rPr>
      </w:pPr>
      <w:r w:rsidRPr="00944BFF">
        <w:rPr>
          <w:snapToGrid w:val="0"/>
          <w:color w:val="000000"/>
          <w:sz w:val="24"/>
        </w:rPr>
        <w:t>绪 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1.1 研究背景</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2020年是我国全面建成小康社会目标实现之年，党认为，全面小康“三农”领域突出短板必须补上。“农稳天下安”，“三农”问题事关国计民生，党的十九大做出实施乡村振兴战略的重大部署，确立了从根本上解决</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三农”问题的指导思想和工作方针。2020年一号文件提出稳妥扩大农村普惠金融试点，抓好农业保险保费补贴政策落实，督促保险机构及时足额理赔，优化“保险+期货”试点模式，继续推进农产品期货期权品种上市，为强化农村补短板保障措施方面指明了方向。</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玉米是重要的粮食作物和饲料作物，是全世界总产量最高的农作物，作为国际市场上最早和最活跃的商品期货交易品种之一，被誉为“饲料之王”的玉米，是大宗农产品的代表性品种。以来，由于党和国家一系列加强农业生产政策的落实及国内畜牧业生产发展的拉动，玉米生产持续增长。但是由于肺炎的影响，近期世界玉米产量下滑，面对燃料、酒精等物资的需求加大以及全球经济衰退等复杂情况下，更需及时掌握影响玉米期现货价格走向的关键因素，通过分析对其走势进行研判，才可在玉米投资中立于不败。国家粮食局党组成员、副局长曾丽瑛在第四届国际玉米产业大会上表示：“国家对于玉米市场的调控目标是不会变的，既要保护农民的利益，同时也要保证市场的供应，维持市场粮价的基本稳定。”</w:t>
      </w:r>
    </w:p>
    <w:p w:rsidR="00EB2609" w:rsidRPr="00944BFF" w:rsidP="00944BFF">
      <w:pPr>
        <w:adjustRightInd w:val="0"/>
        <w:snapToGrid w:val="0"/>
        <w:spacing w:after="0" w:line="360" w:lineRule="auto"/>
        <w:ind w:left="-5"/>
        <w:rPr>
          <w:snapToGrid w:val="0"/>
          <w:color w:val="000000"/>
          <w:sz w:val="24"/>
        </w:rPr>
        <w:sectPr>
          <w:headerReference w:type="even" r:id="rId4"/>
          <w:headerReference w:type="default" r:id="rId5"/>
          <w:footerReference w:type="even" r:id="rId6"/>
          <w:footerReference w:type="default" r:id="rId7"/>
          <w:headerReference w:type="first" r:id="rId8"/>
          <w:footerReference w:type="first" r:id="rId9"/>
          <w:pgSz w:w="12240" w:h="15840"/>
          <w:pgMar w:top="720" w:right="915" w:bottom="721" w:left="720" w:header="150" w:footer="227" w:gutter="0"/>
          <w:cols w:space="720"/>
          <w:titlePg/>
        </w:sectPr>
      </w:pPr>
      <w:r w:rsidRPr="00944BFF">
        <w:rPr>
          <w:snapToGrid w:val="0"/>
          <w:color w:val="000000"/>
          <w:sz w:val="24"/>
        </w:rPr>
        <w:t>　　在国家市场中，美国是世界玉米生产、消费和贸易第一大国，CBOT是世界规模最大，历史最悠久的农产品期货交易所，玉米是CBOT最早的交易品种，也是最重要、最成熟的交易品种之一。CBOT玉米期货市场中一半以上的交易市来自玉米及其相关产业的保值交易，其玉米期货拥有着相当可观的市</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场规模，因此CBOT所形成的玉米期货价格成为了世界玉米市场价格的“风向标”。对于我国而言，主要的农产品期货交易市场是大连商品交易所和郑州商品交易所，玉米期货是我国现货规模最大的农产品期货品种，仅在大连商品交易所进行交割。据相关数据研究，我国大连商品交易所与CBOT玉米期货价格的相关系数为0.93，可见我国玉米期货市场的价格发现功能较为完善，实现了真正地与国际市场接轨，为我国玉米期现货市场交易各方均提供了有效的避险工具。</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1.2 研究目的及意义</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1.2.1 研究目的</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天气的变动会影响到众多的经济活动，有数据表明美国的经济活动大约有30%左右会受到天气变动的影响，若从全球的角度来看，天气因素甚至会对80%以上的经济活动产生影响。例如厄尔尼诺、拉尼娜这些异常的气候事件会带来温度及降水的异常变化，进而导致像雪灾、寒潮、干旱、洪涝等极端天气的出现。农业的发展受到天气的影响很大，农产品的产量及其品质会因天气的变动而具有波动性、进而带来一定的风险性，因此利用农产品期货市场来达到对农产品现货价格发现以及规避一定风险的作用尤为重要。</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论文旨在对大连商品交易所的玉米期货合约进行研究分析，因该商品交易所内的玉米期货现货指定交割仓库均位于辽宁省，分别为大连市、营口市、锦州市三个地区，因</w:t>
      </w:r>
      <w:r w:rsidRPr="00944BFF" w:rsidR="00944BFF">
        <w:rPr>
          <w:snapToGrid w:val="0"/>
          <w:color w:val="000000"/>
          <w:sz w:val="24"/>
        </w:rPr>
        <w:t>我国</w:t>
      </w:r>
      <w:r w:rsidRPr="00944BFF">
        <w:rPr>
          <w:snapToGrid w:val="0"/>
          <w:color w:val="000000"/>
          <w:sz w:val="24"/>
        </w:rPr>
        <w:t>气象数据网的地面数据采集没有辽宁省锦州市这个站点，则论文利用其余两个城市的气象站点所收集的气象数据，选取平均2分钟风速、平均气压、平均气温、平均水气压、平均相对湿度、日照对数六大数据集进行整理、构建为天气综合评价指数体系，并通过该数据集对我国大连商品交易所的同期玉米期货主力合约持仓量、主力合约收盘进行多元回归分析，建立多元线性回归模型研究各气象因素对我国玉米期货市场的影响，从而更好地发挥我国农产品期货市场的价格发现以及规避风险的职能，为进入期货市场交易的双方主体提供参考。</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1.2.2研究意义</w:t>
      </w:r>
    </w:p>
    <w:p w:rsidR="00EB2609" w:rsidRPr="00944BFF" w:rsidP="00944BFF">
      <w:pPr>
        <w:numPr>
          <w:ilvl w:val="0"/>
          <w:numId w:val="2"/>
        </w:numPr>
        <w:adjustRightInd w:val="0"/>
        <w:snapToGrid w:val="0"/>
        <w:spacing w:after="0" w:line="360" w:lineRule="auto"/>
        <w:ind w:hanging="525"/>
        <w:rPr>
          <w:snapToGrid w:val="0"/>
          <w:color w:val="000000"/>
          <w:sz w:val="24"/>
        </w:rPr>
      </w:pPr>
      <w:r w:rsidRPr="00944BFF">
        <w:rPr>
          <w:snapToGrid w:val="0"/>
          <w:color w:val="000000"/>
          <w:sz w:val="24"/>
        </w:rPr>
        <w:t>理论意义</w:t>
      </w:r>
    </w:p>
    <w:p w:rsidR="00EB2609" w:rsidRPr="00944BFF" w:rsidP="00944BFF">
      <w:pPr>
        <w:adjustRightInd w:val="0"/>
        <w:snapToGrid w:val="0"/>
        <w:spacing w:after="0" w:line="360" w:lineRule="auto"/>
        <w:rPr>
          <w:snapToGrid w:val="0"/>
          <w:color w:val="000000"/>
          <w:sz w:val="24"/>
        </w:rPr>
        <w:sectPr>
          <w:headerReference w:type="even" r:id="rId10"/>
          <w:headerReference w:type="default" r:id="rId11"/>
          <w:footerReference w:type="even" r:id="rId12"/>
          <w:footerReference w:type="default" r:id="rId13"/>
          <w:headerReference w:type="first" r:id="rId14"/>
          <w:footerReference w:type="first" r:id="rId15"/>
          <w:type w:val="nextPage"/>
          <w:pgSz w:w="12240" w:h="15840"/>
          <w:pgMar w:top="720" w:right="915" w:bottom="721" w:left="720" w:header="150" w:footer="227" w:gutter="0"/>
          <w:pgNumType w:start="2"/>
          <w:cols w:space="720"/>
          <w:titlePg w:val="0"/>
        </w:sectPr>
      </w:pPr>
      <w:r w:rsidRPr="00944BFF">
        <w:rPr>
          <w:snapToGrid w:val="0"/>
          <w:color w:val="000000"/>
          <w:sz w:val="24"/>
        </w:rPr>
        <w:t>　　目前期货市场对价格走势预测的分析方法主要有两种：基本分析法和技术分析法。前者重点从影响期货商品价格的市场供求关系的角度展开研究，后者侧重于人们对历史的价格形态以及当前市场价格进行分析研究。基本分析法主要受金融货币、政治、政策、经济形势、自然条件五个方面的影响，通过这五种因素影响商品的供求关系，并且依据“供大于求，价格下跌；供不应求，价格上涨”对商品价格走势进行预测。论文依据辽宁省的大连、营口两个城市的气象数据，选取具有代表性的六种气象数据构建成天气综合评价指数体系，充实了现有基本面分析法研究影响供求关系变化的自然因素，利用与大连商品交易所玉米期货的指定交割仓库所在地的气象数据，完善了我国期货市场交易主体对玉米期货进行价格预测时所涉及的自然因素。</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从天气变动的角度对我国玉米期货市场进行分析，不仅可以研究以天气变动为解释变量，受天气因素影响玉米现货的供应量，进而导致被解释变量（同期玉米期货主力合约持仓量、同期玉米期货主力合约收盘价）的变动，还可以从天气变动的角度研究投资者行为受心理影响的程度，进而验证行为金融学的相关理论。</w:t>
      </w:r>
    </w:p>
    <w:p w:rsidR="00EB2609" w:rsidRPr="00944BFF" w:rsidP="00944BFF">
      <w:pPr>
        <w:numPr>
          <w:ilvl w:val="0"/>
          <w:numId w:val="2"/>
        </w:numPr>
        <w:adjustRightInd w:val="0"/>
        <w:snapToGrid w:val="0"/>
        <w:spacing w:after="0" w:line="360" w:lineRule="auto"/>
        <w:ind w:hanging="525"/>
        <w:rPr>
          <w:snapToGrid w:val="0"/>
          <w:color w:val="000000"/>
          <w:sz w:val="24"/>
        </w:rPr>
      </w:pPr>
      <w:r w:rsidRPr="00944BFF">
        <w:rPr>
          <w:snapToGrid w:val="0"/>
          <w:color w:val="000000"/>
          <w:sz w:val="24"/>
        </w:rPr>
        <w:t>现实意义</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通过对辽宁省大连市、营口市两处的日气象数据资料进行整理分析，以平均2分钟风速、平均气压、平均气温、平均水气压、平均相对湿度、日照对数六组数据建立天气综合评价指数体系，有利于投资者对期货市场价格进行预测，为投资者进入大连商品交易所避险创造了优良的服务环境。</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因天气变动会影响投资者心理活动，进而产生非理性投资行为，甚至会通过天气的变动进行炒作来刺激农产品期价波动，故论文通过完善基本面分析法中所涉及的自然因素，有助于帮助投资者依据天气的变动对大连商品交易所的玉米期货市场进行研判，有利于投资者在天气变动的影响下进行理性投资，从而合理地在期货市场中达到价格发现以及规避天气风险的目的。</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1.3 国内外研究现状</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1.3.1 国外研究现状</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国外学者普遍认为，天气类衍生产品的定价方法不能够充分地应用于传统的金融类衍生产品定价模型，气温的各种物理变化形成和运动过程非常复杂，特别重要的是其还表现出很强的周期性，不是简单随机地游走，其总体的变化都是以平均值进行回复。目前在学术界已经有很多种对衍生工具和产品进行定价的概念和方法，而这些定价公式就是基于无套利的条件，建立了一个毫无风险的投资组合，并通过计算得出该类型的投资组合在价值上发生变化的一个随机方程。</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Kuziva Muganiwa，和Hugo Lambrechts.(2019)在《The impact of convenience yield on soybean futures contrading trading on safex 》一文中明确提出对于整个市场或者某些部分的市场具有代表性的数字，通常是依赖于一组交易物的现价与该组交换物的严重性相关系进行了估算。</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Theodoros Daglis和Konstantinos N. Konstantakis, Panayotis G. Michaelides, et al.(2020)在《The forecasting ability of solar and space weather data on NASDAQ’s finance sector price index volati lity》一文中提出由交易所制定的在一天交易部分允许上下浮动的最大价格只存在于特定合约中【3】。</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xml:space="preserve">　　Theologos Dergiades, Reinhard Madlener, Georgia Christofidou.(2018)在《The nexus between natural </w:t>
      </w:r>
    </w:p>
    <w:p w:rsidR="00EB2609" w:rsidRPr="00944BFF" w:rsidP="00944BFF">
      <w:pPr>
        <w:adjustRightInd w:val="0"/>
        <w:snapToGrid w:val="0"/>
        <w:spacing w:after="0" w:line="360" w:lineRule="auto"/>
        <w:rPr>
          <w:snapToGrid w:val="0"/>
          <w:color w:val="000000"/>
          <w:sz w:val="24"/>
        </w:rPr>
        <w:sectPr>
          <w:headerReference w:type="even" r:id="rId16"/>
          <w:headerReference w:type="default" r:id="rId17"/>
          <w:footerReference w:type="even" r:id="rId18"/>
          <w:footerReference w:type="default" r:id="rId19"/>
          <w:headerReference w:type="first" r:id="rId20"/>
          <w:footerReference w:type="first" r:id="rId21"/>
          <w:type w:val="nextPage"/>
          <w:pgSz w:w="12240" w:h="15840"/>
          <w:pgMar w:top="720" w:right="915" w:bottom="721" w:left="720" w:header="150" w:footer="227" w:gutter="0"/>
          <w:pgNumType w:start="3"/>
          <w:cols w:space="720"/>
          <w:titlePg w:val="0"/>
        </w:sectPr>
      </w:pPr>
      <w:r w:rsidRPr="00944BFF">
        <w:rPr>
          <w:snapToGrid w:val="0"/>
          <w:color w:val="000000"/>
          <w:sz w:val="24"/>
        </w:rPr>
        <w:t>gas spot and futures prices at NYMEX: Do weather shocks and non-linear causality in low frequencies matter?》一文中明确指出，我们在双变量框架下,研究结果强烈地支持了现货和期货的</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价格(其中到期日分别是为一个月、两周的时间、三周的时间和四周的时间)以及条件方差的双向非线性格兰杰因果关系【7】。</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1.3.2 国内研究现状</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国内一些学者认为，以玉米为主要农产品的玉米市场价格，无论是现货或者期货价格均可能会直接受到自然条件等天气因素的影响。在播种及其生长期间，天气状况的改善直接决定着该作物产出的最终水平。理想的自然条件天气可能会促进玉米的丰产，导致粮食供应量的增加，价格大幅下跌；而不理想的自然灾害天气又可能造成大量玉米的减产，从而促进了供给的减少，价格也随之上涨。</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程静，刘飞，陶建平.(2018)在《风险认知、风险管理与农险需求-基于行为金融视角的实证研究》一文中首次明确提出了农户获得无偿劳动现金经济救助的就业机会、家庭人均劳动力收入比重及当地农户土壤作物耕种量和灌溉生态环境等对于风险意识认知和作风管理的影响因素，这些都可能是直接引起影响当地农户老年农业养老保险服务需求的最主要影响因素，农户的老年农业养老保险优惠政策实施决定显著地直接受到了慈善事业困境性经济效应的推动作用【8】。</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姜燕，张蕾，王蕊，贺楠，李朝生，潘亚茹，霍治国.(2019)在《气象服务与农产品期货关系探析》一文中首次明确提出了定期预测农业期货气象预报，它目的是在泛指农业通过对未来某时某种区域农产品期货产量的短期变动情况进行定期预测，可能不仅会直接地严重影响或达到国际金融市场中某种商品期货价格的剧烈大幅波动，甚至还有可能会间接影响或达到目前我国对国际农产品价格期货市场的一个重要国际市场定价权【9】。</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王成龙，冉明东.（2019）在《好天气会增加分析师盈余预测乐观偏差吗?——以分析师企业调研为背景》一文中提出调研日天气越好，分析师盈余预测乐观偏差越大，尤其当管理层能力和分析师学历越低，以及分析师跟踪上市公司数量越少时，好天气对分析师盈余预测乐观偏差的影响越大。</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王宇.（2020）在《天气衍生品创新及其推出的对策建议》一文中由气候风险的特征出发，分析了天气类衍生产品在转移天气风险方面所具有的优势，总结了国内推出天气类衍生产品的有利条件【11】。</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杨宇.（2021）在《天气衍生品在我国的可行性研究》一文中通过政策法规、技术条件、行业需求三个方面进行考察，分析了天气类衍生产品在我国发展的可行性，并提出了加快天气指数编制及完善做市商制度的建议【12】。</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1.4 研究内容与方法</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1.4.1 研究内容</w:t>
      </w:r>
    </w:p>
    <w:p w:rsidR="00EB2609" w:rsidRPr="00944BFF" w:rsidP="00944BFF">
      <w:pPr>
        <w:adjustRightInd w:val="0"/>
        <w:snapToGrid w:val="0"/>
        <w:spacing w:after="0" w:line="360" w:lineRule="auto"/>
        <w:rPr>
          <w:snapToGrid w:val="0"/>
          <w:color w:val="000000"/>
          <w:sz w:val="24"/>
        </w:rPr>
        <w:sectPr>
          <w:headerReference w:type="even" r:id="rId22"/>
          <w:headerReference w:type="default" r:id="rId23"/>
          <w:footerReference w:type="even" r:id="rId24"/>
          <w:footerReference w:type="default" r:id="rId25"/>
          <w:headerReference w:type="first" r:id="rId26"/>
          <w:footerReference w:type="first" r:id="rId27"/>
          <w:type w:val="nextPage"/>
          <w:pgSz w:w="12240" w:h="15840"/>
          <w:pgMar w:top="720" w:right="915" w:bottom="721" w:left="720" w:header="150" w:footer="227" w:gutter="0"/>
          <w:pgNumType w:start="4"/>
          <w:cols w:space="720"/>
          <w:titlePg w:val="0"/>
        </w:sectPr>
      </w:pPr>
      <w:r w:rsidRPr="00944BFF">
        <w:rPr>
          <w:snapToGrid w:val="0"/>
          <w:color w:val="000000"/>
          <w:sz w:val="24"/>
        </w:rPr>
        <w:t>　　论文主要从五个方面进行研究：第一部分，绪论。第一部分主要阐述了天气变化频率对于我国农产品期货影响的相关性研究背景、其研究目标以及其研究意义，并且重点综述了国内外专家学者在本书中对二者之间存在相关性问题的研究发展现状，为全文的论述做出了铺垫。</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第二部分，基础理论。在这一部分主要介绍了天气变动的涵义、原因及其影响，并且描述了天气的主要特征量的涵义及其成因，还界定了论文所建立的天气综合评价指数体系的组成部分，论述了包含基本分析法以及气象经济学所涉及到的相关理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第三部分，现状描述。本部分通过所获得的气象数据以及同期期货数据，通过天气的研究角度对我国农产品期货进行现状的研究，并分析了目前所存在的主要问题。</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第四部分，实证分析。论文将天气综合评价指数体系视为解释变量，将我国大连商品交易所的同期玉米期货主力合约持仓量、同期玉米期货主力合约收盘价视为被解释变量。通过两组数据进行研究分析建立多元回归分析模型，再对所建立的模型进行拟合检验，检验模型是否成立。</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第五部分，对策建议。通过第四部分的实证分析，对投资者提出在面对天气变动影响下，在我国玉米期货市场进行理性投资可采取的理性投资策略以及应对极端天气变动情况下有效的投资决策建议。</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1.4.2研究方法</w:t>
      </w:r>
    </w:p>
    <w:p w:rsidR="00EB2609" w:rsidRPr="00944BFF" w:rsidP="00944BFF">
      <w:pPr>
        <w:numPr>
          <w:ilvl w:val="0"/>
          <w:numId w:val="3"/>
        </w:numPr>
        <w:adjustRightInd w:val="0"/>
        <w:snapToGrid w:val="0"/>
        <w:spacing w:after="0" w:line="360" w:lineRule="auto"/>
        <w:ind w:hanging="525"/>
        <w:rPr>
          <w:snapToGrid w:val="0"/>
          <w:color w:val="000000"/>
          <w:sz w:val="24"/>
        </w:rPr>
      </w:pPr>
      <w:r w:rsidRPr="00944BFF">
        <w:rPr>
          <w:snapToGrid w:val="0"/>
          <w:color w:val="000000"/>
          <w:sz w:val="24"/>
        </w:rPr>
        <w:t>文献检索法通过学校图书馆的知网系统收集相关信息，研究现有天气类金融衍生品的定价方法及天气对农产品市场的影响。</w:t>
      </w:r>
    </w:p>
    <w:p w:rsidR="00EB2609" w:rsidRPr="00944BFF" w:rsidP="00944BFF">
      <w:pPr>
        <w:numPr>
          <w:ilvl w:val="0"/>
          <w:numId w:val="3"/>
        </w:numPr>
        <w:adjustRightInd w:val="0"/>
        <w:snapToGrid w:val="0"/>
        <w:spacing w:after="0" w:line="360" w:lineRule="auto"/>
        <w:ind w:hanging="525"/>
        <w:rPr>
          <w:snapToGrid w:val="0"/>
          <w:color w:val="000000"/>
          <w:sz w:val="24"/>
        </w:rPr>
      </w:pPr>
      <w:r w:rsidRPr="00944BFF">
        <w:rPr>
          <w:snapToGrid w:val="0"/>
          <w:color w:val="000000"/>
          <w:sz w:val="24"/>
        </w:rPr>
        <w:t>归纳分析法</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通过对天气类金融衍生品的相关资料查阅，归纳分析天气变动对我国玉米期货市场造成的影响并提出可依据天气变动而采取的理性投资行为。</w:t>
      </w:r>
    </w:p>
    <w:p w:rsidR="00EB2609" w:rsidRPr="00944BFF" w:rsidP="00944BFF">
      <w:pPr>
        <w:numPr>
          <w:ilvl w:val="0"/>
          <w:numId w:val="3"/>
        </w:numPr>
        <w:adjustRightInd w:val="0"/>
        <w:snapToGrid w:val="0"/>
        <w:spacing w:after="0" w:line="360" w:lineRule="auto"/>
        <w:ind w:hanging="525"/>
        <w:rPr>
          <w:snapToGrid w:val="0"/>
          <w:color w:val="000000"/>
          <w:sz w:val="24"/>
        </w:rPr>
      </w:pPr>
      <w:r w:rsidRPr="00944BFF">
        <w:rPr>
          <w:snapToGrid w:val="0"/>
          <w:color w:val="000000"/>
          <w:sz w:val="24"/>
        </w:rPr>
        <w:t>实证分析法</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以辽宁省的气象数据为主要研究对象，分析辽宁省的天气变动情况与我国玉米期货市场波动的相关性，建立多元回归模型进行分析论证</w:t>
      </w:r>
    </w:p>
    <w:p w:rsidR="00EB2609" w:rsidRPr="00944BFF" w:rsidP="00944BFF">
      <w:pPr>
        <w:numPr>
          <w:ilvl w:val="0"/>
          <w:numId w:val="4"/>
        </w:numPr>
        <w:adjustRightInd w:val="0"/>
        <w:snapToGrid w:val="0"/>
        <w:spacing w:after="0" w:line="360" w:lineRule="auto"/>
        <w:ind w:hanging="210"/>
        <w:rPr>
          <w:snapToGrid w:val="0"/>
          <w:color w:val="000000"/>
          <w:sz w:val="24"/>
        </w:rPr>
      </w:pPr>
      <w:r w:rsidRPr="00944BFF">
        <w:rPr>
          <w:snapToGrid w:val="0"/>
          <w:color w:val="000000"/>
          <w:sz w:val="24"/>
        </w:rPr>
        <w:t>天气变化频率对我国期货市场影响的理论基础</w:t>
      </w:r>
    </w:p>
    <w:p w:rsidR="00EB2609" w:rsidRPr="00944BFF" w:rsidP="00944BFF">
      <w:pPr>
        <w:numPr>
          <w:ilvl w:val="1"/>
          <w:numId w:val="4"/>
        </w:numPr>
        <w:adjustRightInd w:val="0"/>
        <w:snapToGrid w:val="0"/>
        <w:spacing w:after="0" w:line="360" w:lineRule="auto"/>
        <w:ind w:hanging="420"/>
        <w:rPr>
          <w:snapToGrid w:val="0"/>
          <w:color w:val="000000"/>
          <w:sz w:val="24"/>
        </w:rPr>
      </w:pPr>
      <w:r w:rsidRPr="00944BFF">
        <w:rPr>
          <w:snapToGrid w:val="0"/>
          <w:color w:val="000000"/>
          <w:sz w:val="24"/>
        </w:rPr>
        <w:t>核心概念界定</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2.1.1 天气变动</w:t>
      </w:r>
    </w:p>
    <w:p w:rsidR="00EB2609" w:rsidRPr="00944BFF" w:rsidP="00944BFF">
      <w:pPr>
        <w:numPr>
          <w:ilvl w:val="0"/>
          <w:numId w:val="5"/>
        </w:numPr>
        <w:adjustRightInd w:val="0"/>
        <w:snapToGrid w:val="0"/>
        <w:spacing w:after="0" w:line="360" w:lineRule="auto"/>
        <w:ind w:hanging="525"/>
        <w:rPr>
          <w:snapToGrid w:val="0"/>
          <w:color w:val="000000"/>
          <w:sz w:val="24"/>
        </w:rPr>
      </w:pPr>
      <w:r w:rsidRPr="00944BFF">
        <w:rPr>
          <w:snapToGrid w:val="0"/>
          <w:color w:val="000000"/>
          <w:sz w:val="24"/>
        </w:rPr>
        <w:t>天气变动的涵义</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天气是指某一个地区距离地表较近的大气层在短时间内所变现出来的具体状态，天气表现出来的状态即天气现象，指的是发生在大气中的各种自然现象，是某个瞬时内大气中各种气象要素（如气温、气压、湿度、风、云、雾、雨、闪、雪、霜、雷等）在空间分布上的综合性表现，那么天气变动便指的是一定地区的天气现象随着时间的变化而变化的过程。</w:t>
      </w:r>
    </w:p>
    <w:p w:rsidR="00EB2609" w:rsidRPr="00944BFF" w:rsidP="00944BFF">
      <w:pPr>
        <w:adjustRightInd w:val="0"/>
        <w:snapToGrid w:val="0"/>
        <w:spacing w:after="0" w:line="360" w:lineRule="auto"/>
        <w:rPr>
          <w:snapToGrid w:val="0"/>
          <w:color w:val="000000"/>
          <w:sz w:val="24"/>
        </w:rPr>
        <w:sectPr>
          <w:headerReference w:type="even" r:id="rId28"/>
          <w:headerReference w:type="default" r:id="rId29"/>
          <w:footerReference w:type="even" r:id="rId30"/>
          <w:footerReference w:type="default" r:id="rId31"/>
          <w:headerReference w:type="first" r:id="rId32"/>
          <w:footerReference w:type="first" r:id="rId33"/>
          <w:type w:val="nextPage"/>
          <w:pgSz w:w="12240" w:h="15840"/>
          <w:pgMar w:top="720" w:right="915" w:bottom="721" w:left="720" w:header="150" w:footer="227" w:gutter="0"/>
          <w:pgNumType w:start="5"/>
          <w:cols w:space="720"/>
          <w:titlePg w:val="0"/>
        </w:sectPr>
      </w:pPr>
      <w:r w:rsidRPr="00944BFF">
        <w:rPr>
          <w:snapToGrid w:val="0"/>
          <w:color w:val="000000"/>
          <w:sz w:val="24"/>
        </w:rPr>
        <w:t>　　天气与气候相似，只是在时间尺度上的描述有所不同。天气是短期内的，以天、小时等短时间计量单位进行研究，而气候的测度周期较长，通常是以年或者几十年作为测度时间，计算的是一段时间内可预测的平均天气。气候变动一般是指长时期内气候状态的变化，通常用不同时期的温度和降水等</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气候要素的统计量差异反映，主要研究全球气候平均状态与离差两者之间的一个或者两个一起在统计上出现的显著性变动。</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天气的重要特征为气温、降水、湿度、云量、风等，研究天气变动就是对这些特征要素进行研究，关注其变动趋势及变动幅度。气象学中将表示空气冷热程度的物理量称为空气温度，简称气温。气温的变动是造成自然景观和生存环境有所差异的主要因素之一，气温的变动主要是由于太阳辐射的变化而引起的周期性变化及由于大气运动而引起的非周期性变化二者共同作用所致。降水是指大气中降落的雨、雪、冰雹等，在气象学上通常用某一段时间内降水量的多少来划分降水强调，最常用的对降雨的分类方法是按照降水量的多少来划分降雨的等级，降水量的变动可分为季度变化和年级变化，其变动对于人们的生产生活影响很大。湿度是一个描述大气干燥程度的物理量，在一定的温度下、在一定体积的空气量中含有的水汽越少，则代表着空气越干燥；反之，水汽越多则空气越潮湿。湿度具有三种基本形式，绝对湿度、相对湿度、露点温度，论文对天气变动进行研究选取的是相对湿度，其表示的是空气中实际水汽压与当时气温下的饱和水汽压之比取整进行百分数表示。通过上述天气主要特征量的描述可以看出，对天气变动的研究就是对天气的主要特征量进行研究，于是论文将天气转化为其特征量进行量化研究，方便进行实证分析。</w:t>
      </w:r>
    </w:p>
    <w:p w:rsidR="00EB2609" w:rsidRPr="00944BFF" w:rsidP="00944BFF">
      <w:pPr>
        <w:numPr>
          <w:ilvl w:val="0"/>
          <w:numId w:val="5"/>
        </w:numPr>
        <w:adjustRightInd w:val="0"/>
        <w:snapToGrid w:val="0"/>
        <w:spacing w:after="0" w:line="360" w:lineRule="auto"/>
        <w:ind w:hanging="525"/>
        <w:rPr>
          <w:snapToGrid w:val="0"/>
          <w:color w:val="000000"/>
          <w:sz w:val="24"/>
        </w:rPr>
      </w:pPr>
      <w:r w:rsidRPr="00944BFF">
        <w:rPr>
          <w:snapToGrid w:val="0"/>
          <w:color w:val="000000"/>
          <w:sz w:val="24"/>
        </w:rPr>
        <w:t>天气变动的原因</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天气变动指的是一个个大大小小的天气系统的移动，由于大气层中的空气流动，天气系统总是处于不断新生、发展和消亡的过程中。天气系统通常是指引起天气变化和分布的高、低压和高压脊、低压槽等具有典型特征的大气运动系统，各类天气系统都是在一定的大气环流和地理环境作用下形成、发展和演变着，这一系列的变动都可以反映出一定地区下的气象环境特点。</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天气变动的主要成因是气团，一种水平方向上温度、湿度等物理属性的分布大致均匀的大范围空气。当大气围绕地球流动时会跨越温暖和寒冷的海洋和陆地，这些地表特征会改变通过其上方的空气，使其变得温暖或者寒冷、变得干燥或者湿润，于是就带来了天气的变动。因此，我们跨越将天气的变动看作是由于气团的形成及其流动所致。对于气团的形成而言，主要具备两个条件：一是需要具有大范围的比较均匀的下垫面，二是需要具有有利于空气停滞和缓行的大气环境条件。只有当两个条件同时具备了才会产生气团，气团再经过不断地流动引起天气的变动。</w:t>
      </w:r>
    </w:p>
    <w:p w:rsidR="00EB2609" w:rsidRPr="00944BFF" w:rsidP="00944BFF">
      <w:pPr>
        <w:numPr>
          <w:ilvl w:val="0"/>
          <w:numId w:val="5"/>
        </w:numPr>
        <w:adjustRightInd w:val="0"/>
        <w:snapToGrid w:val="0"/>
        <w:spacing w:after="0" w:line="360" w:lineRule="auto"/>
        <w:ind w:hanging="525"/>
        <w:rPr>
          <w:snapToGrid w:val="0"/>
          <w:color w:val="000000"/>
          <w:sz w:val="24"/>
        </w:rPr>
      </w:pPr>
      <w:r w:rsidRPr="00944BFF">
        <w:rPr>
          <w:snapToGrid w:val="0"/>
          <w:color w:val="000000"/>
          <w:sz w:val="24"/>
        </w:rPr>
        <w:t>天气变动的影响</w:t>
      </w:r>
    </w:p>
    <w:p w:rsidR="00EB2609" w:rsidRPr="00944BFF" w:rsidP="00944BFF">
      <w:pPr>
        <w:adjustRightInd w:val="0"/>
        <w:snapToGrid w:val="0"/>
        <w:spacing w:after="0" w:line="360" w:lineRule="auto"/>
        <w:rPr>
          <w:snapToGrid w:val="0"/>
          <w:color w:val="000000"/>
          <w:sz w:val="24"/>
        </w:rPr>
        <w:sectPr>
          <w:headerReference w:type="even" r:id="rId34"/>
          <w:headerReference w:type="default" r:id="rId35"/>
          <w:footerReference w:type="even" r:id="rId36"/>
          <w:footerReference w:type="default" r:id="rId37"/>
          <w:headerReference w:type="first" r:id="rId38"/>
          <w:footerReference w:type="first" r:id="rId39"/>
          <w:type w:val="nextPage"/>
          <w:pgSz w:w="12240" w:h="15840"/>
          <w:pgMar w:top="720" w:right="915" w:bottom="721" w:left="720" w:header="150" w:footer="227" w:gutter="0"/>
          <w:pgNumType w:start="6"/>
          <w:cols w:space="720"/>
          <w:titlePg w:val="0"/>
        </w:sectPr>
      </w:pPr>
      <w:r w:rsidRPr="00944BFF">
        <w:rPr>
          <w:snapToGrid w:val="0"/>
          <w:color w:val="000000"/>
          <w:sz w:val="24"/>
        </w:rPr>
        <w:t>　　天气的变动给我们提供了从事农、林、牧、渔业等各种各类经济社会生产行为经济活动的方便，同时天气的变动也将对我们的生产生活产生一定的不利、不良影响，甚至会加剧各种疾病的感染传播，威胁影响到我们的特色经济有序发展与我国人民年老群众的正常身体健康。据2008年北京市政府间国际气候变化预防工作专门指导委员会的调查报告，如果全球平均气温持续升高幅度达到2.5℃，全世界所有各个地区都很快就有可能因此持续遭受不利的气候影响，发展</w:t>
      </w:r>
      <w:r w:rsidRPr="00944BFF" w:rsidR="00944BFF">
        <w:rPr>
          <w:snapToGrid w:val="0"/>
          <w:color w:val="000000"/>
          <w:sz w:val="24"/>
        </w:rPr>
        <w:t>我国</w:t>
      </w:r>
      <w:r w:rsidRPr="00944BFF">
        <w:rPr>
          <w:snapToGrid w:val="0"/>
          <w:color w:val="000000"/>
          <w:sz w:val="24"/>
        </w:rPr>
        <w:t>家所需要承担</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的经济损失尤其严重；如果平均持续温度升温4℃，则很快就有可能因此给乃至全球的自然生态系统安全造成不可逆性的严重损坏，给整个世界乃至国内各个地区人民带来巨大的社会经济损失。</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天气变动对于农业的生产生活所产生的影响更加明显，由于全球性的变暖可能会导致粮食大量减产，因为全球性的变暖可能会带来干旱、缺水、海平面的上升、洪水泛滥、热浪和气温的剧变，这些均可能会导致世界范围内有人类和地方的粮食生产遭到严重破坏。随着近年全球气候暖化的细微温度变化，对于我国粮食的大量生产就必然会带来意想不到的经济损失。国际稻米研究所近日进行的一项研究结果表明，若晚间7时最低气温的温度上升每小时摄示1摄氏度(最高约合平均华氏1.8度)，稻米的后续收成便会很有可能机会大大地温度减少10%。对于当代整个</w:t>
      </w:r>
      <w:r w:rsidRPr="00944BFF" w:rsidR="00944BFF">
        <w:rPr>
          <w:snapToGrid w:val="0"/>
          <w:color w:val="000000"/>
          <w:sz w:val="24"/>
        </w:rPr>
        <w:t>我国</w:t>
      </w:r>
      <w:r w:rsidRPr="00944BFF">
        <w:rPr>
          <w:snapToGrid w:val="0"/>
          <w:color w:val="000000"/>
          <w:sz w:val="24"/>
        </w:rPr>
        <w:t>而言，全球性的气候季节变化转暖很非常有机率可能甚至会直接影响导致当代我国主要农业粮食生产的社会经济不稳定恶化程度大大增加，高温、干燥、病虫害等各种自然环境因素也很非常有机率可能甚至会直接影响造成当代我国的主要粮食产量减产。如果不及时积极采取措施，预计从2020年到2030年，</w:t>
      </w:r>
      <w:r w:rsidRPr="00944BFF" w:rsidR="00944BFF">
        <w:rPr>
          <w:snapToGrid w:val="0"/>
          <w:color w:val="000000"/>
          <w:sz w:val="24"/>
        </w:rPr>
        <w:t>我国</w:t>
      </w:r>
      <w:r w:rsidRPr="00944BFF">
        <w:rPr>
          <w:snapToGrid w:val="0"/>
          <w:color w:val="000000"/>
          <w:sz w:val="24"/>
        </w:rPr>
        <w:t>的小麦种植业生产能力将很低并有可能一直持续下降5%~10%；目前小麦、水稻、玉米三类我国重点高产农业经济作物均以产量下降增长速度较快为主，到21世纪后半期，产量最多时将达到37%。同时全球的变暖也会对我们的玉米、大豆、冬季小麦等农作物品质造成一定的影响。另外，全球气候变暖的可能性也会严重加强我国农业水和饮用水领域资源配置的巨大不稳定性和严重供需矛盾。总之，天气变动对各类经济活动会直接或者间接地造成一定范围内的影响，尤其是对于农业的生产生活而言。</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2.1.2玉米期货</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（1）玉米期货的基本定义</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玉米是重要的饲料作物和粮食作物，其价格的波动对于农产品市场及饲料企业的影响较大，因此运用玉米期货进行有效的价格发现和规避风险，有利于玉米产业的稳定发展、可引导玉米产地及时合理地进行种植结构调整，从而促进农民增收是很有必要的。</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玉米期货品种于2004年9月22日在我国大连商品期货交易所上市交易，作为国内现货规模最大的农产品期货交易品种，不仅可以分析我国玉米现货及期货之间的相关性，而且可以通过分析我国玉米期货与CBOT玉米期货的相关性，进而考察我国玉米期货市场价格发现功能的有效性，从而侧面地分析我国期货市场与国际期货市场的发展是否同步。</w:t>
      </w:r>
    </w:p>
    <w:p w:rsidR="00EB2609" w:rsidRPr="00944BFF" w:rsidP="00944BFF">
      <w:pPr>
        <w:adjustRightInd w:val="0"/>
        <w:snapToGrid w:val="0"/>
        <w:spacing w:after="0" w:line="360" w:lineRule="auto"/>
        <w:ind w:left="0" w:firstLine="0"/>
        <w:rPr>
          <w:snapToGrid w:val="0"/>
          <w:color w:val="000000"/>
          <w:sz w:val="24"/>
        </w:rPr>
        <w:sectPr>
          <w:headerReference w:type="even" r:id="rId40"/>
          <w:headerReference w:type="default" r:id="rId41"/>
          <w:footerReference w:type="even" r:id="rId42"/>
          <w:footerReference w:type="default" r:id="rId43"/>
          <w:headerReference w:type="first" r:id="rId44"/>
          <w:footerReference w:type="first" r:id="rId45"/>
          <w:type w:val="nextPage"/>
          <w:pgSz w:w="12240" w:h="15840"/>
          <w:pgMar w:top="720" w:right="915" w:bottom="721" w:left="720" w:header="150" w:footer="227" w:gutter="0"/>
          <w:pgNumType w:start="7"/>
          <w:cols w:space="720"/>
          <w:titlePg w:val="0"/>
        </w:sectPr>
      </w:pPr>
      <w:r w:rsidRPr="00944BFF">
        <w:rPr>
          <w:snapToGrid w:val="0"/>
          <w:color w:val="000000"/>
          <w:sz w:val="24"/>
        </w:rPr>
        <w:t>　　</w:t>
      </w:r>
    </w:p>
    <w:p w:rsidR="00EB2609" w:rsidRPr="00944BFF" w:rsidP="00944BFF">
      <w:pPr>
        <w:adjustRightInd w:val="0"/>
        <w:snapToGrid w:val="0"/>
        <w:spacing w:after="0" w:line="360" w:lineRule="auto"/>
        <w:ind w:left="0" w:firstLine="0"/>
        <w:rPr>
          <w:snapToGrid w:val="0"/>
          <w:color w:val="000000"/>
          <w:sz w:val="24"/>
        </w:rPr>
      </w:pPr>
      <w:r w:rsidRPr="00944BFF">
        <w:rPr>
          <w:rFonts w:cs="Calibri"/>
          <w:noProof/>
          <w:snapToGrid w:val="0"/>
          <w:color w:val="000000"/>
          <w:sz w:val="24"/>
        </w:rPr>
        <mc:AlternateContent>
          <mc:Choice Requires="wpg">
            <w:drawing>
              <wp:inline distT="0" distB="0" distL="0" distR="0">
                <wp:extent cx="6627495" cy="3514427"/>
                <wp:effectExtent l="0" t="0" r="0" b="0"/>
                <wp:docPr id="16328" name="Group 16328"/>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3514427"/>
                          <a:chOff x="0" y="0"/>
                          <a:chExt cx="6627495" cy="3514427"/>
                        </a:xfrm>
                      </wpg:grpSpPr>
                      <wps:wsp xmlns:wps="http://schemas.microsoft.com/office/word/2010/wordprocessingShape">
                        <wps:cNvPr id="315" name="Shape 315"/>
                        <wps:cNvSpPr/>
                        <wps:spPr>
                          <a:xfrm>
                            <a:off x="0" y="0"/>
                            <a:ext cx="6627495" cy="9525"/>
                          </a:xfrm>
                          <a:custGeom>
                            <a:avLst/>
                            <a:gdLst/>
                            <a:rect l="0" t="0" r="0" b="0"/>
                            <a:pathLst>
                              <a:path fill="norm" h="9525" w="6627495" stroke="1">
                                <a:moveTo>
                                  <a:pt x="0" y="0"/>
                                </a:moveTo>
                                <a:lnTo>
                                  <a:pt x="6627495" y="0"/>
                                </a:lnTo>
                                <a:lnTo>
                                  <a:pt x="6617970"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316" name="Shape 316"/>
                        <wps:cNvSpPr/>
                        <wps:spPr>
                          <a:xfrm>
                            <a:off x="0" y="3152775"/>
                            <a:ext cx="6627495" cy="9525"/>
                          </a:xfrm>
                          <a:custGeom>
                            <a:avLst/>
                            <a:gdLst/>
                            <a:rect l="0" t="0" r="0" b="0"/>
                            <a:pathLst>
                              <a:path fill="norm" h="9525" w="6627495" stroke="1">
                                <a:moveTo>
                                  <a:pt x="9525" y="0"/>
                                </a:moveTo>
                                <a:lnTo>
                                  <a:pt x="6617970" y="0"/>
                                </a:lnTo>
                                <a:lnTo>
                                  <a:pt x="6627495"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317" name="Shape 317"/>
                        <wps:cNvSpPr/>
                        <wps:spPr>
                          <a:xfrm>
                            <a:off x="0" y="0"/>
                            <a:ext cx="9525" cy="3162300"/>
                          </a:xfrm>
                          <a:custGeom>
                            <a:avLst/>
                            <a:gdLst/>
                            <a:rect l="0" t="0" r="0" b="0"/>
                            <a:pathLst>
                              <a:path fill="norm" h="3162300" w="9525" stroke="1">
                                <a:moveTo>
                                  <a:pt x="0" y="0"/>
                                </a:moveTo>
                                <a:lnTo>
                                  <a:pt x="9525" y="9525"/>
                                </a:lnTo>
                                <a:lnTo>
                                  <a:pt x="9525" y="3152775"/>
                                </a:lnTo>
                                <a:lnTo>
                                  <a:pt x="0" y="316230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318" name="Shape 318"/>
                        <wps:cNvSpPr/>
                        <wps:spPr>
                          <a:xfrm>
                            <a:off x="6617970" y="0"/>
                            <a:ext cx="9525" cy="3162300"/>
                          </a:xfrm>
                          <a:custGeom>
                            <a:avLst/>
                            <a:gdLst/>
                            <a:rect l="0" t="0" r="0" b="0"/>
                            <a:pathLst>
                              <a:path fill="norm" h="3162300" w="9525" stroke="1">
                                <a:moveTo>
                                  <a:pt x="9525" y="0"/>
                                </a:moveTo>
                                <a:lnTo>
                                  <a:pt x="9525" y="3162300"/>
                                </a:lnTo>
                                <a:lnTo>
                                  <a:pt x="0" y="315277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56" name="Shape 20556"/>
                        <wps:cNvSpPr/>
                        <wps:spPr>
                          <a:xfrm>
                            <a:off x="9525" y="95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57" name="Shape 20557"/>
                        <wps:cNvSpPr/>
                        <wps:spPr>
                          <a:xfrm>
                            <a:off x="9525" y="2095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58" name="Shape 20558"/>
                        <wps:cNvSpPr/>
                        <wps:spPr>
                          <a:xfrm>
                            <a:off x="1501648" y="95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59" name="Shape 20559"/>
                        <wps:cNvSpPr/>
                        <wps:spPr>
                          <a:xfrm>
                            <a:off x="1501648" y="2095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0" name="Shape 20560"/>
                        <wps:cNvSpPr/>
                        <wps:spPr>
                          <a:xfrm>
                            <a:off x="9525" y="2190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1" name="Shape 20561"/>
                        <wps:cNvSpPr/>
                        <wps:spPr>
                          <a:xfrm>
                            <a:off x="9525" y="4191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2" name="Shape 20562"/>
                        <wps:cNvSpPr/>
                        <wps:spPr>
                          <a:xfrm>
                            <a:off x="1501648" y="2190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3" name="Shape 20563"/>
                        <wps:cNvSpPr/>
                        <wps:spPr>
                          <a:xfrm>
                            <a:off x="1501648" y="4191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4" name="Shape 20564"/>
                        <wps:cNvSpPr/>
                        <wps:spPr>
                          <a:xfrm>
                            <a:off x="9525" y="4286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5" name="Shape 20565"/>
                        <wps:cNvSpPr/>
                        <wps:spPr>
                          <a:xfrm>
                            <a:off x="9525" y="6286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6" name="Shape 20566"/>
                        <wps:cNvSpPr/>
                        <wps:spPr>
                          <a:xfrm>
                            <a:off x="1501648" y="4286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7" name="Shape 20567"/>
                        <wps:cNvSpPr/>
                        <wps:spPr>
                          <a:xfrm>
                            <a:off x="1501648" y="6286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8" name="Shape 20568"/>
                        <wps:cNvSpPr/>
                        <wps:spPr>
                          <a:xfrm>
                            <a:off x="9525" y="6381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69" name="Shape 20569"/>
                        <wps:cNvSpPr/>
                        <wps:spPr>
                          <a:xfrm>
                            <a:off x="9525" y="8382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0" name="Shape 20570"/>
                        <wps:cNvSpPr/>
                        <wps:spPr>
                          <a:xfrm>
                            <a:off x="1501648" y="6381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1" name="Shape 20571"/>
                        <wps:cNvSpPr/>
                        <wps:spPr>
                          <a:xfrm>
                            <a:off x="1501648" y="8382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2" name="Shape 20572"/>
                        <wps:cNvSpPr/>
                        <wps:spPr>
                          <a:xfrm>
                            <a:off x="9525" y="8477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3" name="Shape 20573"/>
                        <wps:cNvSpPr/>
                        <wps:spPr>
                          <a:xfrm>
                            <a:off x="9525" y="10477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4" name="Shape 20574"/>
                        <wps:cNvSpPr/>
                        <wps:spPr>
                          <a:xfrm>
                            <a:off x="1501648" y="8477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5" name="Shape 20575"/>
                        <wps:cNvSpPr/>
                        <wps:spPr>
                          <a:xfrm>
                            <a:off x="1501648" y="10477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6" name="Shape 20576"/>
                        <wps:cNvSpPr/>
                        <wps:spPr>
                          <a:xfrm>
                            <a:off x="9525" y="10572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7" name="Shape 20577"/>
                        <wps:cNvSpPr/>
                        <wps:spPr>
                          <a:xfrm>
                            <a:off x="9525" y="12573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8" name="Shape 20578"/>
                        <wps:cNvSpPr/>
                        <wps:spPr>
                          <a:xfrm>
                            <a:off x="1501648" y="10572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79" name="Shape 20579"/>
                        <wps:cNvSpPr/>
                        <wps:spPr>
                          <a:xfrm>
                            <a:off x="1501648" y="12573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0" name="Shape 20580"/>
                        <wps:cNvSpPr/>
                        <wps:spPr>
                          <a:xfrm>
                            <a:off x="9525" y="12668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1" name="Shape 20581"/>
                        <wps:cNvSpPr/>
                        <wps:spPr>
                          <a:xfrm>
                            <a:off x="9525" y="14668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2" name="Shape 20582"/>
                        <wps:cNvSpPr/>
                        <wps:spPr>
                          <a:xfrm>
                            <a:off x="1501648" y="12668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3" name="Shape 20583"/>
                        <wps:cNvSpPr/>
                        <wps:spPr>
                          <a:xfrm>
                            <a:off x="1501648" y="14668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4" name="Shape 20584"/>
                        <wps:cNvSpPr/>
                        <wps:spPr>
                          <a:xfrm>
                            <a:off x="9525" y="14763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5" name="Shape 20585"/>
                        <wps:cNvSpPr/>
                        <wps:spPr>
                          <a:xfrm>
                            <a:off x="9525" y="16764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6" name="Shape 20586"/>
                        <wps:cNvSpPr/>
                        <wps:spPr>
                          <a:xfrm>
                            <a:off x="1501648" y="14763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7" name="Shape 20587"/>
                        <wps:cNvSpPr/>
                        <wps:spPr>
                          <a:xfrm>
                            <a:off x="1501648" y="16764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8" name="Shape 20588"/>
                        <wps:cNvSpPr/>
                        <wps:spPr>
                          <a:xfrm>
                            <a:off x="9525" y="16859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89" name="Shape 20589"/>
                        <wps:cNvSpPr/>
                        <wps:spPr>
                          <a:xfrm>
                            <a:off x="9525" y="18859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0" name="Shape 20590"/>
                        <wps:cNvSpPr/>
                        <wps:spPr>
                          <a:xfrm>
                            <a:off x="1501648" y="16859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1" name="Shape 20591"/>
                        <wps:cNvSpPr/>
                        <wps:spPr>
                          <a:xfrm>
                            <a:off x="1501648" y="18859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2" name="Shape 20592"/>
                        <wps:cNvSpPr/>
                        <wps:spPr>
                          <a:xfrm>
                            <a:off x="9525" y="18954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3" name="Shape 20593"/>
                        <wps:cNvSpPr/>
                        <wps:spPr>
                          <a:xfrm>
                            <a:off x="9525" y="20955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4" name="Shape 20594"/>
                        <wps:cNvSpPr/>
                        <wps:spPr>
                          <a:xfrm>
                            <a:off x="1501648" y="18954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5" name="Shape 20595"/>
                        <wps:cNvSpPr/>
                        <wps:spPr>
                          <a:xfrm>
                            <a:off x="1501648" y="20955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6" name="Shape 20596"/>
                        <wps:cNvSpPr/>
                        <wps:spPr>
                          <a:xfrm>
                            <a:off x="9525" y="21050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7" name="Shape 20597"/>
                        <wps:cNvSpPr/>
                        <wps:spPr>
                          <a:xfrm>
                            <a:off x="9525" y="23050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8" name="Shape 20598"/>
                        <wps:cNvSpPr/>
                        <wps:spPr>
                          <a:xfrm>
                            <a:off x="1501648" y="21050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599" name="Shape 20599"/>
                        <wps:cNvSpPr/>
                        <wps:spPr>
                          <a:xfrm>
                            <a:off x="1501648" y="23050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0" name="Shape 20600"/>
                        <wps:cNvSpPr/>
                        <wps:spPr>
                          <a:xfrm>
                            <a:off x="9525" y="23145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1" name="Shape 20601"/>
                        <wps:cNvSpPr/>
                        <wps:spPr>
                          <a:xfrm>
                            <a:off x="9525" y="25146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2" name="Shape 20602"/>
                        <wps:cNvSpPr/>
                        <wps:spPr>
                          <a:xfrm>
                            <a:off x="1501648" y="23145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3" name="Shape 20603"/>
                        <wps:cNvSpPr/>
                        <wps:spPr>
                          <a:xfrm>
                            <a:off x="1501648" y="25146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4" name="Shape 20604"/>
                        <wps:cNvSpPr/>
                        <wps:spPr>
                          <a:xfrm>
                            <a:off x="9525" y="25241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5" name="Shape 20605"/>
                        <wps:cNvSpPr/>
                        <wps:spPr>
                          <a:xfrm>
                            <a:off x="9525" y="27241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6" name="Shape 20606"/>
                        <wps:cNvSpPr/>
                        <wps:spPr>
                          <a:xfrm>
                            <a:off x="1501648" y="25241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7" name="Shape 20607"/>
                        <wps:cNvSpPr/>
                        <wps:spPr>
                          <a:xfrm>
                            <a:off x="1501648" y="27241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8" name="Shape 20608"/>
                        <wps:cNvSpPr/>
                        <wps:spPr>
                          <a:xfrm>
                            <a:off x="9525" y="273367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09" name="Shape 20609"/>
                        <wps:cNvSpPr/>
                        <wps:spPr>
                          <a:xfrm>
                            <a:off x="9525" y="293370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0" name="Shape 20610"/>
                        <wps:cNvSpPr/>
                        <wps:spPr>
                          <a:xfrm>
                            <a:off x="1501648" y="273367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1" name="Shape 20611"/>
                        <wps:cNvSpPr/>
                        <wps:spPr>
                          <a:xfrm>
                            <a:off x="1501648" y="293370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2" name="Shape 20612"/>
                        <wps:cNvSpPr/>
                        <wps:spPr>
                          <a:xfrm>
                            <a:off x="9525" y="2943225"/>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3" name="Shape 20613"/>
                        <wps:cNvSpPr/>
                        <wps:spPr>
                          <a:xfrm>
                            <a:off x="9525" y="3143250"/>
                            <a:ext cx="1492123" cy="9525"/>
                          </a:xfrm>
                          <a:custGeom>
                            <a:avLst/>
                            <a:gdLst/>
                            <a:rect l="0" t="0" r="0" b="0"/>
                            <a:pathLst>
                              <a:path fill="norm" h="9525" w="1492123" stroke="1">
                                <a:moveTo>
                                  <a:pt x="0" y="0"/>
                                </a:moveTo>
                                <a:lnTo>
                                  <a:pt x="1492123" y="0"/>
                                </a:lnTo>
                                <a:lnTo>
                                  <a:pt x="1492123"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4" name="Shape 20614"/>
                        <wps:cNvSpPr/>
                        <wps:spPr>
                          <a:xfrm>
                            <a:off x="1501648" y="2943225"/>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0615" name="Shape 20615"/>
                        <wps:cNvSpPr/>
                        <wps:spPr>
                          <a:xfrm>
                            <a:off x="1501648" y="3143250"/>
                            <a:ext cx="5116322" cy="9525"/>
                          </a:xfrm>
                          <a:custGeom>
                            <a:avLst/>
                            <a:gdLst/>
                            <a:rect l="0" t="0" r="0" b="0"/>
                            <a:pathLst>
                              <a:path fill="norm" h="9525" w="5116322" stroke="1">
                                <a:moveTo>
                                  <a:pt x="0" y="0"/>
                                </a:moveTo>
                                <a:lnTo>
                                  <a:pt x="5116322" y="0"/>
                                </a:lnTo>
                                <a:lnTo>
                                  <a:pt x="511632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404" name="Rectangle 404"/>
                        <wps:cNvSpPr/>
                        <wps:spPr>
                          <a:xfrm>
                            <a:off x="9525" y="47327"/>
                            <a:ext cx="709422" cy="177356"/>
                          </a:xfrm>
                          <a:prstGeom prst="rect">
                            <a:avLst/>
                          </a:prstGeom>
                          <a:ln>
                            <a:noFill/>
                          </a:ln>
                        </wps:spPr>
                        <wps:txbx>
                          <w:txbxContent>
                            <w:p w:rsidR="00EB2609">
                              <w:pPr>
                                <w:spacing w:after="160" w:line="259" w:lineRule="auto"/>
                                <w:ind w:left="0" w:firstLine="0"/>
                              </w:pPr>
                              <w:r>
                                <w:t>交易品种</w:t>
                              </w:r>
                            </w:p>
                          </w:txbxContent>
                        </wps:txbx>
                        <wps:bodyPr horzOverflow="overflow" vert="horz" lIns="0" tIns="0" rIns="0" bIns="0" rtlCol="0"/>
                      </wps:wsp>
                      <wps:wsp xmlns:wps="http://schemas.microsoft.com/office/word/2010/wordprocessingShape">
                        <wps:cNvPr id="405" name="Rectangle 405"/>
                        <wps:cNvSpPr/>
                        <wps:spPr>
                          <a:xfrm>
                            <a:off x="1501648" y="47327"/>
                            <a:ext cx="532067" cy="177356"/>
                          </a:xfrm>
                          <a:prstGeom prst="rect">
                            <a:avLst/>
                          </a:prstGeom>
                          <a:ln>
                            <a:noFill/>
                          </a:ln>
                        </wps:spPr>
                        <wps:txbx>
                          <w:txbxContent>
                            <w:p w:rsidR="00EB2609">
                              <w:pPr>
                                <w:spacing w:after="160" w:line="259" w:lineRule="auto"/>
                                <w:ind w:left="0" w:firstLine="0"/>
                              </w:pPr>
                              <w:r>
                                <w:t>黄玉米</w:t>
                              </w:r>
                            </w:p>
                          </w:txbxContent>
                        </wps:txbx>
                        <wps:bodyPr horzOverflow="overflow" vert="horz" lIns="0" tIns="0" rIns="0" bIns="0" rtlCol="0"/>
                      </wps:wsp>
                      <wps:wsp xmlns:wps="http://schemas.microsoft.com/office/word/2010/wordprocessingShape">
                        <wps:cNvPr id="406" name="Rectangle 406"/>
                        <wps:cNvSpPr/>
                        <wps:spPr>
                          <a:xfrm>
                            <a:off x="9525" y="256877"/>
                            <a:ext cx="709422" cy="177356"/>
                          </a:xfrm>
                          <a:prstGeom prst="rect">
                            <a:avLst/>
                          </a:prstGeom>
                          <a:ln>
                            <a:noFill/>
                          </a:ln>
                        </wps:spPr>
                        <wps:txbx>
                          <w:txbxContent>
                            <w:p w:rsidR="00EB2609">
                              <w:pPr>
                                <w:spacing w:after="160" w:line="259" w:lineRule="auto"/>
                                <w:ind w:left="0" w:firstLine="0"/>
                              </w:pPr>
                              <w:r>
                                <w:t>交易单位</w:t>
                              </w:r>
                            </w:p>
                          </w:txbxContent>
                        </wps:txbx>
                        <wps:bodyPr horzOverflow="overflow" vert="horz" lIns="0" tIns="0" rIns="0" bIns="0" rtlCol="0"/>
                      </wps:wsp>
                      <wps:wsp xmlns:wps="http://schemas.microsoft.com/office/word/2010/wordprocessingShape">
                        <wps:cNvPr id="16185" name="Rectangle 16185"/>
                        <wps:cNvSpPr/>
                        <wps:spPr>
                          <a:xfrm>
                            <a:off x="1501648" y="256877"/>
                            <a:ext cx="177356" cy="177356"/>
                          </a:xfrm>
                          <a:prstGeom prst="rect">
                            <a:avLst/>
                          </a:prstGeom>
                          <a:ln>
                            <a:noFill/>
                          </a:ln>
                        </wps:spPr>
                        <wps:txbx>
                          <w:txbxContent>
                            <w:p w:rsidR="00EB2609">
                              <w:pPr>
                                <w:spacing w:after="160" w:line="259" w:lineRule="auto"/>
                                <w:ind w:left="0" w:firstLine="0"/>
                              </w:pPr>
                              <w:r>
                                <w:t>10</w:t>
                              </w:r>
                            </w:p>
                          </w:txbxContent>
                        </wps:txbx>
                        <wps:bodyPr horzOverflow="overflow" vert="horz" lIns="0" tIns="0" rIns="0" bIns="0" rtlCol="0"/>
                      </wps:wsp>
                      <wps:wsp xmlns:wps="http://schemas.microsoft.com/office/word/2010/wordprocessingShape">
                        <wps:cNvPr id="16186" name="Rectangle 16186"/>
                        <wps:cNvSpPr/>
                        <wps:spPr>
                          <a:xfrm>
                            <a:off x="1634998" y="256877"/>
                            <a:ext cx="443389" cy="177356"/>
                          </a:xfrm>
                          <a:prstGeom prst="rect">
                            <a:avLst/>
                          </a:prstGeom>
                          <a:ln>
                            <a:noFill/>
                          </a:ln>
                        </wps:spPr>
                        <wps:txbx>
                          <w:txbxContent>
                            <w:p w:rsidR="00EB2609">
                              <w:pPr>
                                <w:spacing w:after="160" w:line="259" w:lineRule="auto"/>
                                <w:ind w:left="0" w:firstLine="0"/>
                              </w:pPr>
                              <w:r>
                                <w:t>吨/手</w:t>
                              </w:r>
                            </w:p>
                          </w:txbxContent>
                        </wps:txbx>
                        <wps:bodyPr horzOverflow="overflow" vert="horz" lIns="0" tIns="0" rIns="0" bIns="0" rtlCol="0"/>
                      </wps:wsp>
                      <wps:wsp xmlns:wps="http://schemas.microsoft.com/office/word/2010/wordprocessingShape">
                        <wps:cNvPr id="408" name="Rectangle 408"/>
                        <wps:cNvSpPr/>
                        <wps:spPr>
                          <a:xfrm>
                            <a:off x="9525" y="466427"/>
                            <a:ext cx="709422" cy="177356"/>
                          </a:xfrm>
                          <a:prstGeom prst="rect">
                            <a:avLst/>
                          </a:prstGeom>
                          <a:ln>
                            <a:noFill/>
                          </a:ln>
                        </wps:spPr>
                        <wps:txbx>
                          <w:txbxContent>
                            <w:p w:rsidR="00EB2609">
                              <w:pPr>
                                <w:spacing w:after="160" w:line="259" w:lineRule="auto"/>
                                <w:ind w:left="0" w:firstLine="0"/>
                              </w:pPr>
                              <w:r>
                                <w:t>报价单位</w:t>
                              </w:r>
                            </w:p>
                          </w:txbxContent>
                        </wps:txbx>
                        <wps:bodyPr horzOverflow="overflow" vert="horz" lIns="0" tIns="0" rIns="0" bIns="0" rtlCol="0"/>
                      </wps:wsp>
                      <wps:wsp xmlns:wps="http://schemas.microsoft.com/office/word/2010/wordprocessingShape">
                        <wps:cNvPr id="409" name="Rectangle 409"/>
                        <wps:cNvSpPr/>
                        <wps:spPr>
                          <a:xfrm>
                            <a:off x="1501648" y="466427"/>
                            <a:ext cx="1152811" cy="177356"/>
                          </a:xfrm>
                          <a:prstGeom prst="rect">
                            <a:avLst/>
                          </a:prstGeom>
                          <a:ln>
                            <a:noFill/>
                          </a:ln>
                        </wps:spPr>
                        <wps:txbx>
                          <w:txbxContent>
                            <w:p w:rsidR="00EB2609">
                              <w:pPr>
                                <w:spacing w:after="160" w:line="259" w:lineRule="auto"/>
                                <w:ind w:left="0" w:firstLine="0"/>
                              </w:pPr>
                              <w:r>
                                <w:t>元(人民币)/吨</w:t>
                              </w:r>
                            </w:p>
                          </w:txbxContent>
                        </wps:txbx>
                        <wps:bodyPr horzOverflow="overflow" vert="horz" lIns="0" tIns="0" rIns="0" bIns="0" rtlCol="0"/>
                      </wps:wsp>
                      <wps:wsp xmlns:wps="http://schemas.microsoft.com/office/word/2010/wordprocessingShape">
                        <wps:cNvPr id="410" name="Rectangle 410"/>
                        <wps:cNvSpPr/>
                        <wps:spPr>
                          <a:xfrm>
                            <a:off x="9525" y="675977"/>
                            <a:ext cx="1064133" cy="177356"/>
                          </a:xfrm>
                          <a:prstGeom prst="rect">
                            <a:avLst/>
                          </a:prstGeom>
                          <a:ln>
                            <a:noFill/>
                          </a:ln>
                        </wps:spPr>
                        <wps:txbx>
                          <w:txbxContent>
                            <w:p w:rsidR="00EB2609">
                              <w:pPr>
                                <w:spacing w:after="160" w:line="259" w:lineRule="auto"/>
                                <w:ind w:left="0" w:firstLine="0"/>
                              </w:pPr>
                              <w:r>
                                <w:t>最小变动价位</w:t>
                              </w:r>
                            </w:p>
                          </w:txbxContent>
                        </wps:txbx>
                        <wps:bodyPr horzOverflow="overflow" vert="horz" lIns="0" tIns="0" rIns="0" bIns="0" rtlCol="0"/>
                      </wps:wsp>
                      <wps:wsp xmlns:wps="http://schemas.microsoft.com/office/word/2010/wordprocessingShape">
                        <wps:cNvPr id="16187" name="Rectangle 16187"/>
                        <wps:cNvSpPr/>
                        <wps:spPr>
                          <a:xfrm>
                            <a:off x="1501648" y="675977"/>
                            <a:ext cx="88678" cy="177356"/>
                          </a:xfrm>
                          <a:prstGeom prst="rect">
                            <a:avLst/>
                          </a:prstGeom>
                          <a:ln>
                            <a:noFill/>
                          </a:ln>
                        </wps:spPr>
                        <wps:txbx>
                          <w:txbxContent>
                            <w:p w:rsidR="00EB2609">
                              <w:pPr>
                                <w:spacing w:after="160" w:line="259" w:lineRule="auto"/>
                                <w:ind w:left="0" w:firstLine="0"/>
                              </w:pPr>
                              <w:r>
                                <w:t>1</w:t>
                              </w:r>
                            </w:p>
                          </w:txbxContent>
                        </wps:txbx>
                        <wps:bodyPr horzOverflow="overflow" vert="horz" lIns="0" tIns="0" rIns="0" bIns="0" rtlCol="0"/>
                      </wps:wsp>
                      <wps:wsp xmlns:wps="http://schemas.microsoft.com/office/word/2010/wordprocessingShape">
                        <wps:cNvPr id="16188" name="Rectangle 16188"/>
                        <wps:cNvSpPr/>
                        <wps:spPr>
                          <a:xfrm>
                            <a:off x="1568323" y="675977"/>
                            <a:ext cx="532067" cy="177356"/>
                          </a:xfrm>
                          <a:prstGeom prst="rect">
                            <a:avLst/>
                          </a:prstGeom>
                          <a:ln>
                            <a:noFill/>
                          </a:ln>
                        </wps:spPr>
                        <wps:txbx>
                          <w:txbxContent>
                            <w:p w:rsidR="00EB2609">
                              <w:pPr>
                                <w:spacing w:after="160" w:line="259" w:lineRule="auto"/>
                                <w:ind w:left="0" w:firstLine="0"/>
                              </w:pPr>
                              <w:r>
                                <w:t xml:space="preserve"> 元/吨</w:t>
                              </w:r>
                            </w:p>
                          </w:txbxContent>
                        </wps:txbx>
                        <wps:bodyPr horzOverflow="overflow" vert="horz" lIns="0" tIns="0" rIns="0" bIns="0" rtlCol="0"/>
                      </wps:wsp>
                      <wps:wsp xmlns:wps="http://schemas.microsoft.com/office/word/2010/wordprocessingShape">
                        <wps:cNvPr id="412" name="Rectangle 412"/>
                        <wps:cNvSpPr/>
                        <wps:spPr>
                          <a:xfrm>
                            <a:off x="9525" y="885527"/>
                            <a:ext cx="1064133" cy="177356"/>
                          </a:xfrm>
                          <a:prstGeom prst="rect">
                            <a:avLst/>
                          </a:prstGeom>
                          <a:ln>
                            <a:noFill/>
                          </a:ln>
                        </wps:spPr>
                        <wps:txbx>
                          <w:txbxContent>
                            <w:p w:rsidR="00EB2609">
                              <w:pPr>
                                <w:spacing w:after="160" w:line="259" w:lineRule="auto"/>
                                <w:ind w:left="0" w:firstLine="0"/>
                              </w:pPr>
                              <w:r>
                                <w:t>涨跌停板幅度</w:t>
                              </w:r>
                            </w:p>
                          </w:txbxContent>
                        </wps:txbx>
                        <wps:bodyPr horzOverflow="overflow" vert="horz" lIns="0" tIns="0" rIns="0" bIns="0" rtlCol="0"/>
                      </wps:wsp>
                      <wps:wsp xmlns:wps="http://schemas.microsoft.com/office/word/2010/wordprocessingShape">
                        <wps:cNvPr id="413" name="Rectangle 413"/>
                        <wps:cNvSpPr/>
                        <wps:spPr>
                          <a:xfrm>
                            <a:off x="1501648" y="885527"/>
                            <a:ext cx="1773555" cy="177356"/>
                          </a:xfrm>
                          <a:prstGeom prst="rect">
                            <a:avLst/>
                          </a:prstGeom>
                          <a:ln>
                            <a:noFill/>
                          </a:ln>
                        </wps:spPr>
                        <wps:txbx>
                          <w:txbxContent>
                            <w:p w:rsidR="00EB2609">
                              <w:pPr>
                                <w:spacing w:after="160" w:line="259" w:lineRule="auto"/>
                                <w:ind w:left="0" w:firstLine="0"/>
                              </w:pPr>
                              <w:r>
                                <w:t>上一交易日结算价的4%</w:t>
                              </w:r>
                            </w:p>
                          </w:txbxContent>
                        </wps:txbx>
                        <wps:bodyPr horzOverflow="overflow" vert="horz" lIns="0" tIns="0" rIns="0" bIns="0" rtlCol="0"/>
                      </wps:wsp>
                      <wps:wsp xmlns:wps="http://schemas.microsoft.com/office/word/2010/wordprocessingShape">
                        <wps:cNvPr id="414" name="Rectangle 414"/>
                        <wps:cNvSpPr/>
                        <wps:spPr>
                          <a:xfrm>
                            <a:off x="9525" y="1095077"/>
                            <a:ext cx="709422" cy="177356"/>
                          </a:xfrm>
                          <a:prstGeom prst="rect">
                            <a:avLst/>
                          </a:prstGeom>
                          <a:ln>
                            <a:noFill/>
                          </a:ln>
                        </wps:spPr>
                        <wps:txbx>
                          <w:txbxContent>
                            <w:p w:rsidR="00EB2609">
                              <w:pPr>
                                <w:spacing w:after="160" w:line="259" w:lineRule="auto"/>
                                <w:ind w:left="0" w:firstLine="0"/>
                              </w:pPr>
                              <w:r>
                                <w:t>合约月份</w:t>
                              </w:r>
                            </w:p>
                          </w:txbxContent>
                        </wps:txbx>
                        <wps:bodyPr horzOverflow="overflow" vert="horz" lIns="0" tIns="0" rIns="0" bIns="0" rtlCol="0"/>
                      </wps:wsp>
                      <wps:wsp xmlns:wps="http://schemas.microsoft.com/office/word/2010/wordprocessingShape">
                        <wps:cNvPr id="16189" name="Rectangle 16189"/>
                        <wps:cNvSpPr/>
                        <wps:spPr>
                          <a:xfrm>
                            <a:off x="1501648" y="1095077"/>
                            <a:ext cx="88678" cy="177356"/>
                          </a:xfrm>
                          <a:prstGeom prst="rect">
                            <a:avLst/>
                          </a:prstGeom>
                          <a:ln>
                            <a:noFill/>
                          </a:ln>
                        </wps:spPr>
                        <wps:txbx>
                          <w:txbxContent>
                            <w:p w:rsidR="00EB2609">
                              <w:pPr>
                                <w:spacing w:after="160" w:line="259" w:lineRule="auto"/>
                                <w:ind w:left="0" w:firstLine="0"/>
                              </w:pPr>
                              <w:r>
                                <w:t>1</w:t>
                              </w:r>
                            </w:p>
                          </w:txbxContent>
                        </wps:txbx>
                        <wps:bodyPr horzOverflow="overflow" vert="horz" lIns="0" tIns="0" rIns="0" bIns="0" rtlCol="0"/>
                      </wps:wsp>
                      <wps:wsp xmlns:wps="http://schemas.microsoft.com/office/word/2010/wordprocessingShape">
                        <wps:cNvPr id="16190" name="Rectangle 16190"/>
                        <wps:cNvSpPr/>
                        <wps:spPr>
                          <a:xfrm>
                            <a:off x="1568323" y="1095077"/>
                            <a:ext cx="1241489" cy="177356"/>
                          </a:xfrm>
                          <a:prstGeom prst="rect">
                            <a:avLst/>
                          </a:prstGeom>
                          <a:ln>
                            <a:noFill/>
                          </a:ln>
                        </wps:spPr>
                        <wps:txbx>
                          <w:txbxContent>
                            <w:p w:rsidR="00EB2609">
                              <w:pPr>
                                <w:spacing w:after="160" w:line="259" w:lineRule="auto"/>
                                <w:ind w:left="0" w:firstLine="0"/>
                              </w:pPr>
                              <w:r>
                                <w:t>,3,5,7,9,11 月</w:t>
                              </w:r>
                            </w:p>
                          </w:txbxContent>
                        </wps:txbx>
                        <wps:bodyPr horzOverflow="overflow" vert="horz" lIns="0" tIns="0" rIns="0" bIns="0" rtlCol="0"/>
                      </wps:wsp>
                      <wps:wsp xmlns:wps="http://schemas.microsoft.com/office/word/2010/wordprocessingShape">
                        <wps:cNvPr id="416" name="Rectangle 416"/>
                        <wps:cNvSpPr/>
                        <wps:spPr>
                          <a:xfrm>
                            <a:off x="9525" y="1304627"/>
                            <a:ext cx="709422" cy="177356"/>
                          </a:xfrm>
                          <a:prstGeom prst="rect">
                            <a:avLst/>
                          </a:prstGeom>
                          <a:ln>
                            <a:noFill/>
                          </a:ln>
                        </wps:spPr>
                        <wps:txbx>
                          <w:txbxContent>
                            <w:p w:rsidR="00EB2609">
                              <w:pPr>
                                <w:spacing w:after="160" w:line="259" w:lineRule="auto"/>
                                <w:ind w:left="0" w:firstLine="0"/>
                              </w:pPr>
                              <w:r>
                                <w:t>交易时间</w:t>
                              </w:r>
                            </w:p>
                          </w:txbxContent>
                        </wps:txbx>
                        <wps:bodyPr horzOverflow="overflow" vert="horz" lIns="0" tIns="0" rIns="0" bIns="0" rtlCol="0"/>
                      </wps:wsp>
                      <wps:wsp xmlns:wps="http://schemas.microsoft.com/office/word/2010/wordprocessingShape">
                        <wps:cNvPr id="417" name="Rectangle 417"/>
                        <wps:cNvSpPr/>
                        <wps:spPr>
                          <a:xfrm>
                            <a:off x="1501648" y="1304627"/>
                            <a:ext cx="3724466" cy="177356"/>
                          </a:xfrm>
                          <a:prstGeom prst="rect">
                            <a:avLst/>
                          </a:prstGeom>
                          <a:ln>
                            <a:noFill/>
                          </a:ln>
                        </wps:spPr>
                        <wps:txbx>
                          <w:txbxContent>
                            <w:p w:rsidR="00EB2609">
                              <w:pPr>
                                <w:spacing w:after="160" w:line="259" w:lineRule="auto"/>
                                <w:ind w:left="0" w:firstLine="0"/>
                              </w:pPr>
                              <w:r>
                                <w:t>每周一至周五上午9:00~11:30,下午13:30~15:00</w:t>
                              </w:r>
                            </w:p>
                          </w:txbxContent>
                        </wps:txbx>
                        <wps:bodyPr horzOverflow="overflow" vert="horz" lIns="0" tIns="0" rIns="0" bIns="0" rtlCol="0"/>
                      </wps:wsp>
                      <wps:wsp xmlns:wps="http://schemas.microsoft.com/office/word/2010/wordprocessingShape">
                        <wps:cNvPr id="418" name="Rectangle 418"/>
                        <wps:cNvSpPr/>
                        <wps:spPr>
                          <a:xfrm>
                            <a:off x="9525" y="1514177"/>
                            <a:ext cx="886778" cy="177356"/>
                          </a:xfrm>
                          <a:prstGeom prst="rect">
                            <a:avLst/>
                          </a:prstGeom>
                          <a:ln>
                            <a:noFill/>
                          </a:ln>
                        </wps:spPr>
                        <wps:txbx>
                          <w:txbxContent>
                            <w:p w:rsidR="00EB2609">
                              <w:pPr>
                                <w:spacing w:after="160" w:line="259" w:lineRule="auto"/>
                                <w:ind w:left="0" w:firstLine="0"/>
                              </w:pPr>
                              <w:r>
                                <w:t>最后交易日</w:t>
                              </w:r>
                            </w:p>
                          </w:txbxContent>
                        </wps:txbx>
                        <wps:bodyPr horzOverflow="overflow" vert="horz" lIns="0" tIns="0" rIns="0" bIns="0" rtlCol="0"/>
                      </wps:wsp>
                      <wps:wsp xmlns:wps="http://schemas.microsoft.com/office/word/2010/wordprocessingShape">
                        <wps:cNvPr id="419" name="Rectangle 419"/>
                        <wps:cNvSpPr/>
                        <wps:spPr>
                          <a:xfrm>
                            <a:off x="1501648" y="1514177"/>
                            <a:ext cx="1773555" cy="177356"/>
                          </a:xfrm>
                          <a:prstGeom prst="rect">
                            <a:avLst/>
                          </a:prstGeom>
                          <a:ln>
                            <a:noFill/>
                          </a:ln>
                        </wps:spPr>
                        <wps:txbx>
                          <w:txbxContent>
                            <w:p w:rsidR="00EB2609">
                              <w:pPr>
                                <w:spacing w:after="160" w:line="259" w:lineRule="auto"/>
                                <w:ind w:left="0" w:firstLine="0"/>
                              </w:pPr>
                              <w:r>
                                <w:t>合约月份第十个交易日</w:t>
                              </w:r>
                            </w:p>
                          </w:txbxContent>
                        </wps:txbx>
                        <wps:bodyPr horzOverflow="overflow" vert="horz" lIns="0" tIns="0" rIns="0" bIns="0" rtlCol="0"/>
                      </wps:wsp>
                      <wps:wsp xmlns:wps="http://schemas.microsoft.com/office/word/2010/wordprocessingShape">
                        <wps:cNvPr id="420" name="Rectangle 420"/>
                        <wps:cNvSpPr/>
                        <wps:spPr>
                          <a:xfrm>
                            <a:off x="9525" y="1723727"/>
                            <a:ext cx="886778" cy="177356"/>
                          </a:xfrm>
                          <a:prstGeom prst="rect">
                            <a:avLst/>
                          </a:prstGeom>
                          <a:ln>
                            <a:noFill/>
                          </a:ln>
                        </wps:spPr>
                        <wps:txbx>
                          <w:txbxContent>
                            <w:p w:rsidR="00EB2609">
                              <w:pPr>
                                <w:spacing w:after="160" w:line="259" w:lineRule="auto"/>
                                <w:ind w:left="0" w:firstLine="0"/>
                              </w:pPr>
                              <w:r>
                                <w:t>最后交割日</w:t>
                              </w:r>
                            </w:p>
                          </w:txbxContent>
                        </wps:txbx>
                        <wps:bodyPr horzOverflow="overflow" vert="horz" lIns="0" tIns="0" rIns="0" bIns="0" rtlCol="0"/>
                      </wps:wsp>
                      <wps:wsp xmlns:wps="http://schemas.microsoft.com/office/word/2010/wordprocessingShape">
                        <wps:cNvPr id="421" name="Rectangle 421"/>
                        <wps:cNvSpPr/>
                        <wps:spPr>
                          <a:xfrm>
                            <a:off x="1501648" y="1723727"/>
                            <a:ext cx="2128266" cy="177356"/>
                          </a:xfrm>
                          <a:prstGeom prst="rect">
                            <a:avLst/>
                          </a:prstGeom>
                          <a:ln>
                            <a:noFill/>
                          </a:ln>
                        </wps:spPr>
                        <wps:txbx>
                          <w:txbxContent>
                            <w:p w:rsidR="00EB2609">
                              <w:pPr>
                                <w:spacing w:after="160" w:line="259" w:lineRule="auto"/>
                                <w:ind w:left="0" w:firstLine="0"/>
                              </w:pPr>
                              <w:r>
                                <w:t>最后交易日后第二个交易日</w:t>
                              </w:r>
                            </w:p>
                          </w:txbxContent>
                        </wps:txbx>
                        <wps:bodyPr horzOverflow="overflow" vert="horz" lIns="0" tIns="0" rIns="0" bIns="0" rtlCol="0"/>
                      </wps:wsp>
                      <wps:wsp xmlns:wps="http://schemas.microsoft.com/office/word/2010/wordprocessingShape">
                        <wps:cNvPr id="422" name="Rectangle 422"/>
                        <wps:cNvSpPr/>
                        <wps:spPr>
                          <a:xfrm>
                            <a:off x="9525" y="1933277"/>
                            <a:ext cx="709422" cy="177356"/>
                          </a:xfrm>
                          <a:prstGeom prst="rect">
                            <a:avLst/>
                          </a:prstGeom>
                          <a:ln>
                            <a:noFill/>
                          </a:ln>
                        </wps:spPr>
                        <wps:txbx>
                          <w:txbxContent>
                            <w:p w:rsidR="00EB2609">
                              <w:pPr>
                                <w:spacing w:after="160" w:line="259" w:lineRule="auto"/>
                                <w:ind w:left="0" w:firstLine="0"/>
                              </w:pPr>
                              <w:r>
                                <w:t>交割等级</w:t>
                              </w:r>
                            </w:p>
                          </w:txbxContent>
                        </wps:txbx>
                        <wps:bodyPr horzOverflow="overflow" vert="horz" lIns="0" tIns="0" rIns="0" bIns="0" rtlCol="0"/>
                      </wps:wsp>
                      <wps:wsp xmlns:wps="http://schemas.microsoft.com/office/word/2010/wordprocessingShape">
                        <wps:cNvPr id="423" name="Rectangle 423"/>
                        <wps:cNvSpPr/>
                        <wps:spPr>
                          <a:xfrm>
                            <a:off x="1501648" y="1933277"/>
                            <a:ext cx="4256532" cy="177356"/>
                          </a:xfrm>
                          <a:prstGeom prst="rect">
                            <a:avLst/>
                          </a:prstGeom>
                          <a:ln>
                            <a:noFill/>
                          </a:ln>
                        </wps:spPr>
                        <wps:txbx>
                          <w:txbxContent>
                            <w:p w:rsidR="00EB2609">
                              <w:pPr>
                                <w:spacing w:after="160" w:line="259" w:lineRule="auto"/>
                                <w:ind w:left="0" w:firstLine="0"/>
                              </w:pPr>
                              <w:r>
                                <w:t>大连商品交易所玉米交割质量标准(FC/DCE D001-2009)</w:t>
                              </w:r>
                            </w:p>
                          </w:txbxContent>
                        </wps:txbx>
                        <wps:bodyPr horzOverflow="overflow" vert="horz" lIns="0" tIns="0" rIns="0" bIns="0" rtlCol="0"/>
                      </wps:wsp>
                      <wps:wsp xmlns:wps="http://schemas.microsoft.com/office/word/2010/wordprocessingShape">
                        <wps:cNvPr id="424" name="Rectangle 424"/>
                        <wps:cNvSpPr/>
                        <wps:spPr>
                          <a:xfrm>
                            <a:off x="9525" y="2142827"/>
                            <a:ext cx="709422" cy="177356"/>
                          </a:xfrm>
                          <a:prstGeom prst="rect">
                            <a:avLst/>
                          </a:prstGeom>
                          <a:ln>
                            <a:noFill/>
                          </a:ln>
                        </wps:spPr>
                        <wps:txbx>
                          <w:txbxContent>
                            <w:p w:rsidR="00EB2609">
                              <w:pPr>
                                <w:spacing w:after="160" w:line="259" w:lineRule="auto"/>
                                <w:ind w:left="0" w:firstLine="0"/>
                              </w:pPr>
                              <w:r>
                                <w:t>交割地点</w:t>
                              </w:r>
                            </w:p>
                          </w:txbxContent>
                        </wps:txbx>
                        <wps:bodyPr horzOverflow="overflow" vert="horz" lIns="0" tIns="0" rIns="0" bIns="0" rtlCol="0"/>
                      </wps:wsp>
                      <wps:wsp xmlns:wps="http://schemas.microsoft.com/office/word/2010/wordprocessingShape">
                        <wps:cNvPr id="425" name="Rectangle 425"/>
                        <wps:cNvSpPr/>
                        <wps:spPr>
                          <a:xfrm>
                            <a:off x="1501648" y="2142827"/>
                            <a:ext cx="2660333" cy="177356"/>
                          </a:xfrm>
                          <a:prstGeom prst="rect">
                            <a:avLst/>
                          </a:prstGeom>
                          <a:ln>
                            <a:noFill/>
                          </a:ln>
                        </wps:spPr>
                        <wps:txbx>
                          <w:txbxContent>
                            <w:p w:rsidR="00EB2609">
                              <w:pPr>
                                <w:spacing w:after="160" w:line="259" w:lineRule="auto"/>
                                <w:ind w:left="0" w:firstLine="0"/>
                              </w:pPr>
                              <w:r>
                                <w:t>大连商品交易所玉米指定交割仓库</w:t>
                              </w:r>
                            </w:p>
                          </w:txbxContent>
                        </wps:txbx>
                        <wps:bodyPr horzOverflow="overflow" vert="horz" lIns="0" tIns="0" rIns="0" bIns="0" rtlCol="0"/>
                      </wps:wsp>
                      <wps:wsp xmlns:wps="http://schemas.microsoft.com/office/word/2010/wordprocessingShape">
                        <wps:cNvPr id="426" name="Rectangle 426"/>
                        <wps:cNvSpPr/>
                        <wps:spPr>
                          <a:xfrm>
                            <a:off x="9525" y="2352377"/>
                            <a:ext cx="1241489" cy="177356"/>
                          </a:xfrm>
                          <a:prstGeom prst="rect">
                            <a:avLst/>
                          </a:prstGeom>
                          <a:ln>
                            <a:noFill/>
                          </a:ln>
                        </wps:spPr>
                        <wps:txbx>
                          <w:txbxContent>
                            <w:p w:rsidR="00EB2609">
                              <w:pPr>
                                <w:spacing w:after="160" w:line="259" w:lineRule="auto"/>
                                <w:ind w:left="0" w:firstLine="0"/>
                              </w:pPr>
                              <w:r>
                                <w:t>最低交易保证金</w:t>
                              </w:r>
                            </w:p>
                          </w:txbxContent>
                        </wps:txbx>
                        <wps:bodyPr horzOverflow="overflow" vert="horz" lIns="0" tIns="0" rIns="0" bIns="0" rtlCol="0"/>
                      </wps:wsp>
                      <wps:wsp xmlns:wps="http://schemas.microsoft.com/office/word/2010/wordprocessingShape">
                        <wps:cNvPr id="427" name="Rectangle 427"/>
                        <wps:cNvSpPr/>
                        <wps:spPr>
                          <a:xfrm>
                            <a:off x="1501648" y="2352377"/>
                            <a:ext cx="1064133" cy="177356"/>
                          </a:xfrm>
                          <a:prstGeom prst="rect">
                            <a:avLst/>
                          </a:prstGeom>
                          <a:ln>
                            <a:noFill/>
                          </a:ln>
                        </wps:spPr>
                        <wps:txbx>
                          <w:txbxContent>
                            <w:p w:rsidR="00EB2609">
                              <w:pPr>
                                <w:spacing w:after="160" w:line="259" w:lineRule="auto"/>
                                <w:ind w:left="0" w:firstLine="0"/>
                              </w:pPr>
                              <w:r>
                                <w:t>合约价值的5%</w:t>
                              </w:r>
                            </w:p>
                          </w:txbxContent>
                        </wps:txbx>
                        <wps:bodyPr horzOverflow="overflow" vert="horz" lIns="0" tIns="0" rIns="0" bIns="0" rtlCol="0"/>
                      </wps:wsp>
                      <wps:wsp xmlns:wps="http://schemas.microsoft.com/office/word/2010/wordprocessingShape">
                        <wps:cNvPr id="428" name="Rectangle 428"/>
                        <wps:cNvSpPr/>
                        <wps:spPr>
                          <a:xfrm>
                            <a:off x="9525" y="2561927"/>
                            <a:ext cx="709422" cy="177356"/>
                          </a:xfrm>
                          <a:prstGeom prst="rect">
                            <a:avLst/>
                          </a:prstGeom>
                          <a:ln>
                            <a:noFill/>
                          </a:ln>
                        </wps:spPr>
                        <wps:txbx>
                          <w:txbxContent>
                            <w:p w:rsidR="00EB2609">
                              <w:pPr>
                                <w:spacing w:after="160" w:line="259" w:lineRule="auto"/>
                                <w:ind w:left="0" w:firstLine="0"/>
                              </w:pPr>
                              <w:r>
                                <w:t>交割方式</w:t>
                              </w:r>
                            </w:p>
                          </w:txbxContent>
                        </wps:txbx>
                        <wps:bodyPr horzOverflow="overflow" vert="horz" lIns="0" tIns="0" rIns="0" bIns="0" rtlCol="0"/>
                      </wps:wsp>
                      <wps:wsp xmlns:wps="http://schemas.microsoft.com/office/word/2010/wordprocessingShape">
                        <wps:cNvPr id="429" name="Rectangle 429"/>
                        <wps:cNvSpPr/>
                        <wps:spPr>
                          <a:xfrm>
                            <a:off x="1501648" y="2561927"/>
                            <a:ext cx="709422" cy="177356"/>
                          </a:xfrm>
                          <a:prstGeom prst="rect">
                            <a:avLst/>
                          </a:prstGeom>
                          <a:ln>
                            <a:noFill/>
                          </a:ln>
                        </wps:spPr>
                        <wps:txbx>
                          <w:txbxContent>
                            <w:p w:rsidR="00EB2609">
                              <w:pPr>
                                <w:spacing w:after="160" w:line="259" w:lineRule="auto"/>
                                <w:ind w:left="0" w:firstLine="0"/>
                              </w:pPr>
                              <w:r>
                                <w:t>实物交割</w:t>
                              </w:r>
                            </w:p>
                          </w:txbxContent>
                        </wps:txbx>
                        <wps:bodyPr horzOverflow="overflow" vert="horz" lIns="0" tIns="0" rIns="0" bIns="0" rtlCol="0"/>
                      </wps:wsp>
                      <wps:wsp xmlns:wps="http://schemas.microsoft.com/office/word/2010/wordprocessingShape">
                        <wps:cNvPr id="430" name="Rectangle 430"/>
                        <wps:cNvSpPr/>
                        <wps:spPr>
                          <a:xfrm>
                            <a:off x="9525" y="2771477"/>
                            <a:ext cx="709422" cy="177356"/>
                          </a:xfrm>
                          <a:prstGeom prst="rect">
                            <a:avLst/>
                          </a:prstGeom>
                          <a:ln>
                            <a:noFill/>
                          </a:ln>
                        </wps:spPr>
                        <wps:txbx>
                          <w:txbxContent>
                            <w:p w:rsidR="00EB2609">
                              <w:pPr>
                                <w:spacing w:after="160" w:line="259" w:lineRule="auto"/>
                                <w:ind w:left="0" w:firstLine="0"/>
                              </w:pPr>
                              <w:r>
                                <w:t>交易代码</w:t>
                              </w:r>
                            </w:p>
                          </w:txbxContent>
                        </wps:txbx>
                        <wps:bodyPr horzOverflow="overflow" vert="horz" lIns="0" tIns="0" rIns="0" bIns="0" rtlCol="0"/>
                      </wps:wsp>
                      <wps:wsp xmlns:wps="http://schemas.microsoft.com/office/word/2010/wordprocessingShape">
                        <wps:cNvPr id="431" name="Rectangle 431"/>
                        <wps:cNvSpPr/>
                        <wps:spPr>
                          <a:xfrm>
                            <a:off x="1501648" y="2771477"/>
                            <a:ext cx="88678" cy="177356"/>
                          </a:xfrm>
                          <a:prstGeom prst="rect">
                            <a:avLst/>
                          </a:prstGeom>
                          <a:ln>
                            <a:noFill/>
                          </a:ln>
                        </wps:spPr>
                        <wps:txbx>
                          <w:txbxContent>
                            <w:p w:rsidR="00EB2609">
                              <w:pPr>
                                <w:spacing w:after="160" w:line="259" w:lineRule="auto"/>
                                <w:ind w:left="0" w:firstLine="0"/>
                              </w:pPr>
                              <w:r>
                                <w:t>C</w:t>
                              </w:r>
                            </w:p>
                          </w:txbxContent>
                        </wps:txbx>
                        <wps:bodyPr horzOverflow="overflow" vert="horz" lIns="0" tIns="0" rIns="0" bIns="0" rtlCol="0"/>
                      </wps:wsp>
                      <wps:wsp xmlns:wps="http://schemas.microsoft.com/office/word/2010/wordprocessingShape">
                        <wps:cNvPr id="432" name="Rectangle 432"/>
                        <wps:cNvSpPr/>
                        <wps:spPr>
                          <a:xfrm>
                            <a:off x="9525" y="2981027"/>
                            <a:ext cx="886778" cy="177356"/>
                          </a:xfrm>
                          <a:prstGeom prst="rect">
                            <a:avLst/>
                          </a:prstGeom>
                          <a:ln>
                            <a:noFill/>
                          </a:ln>
                        </wps:spPr>
                        <wps:txbx>
                          <w:txbxContent>
                            <w:p w:rsidR="00EB2609">
                              <w:pPr>
                                <w:spacing w:after="160" w:line="259" w:lineRule="auto"/>
                                <w:ind w:left="0" w:firstLine="0"/>
                              </w:pPr>
                              <w:r>
                                <w:t>上市交易所</w:t>
                              </w:r>
                            </w:p>
                          </w:txbxContent>
                        </wps:txbx>
                        <wps:bodyPr horzOverflow="overflow" vert="horz" lIns="0" tIns="0" rIns="0" bIns="0" rtlCol="0"/>
                      </wps:wsp>
                      <wps:wsp xmlns:wps="http://schemas.microsoft.com/office/word/2010/wordprocessingShape">
                        <wps:cNvPr id="433" name="Rectangle 433"/>
                        <wps:cNvSpPr/>
                        <wps:spPr>
                          <a:xfrm>
                            <a:off x="1501648" y="2981027"/>
                            <a:ext cx="1241489" cy="177356"/>
                          </a:xfrm>
                          <a:prstGeom prst="rect">
                            <a:avLst/>
                          </a:prstGeom>
                          <a:ln>
                            <a:noFill/>
                          </a:ln>
                        </wps:spPr>
                        <wps:txbx>
                          <w:txbxContent>
                            <w:p w:rsidR="00EB2609">
                              <w:pPr>
                                <w:spacing w:after="160" w:line="259" w:lineRule="auto"/>
                                <w:ind w:left="0" w:firstLine="0"/>
                              </w:pPr>
                              <w:r>
                                <w:t>大连商品交易所</w:t>
                              </w:r>
                            </w:p>
                          </w:txbxContent>
                        </wps:txbx>
                        <wps:bodyPr horzOverflow="overflow" vert="horz" lIns="0" tIns="0" rIns="0" bIns="0" rtlCol="0"/>
                      </wps:wsp>
                      <wps:wsp xmlns:wps="http://schemas.microsoft.com/office/word/2010/wordprocessingShape">
                        <wps:cNvPr id="434" name="Rectangle 434"/>
                        <wps:cNvSpPr/>
                        <wps:spPr>
                          <a:xfrm>
                            <a:off x="0" y="3381077"/>
                            <a:ext cx="2039589" cy="177356"/>
                          </a:xfrm>
                          <a:prstGeom prst="rect">
                            <a:avLst/>
                          </a:prstGeom>
                          <a:ln>
                            <a:noFill/>
                          </a:ln>
                        </wps:spPr>
                        <wps:txbx>
                          <w:txbxContent>
                            <w:p w:rsidR="00EB2609">
                              <w:pPr>
                                <w:spacing w:after="160" w:line="259" w:lineRule="auto"/>
                                <w:ind w:left="0" w:firstLine="0"/>
                              </w:pPr>
                              <w:r>
                                <w:t>（2）玉米期货的标准合约</w:t>
                              </w:r>
                            </w:p>
                          </w:txbxContent>
                        </wps:txbx>
                        <wps:bodyPr horzOverflow="overflow" vert="horz" lIns="0" tIns="0" rIns="0" bIns="0" rtlCol="0"/>
                      </wps:wsp>
                    </wpg:wgp>
                  </a:graphicData>
                </a:graphic>
              </wp:inline>
            </w:drawing>
          </mc:Choice>
          <mc:Fallback>
            <w:pict>
              <v:group id="Group 16328" o:spid="_x0000_i1025" style="width:521.85pt;height:276.73pt;mso-wrap-distance-bottom:0;mso-wrap-distance-left:0;mso-wrap-distance-right:0;mso-wrap-distance-top:0" coordorigin="0,0" coordsize="21600,21600">
                <v:shape id="_x0000_s1026" style="width:21600;height:59;position:absolute;v-text-anchor:top" coordsize="21600,21600" path="m,l21600,l21600,l21569,21600l21569,21600l31,21600l31,21600l,xe" fillcolor="gray" stroked="t">
                  <v:stroke joinstyle="miter"/>
                </v:shape>
                <v:shape id="_x0000_s1027" style="width:21600;height:59;position:absolute;top:19377;v-text-anchor:top" coordsize="21600,21600" path="m31,l21569,l21569,l21600,21600l21600,21600l,21600l,21600l31,xe" fillcolor="gray" stroked="t">
                  <v:stroke joinstyle="miter"/>
                </v:shape>
                <v:shape id="_x0000_s1028" style="width:31;height:19436;position:absolute;v-text-anchor:top" coordsize="21600,21600" path="m,l21600,65l21600,65l21600,21535l21600,21535l,21600l,21600l,xe" fillcolor="gray" stroked="t">
                  <v:stroke joinstyle="miter"/>
                </v:shape>
                <v:shape id="_x0000_s1029" style="width:31;height:19436;left:21569;position:absolute;v-text-anchor:top" coordsize="21600,21600" path="m21600,l21600,21600l21600,21600l,21535l,21535l,65l,65l21600,xe" fillcolor="gray" stroked="t">
                  <v:stroke joinstyle="miter"/>
                </v:shape>
                <v:shape id="_x0000_s1030" style="width:4863;height:59;left:31;position:absolute;top:59;v-text-anchor:top" coordsize="21600,21600" path="m,l21600,l21600,l21600,21600l21600,21600l,21600l,21600l,e" fillcolor="gray" stroked="t">
                  <v:stroke joinstyle="miter"/>
                </v:shape>
                <v:shape id="_x0000_s1031" style="width:4863;height:59;left:31;position:absolute;top:1288;v-text-anchor:top" coordsize="21600,21600" path="m,l21600,l21600,l21600,21600l21600,21600l,21600l,21600l,e" fillcolor="gray" stroked="t">
                  <v:stroke joinstyle="miter"/>
                </v:shape>
                <v:shape id="_x0000_s1032" style="width:16675;height:59;left:4894;position:absolute;top:59;v-text-anchor:top" coordsize="21600,21600" path="m,l21600,l21600,l21600,21600l21600,21600l,21600l,21600l,e" fillcolor="gray" stroked="t">
                  <v:stroke joinstyle="miter"/>
                </v:shape>
                <v:shape id="_x0000_s1033" style="width:16675;height:59;left:4894;position:absolute;top:1288;v-text-anchor:top" coordsize="21600,21600" path="m,l21600,l21600,l21600,21600l21600,21600l,21600l,21600l,e" fillcolor="gray" stroked="t">
                  <v:stroke joinstyle="miter"/>
                </v:shape>
                <v:shape id="_x0000_s1034" style="width:4863;height:59;left:31;position:absolute;top:1346;v-text-anchor:top" coordsize="21600,21600" path="m,l21600,l21600,l21600,21600l21600,21600l,21600l,21600l,e" fillcolor="gray" stroked="t">
                  <v:stroke joinstyle="miter"/>
                </v:shape>
                <v:shape id="_x0000_s1035" style="width:4863;height:59;left:31;position:absolute;top:2576;v-text-anchor:top" coordsize="21600,21600" path="m,l21600,l21600,l21600,21600l21600,21600l,21600l,21600l,e" fillcolor="gray" stroked="t">
                  <v:stroke joinstyle="miter"/>
                </v:shape>
                <v:shape id="_x0000_s1036" style="width:16675;height:59;left:4894;position:absolute;top:1346;v-text-anchor:top" coordsize="21600,21600" path="m,l21600,l21600,l21600,21600l21600,21600l,21600l,21600l,e" fillcolor="gray" stroked="t">
                  <v:stroke joinstyle="miter"/>
                </v:shape>
                <v:shape id="_x0000_s1037" style="width:16675;height:59;left:4894;position:absolute;top:2576;v-text-anchor:top" coordsize="21600,21600" path="m,l21600,l21600,l21600,21600l21600,21600l,21600l,21600l,e" fillcolor="gray" stroked="t">
                  <v:stroke joinstyle="miter"/>
                </v:shape>
                <v:shape id="_x0000_s1038" style="width:4863;height:59;left:31;position:absolute;top:2634;v-text-anchor:top" coordsize="21600,21600" path="m,l21600,l21600,l21600,21600l21600,21600l,21600l,21600l,e" fillcolor="gray" stroked="t">
                  <v:stroke joinstyle="miter"/>
                </v:shape>
                <v:shape id="_x0000_s1039" style="width:4863;height:59;left:31;position:absolute;top:3864;v-text-anchor:top" coordsize="21600,21600" path="m,l21600,l21600,l21600,21600l21600,21600l,21600l,21600l,e" fillcolor="gray" stroked="t">
                  <v:stroke joinstyle="miter"/>
                </v:shape>
                <v:shape id="_x0000_s1040" style="width:16675;height:59;left:4894;position:absolute;top:2634;v-text-anchor:top" coordsize="21600,21600" path="m,l21600,l21600,l21600,21600l21600,21600l,21600l,21600l,e" fillcolor="gray" stroked="t">
                  <v:stroke joinstyle="miter"/>
                </v:shape>
                <v:shape id="_x0000_s1041" style="width:16675;height:59;left:4894;position:absolute;top:3864;v-text-anchor:top" coordsize="21600,21600" path="m,l21600,l21600,l21600,21600l21600,21600l,21600l,21600l,e" fillcolor="gray" stroked="t">
                  <v:stroke joinstyle="miter"/>
                </v:shape>
                <v:shape id="_x0000_s1042" style="width:4863;height:59;left:31;position:absolute;top:3922;v-text-anchor:top" coordsize="21600,21600" path="m,l21600,l21600,l21600,21600l21600,21600l,21600l,21600l,e" fillcolor="gray" stroked="t">
                  <v:stroke joinstyle="miter"/>
                </v:shape>
                <v:shape id="_x0000_s1043" style="width:4863;height:59;left:31;position:absolute;top:5152;v-text-anchor:top" coordsize="21600,21600" path="m,l21600,l21600,l21600,21600l21600,21600l,21600l,21600l,e" fillcolor="gray" stroked="t">
                  <v:stroke joinstyle="miter"/>
                </v:shape>
                <v:shape id="_x0000_s1044" style="width:16675;height:59;left:4894;position:absolute;top:3922;v-text-anchor:top" coordsize="21600,21600" path="m,l21600,l21600,l21600,21600l21600,21600l,21600l,21600l,e" fillcolor="gray" stroked="t">
                  <v:stroke joinstyle="miter"/>
                </v:shape>
                <v:shape id="_x0000_s1045" style="width:16675;height:59;left:4894;position:absolute;top:5152;v-text-anchor:top" coordsize="21600,21600" path="m,l21600,l21600,l21600,21600l21600,21600l,21600l,21600l,e" fillcolor="gray" stroked="t">
                  <v:stroke joinstyle="miter"/>
                </v:shape>
                <v:shape id="_x0000_s1046" style="width:4863;height:59;left:31;position:absolute;top:5210;v-text-anchor:top" coordsize="21600,21600" path="m,l21600,l21600,l21600,21600l21600,21600l,21600l,21600l,e" fillcolor="gray" stroked="t">
                  <v:stroke joinstyle="miter"/>
                </v:shape>
                <v:shape id="_x0000_s1047" style="width:4863;height:59;left:31;position:absolute;top:6440;v-text-anchor:top" coordsize="21600,21600" path="m,l21600,l21600,l21600,21600l21600,21600l,21600l,21600l,e" fillcolor="gray" stroked="t">
                  <v:stroke joinstyle="miter"/>
                </v:shape>
                <v:shape id="_x0000_s1048" style="width:16675;height:59;left:4894;position:absolute;top:5210;v-text-anchor:top" coordsize="21600,21600" path="m,l21600,l21600,l21600,21600l21600,21600l,21600l,21600l,e" fillcolor="gray" stroked="t">
                  <v:stroke joinstyle="miter"/>
                </v:shape>
                <v:shape id="_x0000_s1049" style="width:16675;height:59;left:4894;position:absolute;top:6440;v-text-anchor:top" coordsize="21600,21600" path="m,l21600,l21600,l21600,21600l21600,21600l,21600l,21600l,e" fillcolor="gray" stroked="t">
                  <v:stroke joinstyle="miter"/>
                </v:shape>
                <v:shape id="_x0000_s1050" style="width:4863;height:59;left:31;position:absolute;top:6498;v-text-anchor:top" coordsize="21600,21600" path="m,l21600,l21600,l21600,21600l21600,21600l,21600l,21600l,e" fillcolor="gray" stroked="t">
                  <v:stroke joinstyle="miter"/>
                </v:shape>
                <v:shape id="_x0000_s1051" style="width:4863;height:59;left:31;position:absolute;top:7727;v-text-anchor:top" coordsize="21600,21600" path="m,l21600,l21600,l21600,21600l21600,21600l,21600l,21600l,e" fillcolor="gray" stroked="t">
                  <v:stroke joinstyle="miter"/>
                </v:shape>
                <v:shape id="_x0000_s1052" style="width:16675;height:59;left:4894;position:absolute;top:6498;v-text-anchor:top" coordsize="21600,21600" path="m,l21600,l21600,l21600,21600l21600,21600l,21600l,21600l,e" fillcolor="gray" stroked="t">
                  <v:stroke joinstyle="miter"/>
                </v:shape>
                <v:shape id="_x0000_s1053" style="width:16675;height:59;left:4894;position:absolute;top:7727;v-text-anchor:top" coordsize="21600,21600" path="m,l21600,l21600,l21600,21600l21600,21600l,21600l,21600l,e" fillcolor="gray" stroked="t">
                  <v:stroke joinstyle="miter"/>
                </v:shape>
                <v:shape id="_x0000_s1054" style="width:4863;height:59;left:31;position:absolute;top:7786;v-text-anchor:top" coordsize="21600,21600" path="m,l21600,l21600,l21600,21600l21600,21600l,21600l,21600l,e" fillcolor="gray" stroked="t">
                  <v:stroke joinstyle="miter"/>
                </v:shape>
                <v:shape id="_x0000_s1055" style="width:4863;height:59;left:31;position:absolute;top:9015;v-text-anchor:top" coordsize="21600,21600" path="m,l21600,l21600,l21600,21600l21600,21600l,21600l,21600l,e" fillcolor="gray" stroked="t">
                  <v:stroke joinstyle="miter"/>
                </v:shape>
                <v:shape id="_x0000_s1056" style="width:16675;height:59;left:4894;position:absolute;top:7786;v-text-anchor:top" coordsize="21600,21600" path="m,l21600,l21600,l21600,21600l21600,21600l,21600l,21600l,e" fillcolor="gray" stroked="t">
                  <v:stroke joinstyle="miter"/>
                </v:shape>
                <v:shape id="_x0000_s1057" style="width:16675;height:59;left:4894;position:absolute;top:9015;v-text-anchor:top" coordsize="21600,21600" path="m,l21600,l21600,l21600,21600l21600,21600l,21600l,21600l,e" fillcolor="gray" stroked="t">
                  <v:stroke joinstyle="miter"/>
                </v:shape>
                <v:shape id="_x0000_s1058" style="width:4863;height:59;left:31;position:absolute;top:9074;v-text-anchor:top" coordsize="21600,21600" path="m,l21600,l21600,l21600,21600l21600,21600l,21600l,21600l,e" fillcolor="gray" stroked="t">
                  <v:stroke joinstyle="miter"/>
                </v:shape>
                <v:shape id="_x0000_s1059" style="width:4863;height:59;left:31;position:absolute;top:10303;v-text-anchor:top" coordsize="21600,21600" path="m,l21600,l21600,l21600,21600l21600,21600l,21600l,21600l,e" fillcolor="gray" stroked="t">
                  <v:stroke joinstyle="miter"/>
                </v:shape>
                <v:shape id="_x0000_s1060" style="width:16675;height:59;left:4894;position:absolute;top:9074;v-text-anchor:top" coordsize="21600,21600" path="m,l21600,l21600,l21600,21600l21600,21600l,21600l,21600l,e" fillcolor="gray" stroked="t">
                  <v:stroke joinstyle="miter"/>
                </v:shape>
                <v:shape id="_x0000_s1061" style="width:16675;height:59;left:4894;position:absolute;top:10303;v-text-anchor:top" coordsize="21600,21600" path="m,l21600,l21600,l21600,21600l21600,21600l,21600l,21600l,e" fillcolor="gray" stroked="t">
                  <v:stroke joinstyle="miter"/>
                </v:shape>
                <v:shape id="_x0000_s1062" style="width:4863;height:59;left:31;position:absolute;top:10362;v-text-anchor:top" coordsize="21600,21600" path="m,l21600,l21600,l21600,21600l21600,21600l,21600l,21600l,e" fillcolor="gray" stroked="t">
                  <v:stroke joinstyle="miter"/>
                </v:shape>
                <v:shape id="_x0000_s1063" style="width:4863;height:59;left:31;position:absolute;top:11591;v-text-anchor:top" coordsize="21600,21600" path="m,l21600,l21600,l21600,21600l21600,21600l,21600l,21600l,e" fillcolor="gray" stroked="t">
                  <v:stroke joinstyle="miter"/>
                </v:shape>
                <v:shape id="_x0000_s1064" style="width:16675;height:59;left:4894;position:absolute;top:10362;v-text-anchor:top" coordsize="21600,21600" path="m,l21600,l21600,l21600,21600l21600,21600l,21600l,21600l,e" fillcolor="gray" stroked="t">
                  <v:stroke joinstyle="miter"/>
                </v:shape>
                <v:shape id="_x0000_s1065" style="width:16675;height:59;left:4894;position:absolute;top:11591;v-text-anchor:top" coordsize="21600,21600" path="m,l21600,l21600,l21600,21600l21600,21600l,21600l,21600l,e" fillcolor="gray" stroked="t">
                  <v:stroke joinstyle="miter"/>
                </v:shape>
                <v:shape id="_x0000_s1066" style="width:4863;height:59;left:31;position:absolute;top:11650;v-text-anchor:top" coordsize="21600,21600" path="m,l21600,l21600,l21600,21600l21600,21600l,21600l,21600l,e" fillcolor="gray" stroked="t">
                  <v:stroke joinstyle="miter"/>
                </v:shape>
                <v:shape id="_x0000_s1067" style="width:4863;height:59;left:31;position:absolute;top:12879;v-text-anchor:top" coordsize="21600,21600" path="m,l21600,l21600,l21600,21600l21600,21600l,21600l,21600l,e" fillcolor="gray" stroked="t">
                  <v:stroke joinstyle="miter"/>
                </v:shape>
                <v:shape id="_x0000_s1068" style="width:16675;height:59;left:4894;position:absolute;top:11650;v-text-anchor:top" coordsize="21600,21600" path="m,l21600,l21600,l21600,21600l21600,21600l,21600l,21600l,e" fillcolor="gray" stroked="t">
                  <v:stroke joinstyle="miter"/>
                </v:shape>
                <v:shape id="_x0000_s1069" style="width:16675;height:59;left:4894;position:absolute;top:12879;v-text-anchor:top" coordsize="21600,21600" path="m,l21600,l21600,l21600,21600l21600,21600l,21600l,21600l,e" fillcolor="gray" stroked="t">
                  <v:stroke joinstyle="miter"/>
                </v:shape>
                <v:shape id="_x0000_s1070" style="width:4863;height:59;left:31;position:absolute;top:12938;v-text-anchor:top" coordsize="21600,21600" path="m,l21600,l21600,l21600,21600l21600,21600l,21600l,21600l,e" fillcolor="gray" stroked="t">
                  <v:stroke joinstyle="miter"/>
                </v:shape>
                <v:shape id="_x0000_s1071" style="width:4863;height:59;left:31;position:absolute;top:14167;v-text-anchor:top" coordsize="21600,21600" path="m,l21600,l21600,l21600,21600l21600,21600l,21600l,21600l,e" fillcolor="gray" stroked="t">
                  <v:stroke joinstyle="miter"/>
                </v:shape>
                <v:shape id="_x0000_s1072" style="width:16675;height:59;left:4894;position:absolute;top:12938;v-text-anchor:top" coordsize="21600,21600" path="m,l21600,l21600,l21600,21600l21600,21600l,21600l,21600l,e" fillcolor="gray" stroked="t">
                  <v:stroke joinstyle="miter"/>
                </v:shape>
                <v:shape id="_x0000_s1073" style="width:16675;height:59;left:4894;position:absolute;top:14167;v-text-anchor:top" coordsize="21600,21600" path="m,l21600,l21600,l21600,21600l21600,21600l,21600l,21600l,e" fillcolor="gray" stroked="t">
                  <v:stroke joinstyle="miter"/>
                </v:shape>
                <v:shape id="_x0000_s1074" style="width:4863;height:59;left:31;position:absolute;top:14226;v-text-anchor:top" coordsize="21600,21600" path="m,l21600,l21600,l21600,21600l21600,21600l,21600l,21600l,e" fillcolor="gray" stroked="t">
                  <v:stroke joinstyle="miter"/>
                </v:shape>
                <v:shape id="_x0000_s1075" style="width:4863;height:59;left:31;position:absolute;top:15455;v-text-anchor:top" coordsize="21600,21600" path="m,l21600,l21600,l21600,21600l21600,21600l,21600l,21600l,e" fillcolor="gray" stroked="t">
                  <v:stroke joinstyle="miter"/>
                </v:shape>
                <v:shape id="_x0000_s1076" style="width:16675;height:59;left:4894;position:absolute;top:14226;v-text-anchor:top" coordsize="21600,21600" path="m,l21600,l21600,l21600,21600l21600,21600l,21600l,21600l,e" fillcolor="gray" stroked="t">
                  <v:stroke joinstyle="miter"/>
                </v:shape>
                <v:shape id="_x0000_s1077" style="width:16675;height:59;left:4894;position:absolute;top:15455;v-text-anchor:top" coordsize="21600,21600" path="m,l21600,l21600,l21600,21600l21600,21600l,21600l,21600l,e" fillcolor="gray" stroked="t">
                  <v:stroke joinstyle="miter"/>
                </v:shape>
                <v:shape id="_x0000_s1078" style="width:4863;height:59;left:31;position:absolute;top:15514;v-text-anchor:top" coordsize="21600,21600" path="m,l21600,l21600,l21600,21600l21600,21600l,21600l,21600l,e" fillcolor="gray" stroked="t">
                  <v:stroke joinstyle="miter"/>
                </v:shape>
                <v:shape id="_x0000_s1079" style="width:4863;height:59;left:31;position:absolute;top:16743;v-text-anchor:top" coordsize="21600,21600" path="m,l21600,l21600,l21600,21600l21600,21600l,21600l,21600l,e" fillcolor="gray" stroked="t">
                  <v:stroke joinstyle="miter"/>
                </v:shape>
                <v:shape id="_x0000_s1080" style="width:16675;height:59;left:4894;position:absolute;top:15514;v-text-anchor:top" coordsize="21600,21600" path="m,l21600,l21600,l21600,21600l21600,21600l,21600l,21600l,e" fillcolor="gray" stroked="t">
                  <v:stroke joinstyle="miter"/>
                </v:shape>
                <v:shape id="_x0000_s1081" style="width:16675;height:59;left:4894;position:absolute;top:16743;v-text-anchor:top" coordsize="21600,21600" path="m,l21600,l21600,l21600,21600l21600,21600l,21600l,21600l,e" fillcolor="gray" stroked="t">
                  <v:stroke joinstyle="miter"/>
                </v:shape>
                <v:shape id="_x0000_s1082" style="width:4863;height:59;left:31;position:absolute;top:16801;v-text-anchor:top" coordsize="21600,21600" path="m,l21600,l21600,l21600,21600l21600,21600l,21600l,21600l,e" fillcolor="gray" stroked="t">
                  <v:stroke joinstyle="miter"/>
                </v:shape>
                <v:shape id="_x0000_s1083" style="width:4863;height:59;left:31;position:absolute;top:18031;v-text-anchor:top" coordsize="21600,21600" path="m,l21600,l21600,l21600,21600l21600,21600l,21600l,21600l,e" fillcolor="gray" stroked="t">
                  <v:stroke joinstyle="miter"/>
                </v:shape>
                <v:shape id="_x0000_s1084" style="width:16675;height:59;left:4894;position:absolute;top:16801;v-text-anchor:top" coordsize="21600,21600" path="m,l21600,l21600,l21600,21600l21600,21600l,21600l,21600l,e" fillcolor="gray" stroked="t">
                  <v:stroke joinstyle="miter"/>
                </v:shape>
                <v:shape id="_x0000_s1085" style="width:16675;height:59;left:4894;position:absolute;top:18031;v-text-anchor:top" coordsize="21600,21600" path="m,l21600,l21600,l21600,21600l21600,21600l,21600l,21600l,e" fillcolor="gray" stroked="t">
                  <v:stroke joinstyle="miter"/>
                </v:shape>
                <v:shape id="_x0000_s1086" style="width:4863;height:59;left:31;position:absolute;top:18089;v-text-anchor:top" coordsize="21600,21600" path="m,l21600,l21600,l21600,21600l21600,21600l,21600l,21600l,e" fillcolor="gray" stroked="t">
                  <v:stroke joinstyle="miter"/>
                </v:shape>
                <v:shape id="_x0000_s1087" style="width:4863;height:59;left:31;position:absolute;top:19319;v-text-anchor:top" coordsize="21600,21600" path="m,l21600,l21600,l21600,21600l21600,21600l,21600l,21600l,e" fillcolor="gray" stroked="t">
                  <v:stroke joinstyle="miter"/>
                </v:shape>
                <v:shape id="_x0000_s1088" style="width:16675;height:59;left:4894;position:absolute;top:18089;v-text-anchor:top" coordsize="21600,21600" path="m,l21600,l21600,l21600,21600l21600,21600l,21600l,21600l,e" fillcolor="gray" stroked="t">
                  <v:stroke joinstyle="miter"/>
                </v:shape>
                <v:shape id="_x0000_s1089" style="width:16675;height:59;left:4894;position:absolute;top:19319;v-text-anchor:top" coordsize="21600,21600" path="m,l21600,l21600,l21600,21600l21600,21600l,21600l,21600l,e" fillcolor="gray" stroked="t">
                  <v:stroke joinstyle="miter"/>
                </v:shape>
                <v:shapetype id="_x0000_t202" coordsize="21600,21600" o:spt="202" path="m,l,21600r21600,l21600,xe">
                  <v:stroke joinstyle="miter"/>
                  <v:path gradientshapeok="t" o:connecttype="rect"/>
                </v:shapetype>
                <v:shape id="_x0000_s1090" type="#_x0000_t202" style="width:2312;height:1090;left:31;position:absolute;top:291;v-text-anchor:top" fillcolor="this" stroked="f">
                  <v:textbox inset="0,0,0,0">
                    <w:txbxContent>
                      <w:p w:rsidR="00EB2609">
                        <w:pPr>
                          <w:spacing w:after="160" w:line="259" w:lineRule="auto"/>
                          <w:ind w:left="0" w:firstLine="0"/>
                        </w:pPr>
                        <w:r>
                          <w:t>交易品种</w:t>
                        </w:r>
                      </w:p>
                    </w:txbxContent>
                  </v:textbox>
                </v:shape>
                <v:shape id="_x0000_s1091" type="#_x0000_t202" style="width:1734;height:1090;left:4894;position:absolute;top:291;v-text-anchor:top" fillcolor="this" stroked="f">
                  <v:textbox inset="0,0,0,0">
                    <w:txbxContent>
                      <w:p w:rsidR="00EB2609">
                        <w:pPr>
                          <w:spacing w:after="160" w:line="259" w:lineRule="auto"/>
                          <w:ind w:left="0" w:firstLine="0"/>
                        </w:pPr>
                        <w:r>
                          <w:t>黄玉米</w:t>
                        </w:r>
                      </w:p>
                    </w:txbxContent>
                  </v:textbox>
                </v:shape>
                <v:shape id="_x0000_s1092" type="#_x0000_t202" style="width:2312;height:1090;left:31;position:absolute;top:1579;v-text-anchor:top" fillcolor="this" stroked="f">
                  <v:textbox inset="0,0,0,0">
                    <w:txbxContent>
                      <w:p w:rsidR="00EB2609">
                        <w:pPr>
                          <w:spacing w:after="160" w:line="259" w:lineRule="auto"/>
                          <w:ind w:left="0" w:firstLine="0"/>
                        </w:pPr>
                        <w:r>
                          <w:t>交易单位</w:t>
                        </w:r>
                      </w:p>
                    </w:txbxContent>
                  </v:textbox>
                </v:shape>
                <v:shape id="_x0000_s1093" type="#_x0000_t202" style="width:578;height:1090;left:4894;position:absolute;top:1579;v-text-anchor:top" fillcolor="this" stroked="f">
                  <v:textbox inset="0,0,0,0">
                    <w:txbxContent>
                      <w:p w:rsidR="00EB2609">
                        <w:pPr>
                          <w:spacing w:after="160" w:line="259" w:lineRule="auto"/>
                          <w:ind w:left="0" w:firstLine="0"/>
                        </w:pPr>
                        <w:r>
                          <w:t>10</w:t>
                        </w:r>
                      </w:p>
                    </w:txbxContent>
                  </v:textbox>
                </v:shape>
                <v:shape id="_x0000_s1094" type="#_x0000_t202" style="width:1445;height:1090;left:5329;position:absolute;top:1579;v-text-anchor:top" fillcolor="this" stroked="f">
                  <v:textbox inset="0,0,0,0">
                    <w:txbxContent>
                      <w:p w:rsidR="00EB2609">
                        <w:pPr>
                          <w:spacing w:after="160" w:line="259" w:lineRule="auto"/>
                          <w:ind w:left="0" w:firstLine="0"/>
                        </w:pPr>
                        <w:r>
                          <w:t>吨/手</w:t>
                        </w:r>
                      </w:p>
                    </w:txbxContent>
                  </v:textbox>
                </v:shape>
                <v:shape id="_x0000_s1095" type="#_x0000_t202" style="width:2312;height:1090;left:31;position:absolute;top:2867;v-text-anchor:top" fillcolor="this" stroked="f">
                  <v:textbox inset="0,0,0,0">
                    <w:txbxContent>
                      <w:p w:rsidR="00EB2609">
                        <w:pPr>
                          <w:spacing w:after="160" w:line="259" w:lineRule="auto"/>
                          <w:ind w:left="0" w:firstLine="0"/>
                        </w:pPr>
                        <w:r>
                          <w:t>报价单位</w:t>
                        </w:r>
                      </w:p>
                    </w:txbxContent>
                  </v:textbox>
                </v:shape>
                <v:shape id="_x0000_s1096" type="#_x0000_t202" style="width:3757;height:1090;left:4894;position:absolute;top:2867;v-text-anchor:top" fillcolor="this" stroked="f">
                  <v:textbox inset="0,0,0,0">
                    <w:txbxContent>
                      <w:p w:rsidR="00EB2609">
                        <w:pPr>
                          <w:spacing w:after="160" w:line="259" w:lineRule="auto"/>
                          <w:ind w:left="0" w:firstLine="0"/>
                        </w:pPr>
                        <w:r>
                          <w:t>元(人民币)/吨</w:t>
                        </w:r>
                      </w:p>
                    </w:txbxContent>
                  </v:textbox>
                </v:shape>
                <v:shape id="_x0000_s1097" type="#_x0000_t202" style="width:3468;height:1090;left:31;position:absolute;top:4155;v-text-anchor:top" fillcolor="this" stroked="f">
                  <v:textbox inset="0,0,0,0">
                    <w:txbxContent>
                      <w:p w:rsidR="00EB2609">
                        <w:pPr>
                          <w:spacing w:after="160" w:line="259" w:lineRule="auto"/>
                          <w:ind w:left="0" w:firstLine="0"/>
                        </w:pPr>
                        <w:r>
                          <w:t>最小变动价位</w:t>
                        </w:r>
                      </w:p>
                    </w:txbxContent>
                  </v:textbox>
                </v:shape>
                <v:shape id="_x0000_s1098" type="#_x0000_t202" style="width:289;height:1090;left:4894;position:absolute;top:4155;v-text-anchor:top" fillcolor="this" stroked="f">
                  <v:textbox inset="0,0,0,0">
                    <w:txbxContent>
                      <w:p w:rsidR="00EB2609">
                        <w:pPr>
                          <w:spacing w:after="160" w:line="259" w:lineRule="auto"/>
                          <w:ind w:left="0" w:firstLine="0"/>
                        </w:pPr>
                        <w:r>
                          <w:t>1</w:t>
                        </w:r>
                      </w:p>
                    </w:txbxContent>
                  </v:textbox>
                </v:shape>
                <v:shape id="_x0000_s1099" type="#_x0000_t202" style="width:1734;height:1090;left:5111;position:absolute;top:4155;v-text-anchor:top" fillcolor="this" stroked="f">
                  <v:textbox inset="0,0,0,0">
                    <w:txbxContent>
                      <w:p w:rsidR="00EB2609">
                        <w:pPr>
                          <w:spacing w:after="160" w:line="259" w:lineRule="auto"/>
                          <w:ind w:left="0" w:firstLine="0"/>
                        </w:pPr>
                        <w:r>
                          <w:t xml:space="preserve"> 元/吨</w:t>
                        </w:r>
                      </w:p>
                    </w:txbxContent>
                  </v:textbox>
                </v:shape>
                <v:shape id="_x0000_s1100" type="#_x0000_t202" style="width:3468;height:1090;left:31;position:absolute;top:5443;v-text-anchor:top" fillcolor="this" stroked="f">
                  <v:textbox inset="0,0,0,0">
                    <w:txbxContent>
                      <w:p w:rsidR="00EB2609">
                        <w:pPr>
                          <w:spacing w:after="160" w:line="259" w:lineRule="auto"/>
                          <w:ind w:left="0" w:firstLine="0"/>
                        </w:pPr>
                        <w:r>
                          <w:t>涨跌停板幅度</w:t>
                        </w:r>
                      </w:p>
                    </w:txbxContent>
                  </v:textbox>
                </v:shape>
                <v:shape id="_x0000_s1101" type="#_x0000_t202" style="width:5780;height:1090;left:4894;position:absolute;top:5443;v-text-anchor:top" fillcolor="this" stroked="f">
                  <v:textbox inset="0,0,0,0">
                    <w:txbxContent>
                      <w:p w:rsidR="00EB2609">
                        <w:pPr>
                          <w:spacing w:after="160" w:line="259" w:lineRule="auto"/>
                          <w:ind w:left="0" w:firstLine="0"/>
                        </w:pPr>
                        <w:r>
                          <w:t>上一交易日结算价的4%</w:t>
                        </w:r>
                      </w:p>
                    </w:txbxContent>
                  </v:textbox>
                </v:shape>
                <v:shape id="_x0000_s1102" type="#_x0000_t202" style="width:2312;height:1090;left:31;position:absolute;top:6730;v-text-anchor:top" fillcolor="this" stroked="f">
                  <v:textbox inset="0,0,0,0">
                    <w:txbxContent>
                      <w:p w:rsidR="00EB2609">
                        <w:pPr>
                          <w:spacing w:after="160" w:line="259" w:lineRule="auto"/>
                          <w:ind w:left="0" w:firstLine="0"/>
                        </w:pPr>
                        <w:r>
                          <w:t>合约月份</w:t>
                        </w:r>
                      </w:p>
                    </w:txbxContent>
                  </v:textbox>
                </v:shape>
                <v:shape id="_x0000_s1103" type="#_x0000_t202" style="width:289;height:1090;left:4894;position:absolute;top:6730;v-text-anchor:top" fillcolor="this" stroked="f">
                  <v:textbox inset="0,0,0,0">
                    <w:txbxContent>
                      <w:p w:rsidR="00EB2609">
                        <w:pPr>
                          <w:spacing w:after="160" w:line="259" w:lineRule="auto"/>
                          <w:ind w:left="0" w:firstLine="0"/>
                        </w:pPr>
                        <w:r>
                          <w:t>1</w:t>
                        </w:r>
                      </w:p>
                    </w:txbxContent>
                  </v:textbox>
                </v:shape>
                <v:shape id="_x0000_s1104" type="#_x0000_t202" style="width:4046;height:1090;left:5111;position:absolute;top:6730;v-text-anchor:top" fillcolor="this" stroked="f">
                  <v:textbox inset="0,0,0,0">
                    <w:txbxContent>
                      <w:p w:rsidR="00EB2609">
                        <w:pPr>
                          <w:spacing w:after="160" w:line="259" w:lineRule="auto"/>
                          <w:ind w:left="0" w:firstLine="0"/>
                        </w:pPr>
                        <w:r>
                          <w:t>,3,5,7,9,11 月</w:t>
                        </w:r>
                      </w:p>
                    </w:txbxContent>
                  </v:textbox>
                </v:shape>
                <v:shape id="_x0000_s1105" type="#_x0000_t202" style="width:2312;height:1090;left:31;position:absolute;top:8018;v-text-anchor:top" fillcolor="this" stroked="f">
                  <v:textbox inset="0,0,0,0">
                    <w:txbxContent>
                      <w:p w:rsidR="00EB2609">
                        <w:pPr>
                          <w:spacing w:after="160" w:line="259" w:lineRule="auto"/>
                          <w:ind w:left="0" w:firstLine="0"/>
                        </w:pPr>
                        <w:r>
                          <w:t>交易时间</w:t>
                        </w:r>
                      </w:p>
                    </w:txbxContent>
                  </v:textbox>
                </v:shape>
                <v:shape id="_x0000_s1106" type="#_x0000_t202" style="width:12139;height:1090;left:4894;position:absolute;top:8018;v-text-anchor:top" fillcolor="this" stroked="f">
                  <v:textbox inset="0,0,0,0">
                    <w:txbxContent>
                      <w:p w:rsidR="00EB2609">
                        <w:pPr>
                          <w:spacing w:after="160" w:line="259" w:lineRule="auto"/>
                          <w:ind w:left="0" w:firstLine="0"/>
                        </w:pPr>
                        <w:r>
                          <w:t>每周一至周五上午9:00~11:30,下午13:30~15:00</w:t>
                        </w:r>
                      </w:p>
                    </w:txbxContent>
                  </v:textbox>
                </v:shape>
                <v:shape id="_x0000_s1107" type="#_x0000_t202" style="width:2890;height:1090;left:31;position:absolute;top:9306;v-text-anchor:top" fillcolor="this" stroked="f">
                  <v:textbox inset="0,0,0,0">
                    <w:txbxContent>
                      <w:p w:rsidR="00EB2609">
                        <w:pPr>
                          <w:spacing w:after="160" w:line="259" w:lineRule="auto"/>
                          <w:ind w:left="0" w:firstLine="0"/>
                        </w:pPr>
                        <w:r>
                          <w:t>最后交易日</w:t>
                        </w:r>
                      </w:p>
                    </w:txbxContent>
                  </v:textbox>
                </v:shape>
                <v:shape id="_x0000_s1108" type="#_x0000_t202" style="width:5780;height:1090;left:4894;position:absolute;top:9306;v-text-anchor:top" fillcolor="this" stroked="f">
                  <v:textbox inset="0,0,0,0">
                    <w:txbxContent>
                      <w:p w:rsidR="00EB2609">
                        <w:pPr>
                          <w:spacing w:after="160" w:line="259" w:lineRule="auto"/>
                          <w:ind w:left="0" w:firstLine="0"/>
                        </w:pPr>
                        <w:r>
                          <w:t>合约月份第十个交易日</w:t>
                        </w:r>
                      </w:p>
                    </w:txbxContent>
                  </v:textbox>
                </v:shape>
                <v:shape id="_x0000_s1109" type="#_x0000_t202" style="width:2890;height:1090;left:31;position:absolute;top:10594;v-text-anchor:top" fillcolor="this" stroked="f">
                  <v:textbox inset="0,0,0,0">
                    <w:txbxContent>
                      <w:p w:rsidR="00EB2609">
                        <w:pPr>
                          <w:spacing w:after="160" w:line="259" w:lineRule="auto"/>
                          <w:ind w:left="0" w:firstLine="0"/>
                        </w:pPr>
                        <w:r>
                          <w:t>最后交割日</w:t>
                        </w:r>
                      </w:p>
                    </w:txbxContent>
                  </v:textbox>
                </v:shape>
                <v:shape id="_x0000_s1110" type="#_x0000_t202" style="width:6936;height:1090;left:4894;position:absolute;top:10594;v-text-anchor:top" fillcolor="this" stroked="f">
                  <v:textbox inset="0,0,0,0">
                    <w:txbxContent>
                      <w:p w:rsidR="00EB2609">
                        <w:pPr>
                          <w:spacing w:after="160" w:line="259" w:lineRule="auto"/>
                          <w:ind w:left="0" w:firstLine="0"/>
                        </w:pPr>
                        <w:r>
                          <w:t>最后交易日后第二个交易日</w:t>
                        </w:r>
                      </w:p>
                    </w:txbxContent>
                  </v:textbox>
                </v:shape>
                <v:shape id="_x0000_s1111" type="#_x0000_t202" style="width:2312;height:1090;left:31;position:absolute;top:11882;v-text-anchor:top" fillcolor="this" stroked="f">
                  <v:textbox inset="0,0,0,0">
                    <w:txbxContent>
                      <w:p w:rsidR="00EB2609">
                        <w:pPr>
                          <w:spacing w:after="160" w:line="259" w:lineRule="auto"/>
                          <w:ind w:left="0" w:firstLine="0"/>
                        </w:pPr>
                        <w:r>
                          <w:t>交割等级</w:t>
                        </w:r>
                      </w:p>
                    </w:txbxContent>
                  </v:textbox>
                </v:shape>
                <v:shape id="_x0000_s1112" type="#_x0000_t202" style="width:13873;height:1090;left:4894;position:absolute;top:11882;v-text-anchor:top" fillcolor="this" stroked="f">
                  <v:textbox inset="0,0,0,0">
                    <w:txbxContent>
                      <w:p w:rsidR="00EB2609">
                        <w:pPr>
                          <w:spacing w:after="160" w:line="259" w:lineRule="auto"/>
                          <w:ind w:left="0" w:firstLine="0"/>
                        </w:pPr>
                        <w:r>
                          <w:t>大连商品交易所玉米交割质量标准(FC/DCE D001-2009)</w:t>
                        </w:r>
                      </w:p>
                    </w:txbxContent>
                  </v:textbox>
                </v:shape>
                <v:shape id="_x0000_s1113" type="#_x0000_t202" style="width:2312;height:1090;left:31;position:absolute;top:13170;v-text-anchor:top" fillcolor="this" stroked="f">
                  <v:textbox inset="0,0,0,0">
                    <w:txbxContent>
                      <w:p w:rsidR="00EB2609">
                        <w:pPr>
                          <w:spacing w:after="160" w:line="259" w:lineRule="auto"/>
                          <w:ind w:left="0" w:firstLine="0"/>
                        </w:pPr>
                        <w:r>
                          <w:t>交割地点</w:t>
                        </w:r>
                      </w:p>
                    </w:txbxContent>
                  </v:textbox>
                </v:shape>
                <v:shape id="_x0000_s1114" type="#_x0000_t202" style="width:8670;height:1090;left:4894;position:absolute;top:13170;v-text-anchor:top" fillcolor="this" stroked="f">
                  <v:textbox inset="0,0,0,0">
                    <w:txbxContent>
                      <w:p w:rsidR="00EB2609">
                        <w:pPr>
                          <w:spacing w:after="160" w:line="259" w:lineRule="auto"/>
                          <w:ind w:left="0" w:firstLine="0"/>
                        </w:pPr>
                        <w:r>
                          <w:t>大连商品交易所玉米指定交割仓库</w:t>
                        </w:r>
                      </w:p>
                    </w:txbxContent>
                  </v:textbox>
                </v:shape>
                <v:shape id="_x0000_s1115" type="#_x0000_t202" style="width:4046;height:1090;left:31;position:absolute;top:14458;v-text-anchor:top" fillcolor="this" stroked="f">
                  <v:textbox inset="0,0,0,0">
                    <w:txbxContent>
                      <w:p w:rsidR="00EB2609">
                        <w:pPr>
                          <w:spacing w:after="160" w:line="259" w:lineRule="auto"/>
                          <w:ind w:left="0" w:firstLine="0"/>
                        </w:pPr>
                        <w:r>
                          <w:t>最低交易保证金</w:t>
                        </w:r>
                      </w:p>
                    </w:txbxContent>
                  </v:textbox>
                </v:shape>
                <v:shape id="_x0000_s1116" type="#_x0000_t202" style="width:3468;height:1090;left:4894;position:absolute;top:14458;v-text-anchor:top" fillcolor="this" stroked="f">
                  <v:textbox inset="0,0,0,0">
                    <w:txbxContent>
                      <w:p w:rsidR="00EB2609">
                        <w:pPr>
                          <w:spacing w:after="160" w:line="259" w:lineRule="auto"/>
                          <w:ind w:left="0" w:firstLine="0"/>
                        </w:pPr>
                        <w:r>
                          <w:t>合约价值的5%</w:t>
                        </w:r>
                      </w:p>
                    </w:txbxContent>
                  </v:textbox>
                </v:shape>
                <v:shape id="_x0000_s1117" type="#_x0000_t202" style="width:2312;height:1090;left:31;position:absolute;top:15746;v-text-anchor:top" fillcolor="this" stroked="f">
                  <v:textbox inset="0,0,0,0">
                    <w:txbxContent>
                      <w:p w:rsidR="00EB2609">
                        <w:pPr>
                          <w:spacing w:after="160" w:line="259" w:lineRule="auto"/>
                          <w:ind w:left="0" w:firstLine="0"/>
                        </w:pPr>
                        <w:r>
                          <w:t>交割方式</w:t>
                        </w:r>
                      </w:p>
                    </w:txbxContent>
                  </v:textbox>
                </v:shape>
                <v:shape id="_x0000_s1118" type="#_x0000_t202" style="width:2312;height:1090;left:4894;position:absolute;top:15746;v-text-anchor:top" fillcolor="this" stroked="f">
                  <v:textbox inset="0,0,0,0">
                    <w:txbxContent>
                      <w:p w:rsidR="00EB2609">
                        <w:pPr>
                          <w:spacing w:after="160" w:line="259" w:lineRule="auto"/>
                          <w:ind w:left="0" w:firstLine="0"/>
                        </w:pPr>
                        <w:r>
                          <w:t>实物交割</w:t>
                        </w:r>
                      </w:p>
                    </w:txbxContent>
                  </v:textbox>
                </v:shape>
                <v:shape id="_x0000_s1119" type="#_x0000_t202" style="width:2312;height:1090;left:31;position:absolute;top:17034;v-text-anchor:top" fillcolor="this" stroked="f">
                  <v:textbox inset="0,0,0,0">
                    <w:txbxContent>
                      <w:p w:rsidR="00EB2609">
                        <w:pPr>
                          <w:spacing w:after="160" w:line="259" w:lineRule="auto"/>
                          <w:ind w:left="0" w:firstLine="0"/>
                        </w:pPr>
                        <w:r>
                          <w:t>交易代码</w:t>
                        </w:r>
                      </w:p>
                    </w:txbxContent>
                  </v:textbox>
                </v:shape>
                <v:shape id="_x0000_s1120" type="#_x0000_t202" style="width:289;height:1090;left:4894;position:absolute;top:17034;v-text-anchor:top" fillcolor="this" stroked="f">
                  <v:textbox inset="0,0,0,0">
                    <w:txbxContent>
                      <w:p w:rsidR="00EB2609">
                        <w:pPr>
                          <w:spacing w:after="160" w:line="259" w:lineRule="auto"/>
                          <w:ind w:left="0" w:firstLine="0"/>
                        </w:pPr>
                        <w:r>
                          <w:t>C</w:t>
                        </w:r>
                      </w:p>
                    </w:txbxContent>
                  </v:textbox>
                </v:shape>
                <v:shape id="_x0000_s1121" type="#_x0000_t202" style="width:2890;height:1090;left:31;position:absolute;top:18322;v-text-anchor:top" fillcolor="this" stroked="f">
                  <v:textbox inset="0,0,0,0">
                    <w:txbxContent>
                      <w:p w:rsidR="00EB2609">
                        <w:pPr>
                          <w:spacing w:after="160" w:line="259" w:lineRule="auto"/>
                          <w:ind w:left="0" w:firstLine="0"/>
                        </w:pPr>
                        <w:r>
                          <w:t>上市交易所</w:t>
                        </w:r>
                      </w:p>
                    </w:txbxContent>
                  </v:textbox>
                </v:shape>
                <v:shape id="_x0000_s1122" type="#_x0000_t202" style="width:4046;height:1090;left:4894;position:absolute;top:18322;v-text-anchor:top" fillcolor="this" stroked="f">
                  <v:textbox inset="0,0,0,0">
                    <w:txbxContent>
                      <w:p w:rsidR="00EB2609">
                        <w:pPr>
                          <w:spacing w:after="160" w:line="259" w:lineRule="auto"/>
                          <w:ind w:left="0" w:firstLine="0"/>
                        </w:pPr>
                        <w:r>
                          <w:t>大连商品交易所</w:t>
                        </w:r>
                      </w:p>
                    </w:txbxContent>
                  </v:textbox>
                </v:shape>
                <v:shape id="_x0000_s1123" type="#_x0000_t202" style="width:6647;height:1090;position:absolute;top:20780;v-text-anchor:top" fillcolor="this" stroked="f">
                  <v:textbox inset="0,0,0,0">
                    <w:txbxContent>
                      <w:p w:rsidR="00EB2609">
                        <w:pPr>
                          <w:spacing w:after="160" w:line="259" w:lineRule="auto"/>
                          <w:ind w:left="0" w:firstLine="0"/>
                        </w:pPr>
                        <w:r>
                          <w:t>（2）玉米期货的标准合约</w:t>
                        </w:r>
                      </w:p>
                    </w:txbxContent>
                  </v:textbox>
                </v:shape>
              </v:group>
            </w:pict>
          </mc:Fallback>
        </mc:AlternateConten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表2-1 玉米期货标准合约</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（3）玉米期货的价格影响因素 l宏观经济形势</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所有期货产品产生交易的基础是经济，经济市场的波动会直接影响着产品市场价格的变动。在宏观经济形势下，若经济处于增长的趋势，则期货产品价格会随之上涨；反之，期货产品价格则会有所下跌。</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l政策条件</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期货产品处于同一经济市场条件时，不同种类的商品期货会因当时相关的政策条件而有所不同。当监管层出台玉米进出口贸易、玉米流通体制等相关利好的政策时，便会引起玉米期货市场投资者的情绪高涨，从而带动玉米期货价格的上涨；反之则会下跌。</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l现货状况</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商品期货的价格走向一定会受到商品现货本身供求关系的影响，无论是现货的生产状况，还是现货的进出口情况，或者是现货的消费状况，均会对商品期货的价格造成一定的影响。对于论文所研究的玉米期货而言，其现货作为一种重要的农产品会因天气的变动而变动，因此论文从这一角度出发，展开了天气变动情况对我国玉米期货市场影响的研究。 2.2 相关理论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2.2.1 道氏理论</w:t>
      </w:r>
    </w:p>
    <w:p w:rsidR="00EB2609" w:rsidRPr="00944BFF" w:rsidP="00944BFF">
      <w:pPr>
        <w:adjustRightInd w:val="0"/>
        <w:snapToGrid w:val="0"/>
        <w:spacing w:after="0" w:line="360" w:lineRule="auto"/>
        <w:rPr>
          <w:snapToGrid w:val="0"/>
          <w:color w:val="000000"/>
          <w:sz w:val="24"/>
        </w:rPr>
        <w:sectPr>
          <w:headerReference w:type="even" r:id="rId46"/>
          <w:headerReference w:type="default" r:id="rId47"/>
          <w:footerReference w:type="even" r:id="rId48"/>
          <w:footerReference w:type="default" r:id="rId49"/>
          <w:headerReference w:type="first" r:id="rId50"/>
          <w:footerReference w:type="first" r:id="rId51"/>
          <w:type w:val="nextPage"/>
          <w:pgSz w:w="12240" w:h="15840"/>
          <w:pgMar w:top="720" w:right="915" w:bottom="721" w:left="720" w:header="150" w:footer="227" w:gutter="0"/>
          <w:pgNumType w:start="8"/>
          <w:cols w:space="720"/>
          <w:titlePg w:val="0"/>
        </w:sectPr>
      </w:pPr>
      <w:r w:rsidRPr="00944BFF">
        <w:rPr>
          <w:snapToGrid w:val="0"/>
          <w:color w:val="000000"/>
          <w:sz w:val="24"/>
        </w:rPr>
        <w:t>　　道氏理论可以被看成所有市场技术研究的最初理论，该理论认为：股票会随市场的趋势同向变化，以反映出市场的走向趋势及状况，目前该理论也广泛适用于期货市场。道氏理论将市场的变化趋势依据时间段的不同长短分为三种，分别是主要趋势、中期趋势以及短期趋势，但是该理论具有一定</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的滞后性，其所提出的中期趋势及短期趋势的预测并非准确，主要强调的是主要趋势的变化，即时间段为数个月至数年的走势分析。</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2.2.2 前景理论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对于期货市场投资者而言，其投资行为的产生不仅受到期货市场行情及宏观经济走向的影响，还有一部分受到投机心理的影响，这正是行为金融学所研究的内容。在行为金融学的研究中，最有名的就是前景理论，基于前景理论的假设下，投资者在盈利的时候倾向于及时兑现利润而不是抱有投机的心理青睐更高的涨幅；而在亏损的情况下，则是倾向于期待价格反弹现象的发生，却不是进行及时的止损。</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2.2.3气象经济学理论</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气象对于各类社会经济活动的影响是不容小觑的，社会生活中的各行各业几乎均与气象有着或多或少的联系。随着经济的发展，社会财富的积累日益膨胀，气象灾害事件所造成的可能损失也逐渐地变大。因此，气象对国民经济有着巨大的影响，逐渐被经济界和气象界的学者们所关注，由此逐渐发展成为了气象经济学理论。</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目前，我国关于气象经济的研究文献对于气象经济这一词汇并没有一个明确的定义，但是目前广泛被认可的解释为：气象经济指的是气象服务所带来的效益，包括了减少灾害损失和增加经济效益。放眼望去，基于市场经济原理下的，从气象服务的经济学特性来研究气象经济学的系统论述仍然非常缺乏，其相关的构成框架及科学体系仍有待创立。</w:t>
      </w:r>
    </w:p>
    <w:p w:rsidR="00EB2609" w:rsidRPr="00944BFF" w:rsidP="00944BFF">
      <w:pPr>
        <w:numPr>
          <w:ilvl w:val="0"/>
          <w:numId w:val="13"/>
        </w:numPr>
        <w:adjustRightInd w:val="0"/>
        <w:snapToGrid w:val="0"/>
        <w:spacing w:after="0" w:line="360" w:lineRule="auto"/>
        <w:ind w:hanging="210"/>
        <w:rPr>
          <w:snapToGrid w:val="0"/>
          <w:color w:val="000000"/>
          <w:sz w:val="24"/>
        </w:rPr>
      </w:pPr>
      <w:r w:rsidRPr="00944BFF">
        <w:rPr>
          <w:snapToGrid w:val="0"/>
          <w:color w:val="000000"/>
          <w:sz w:val="24"/>
        </w:rPr>
        <w:t>天气变动对我国玉米期货市场影响的机制分析</w:t>
      </w:r>
    </w:p>
    <w:p w:rsidR="00EB2609" w:rsidRPr="00944BFF" w:rsidP="00944BFF">
      <w:pPr>
        <w:numPr>
          <w:ilvl w:val="1"/>
          <w:numId w:val="13"/>
        </w:numPr>
        <w:adjustRightInd w:val="0"/>
        <w:snapToGrid w:val="0"/>
        <w:spacing w:after="0" w:line="360" w:lineRule="auto"/>
        <w:ind w:hanging="420"/>
        <w:rPr>
          <w:snapToGrid w:val="0"/>
          <w:color w:val="000000"/>
          <w:sz w:val="24"/>
        </w:rPr>
      </w:pPr>
      <w:r w:rsidRPr="00944BFF">
        <w:rPr>
          <w:snapToGrid w:val="0"/>
          <w:color w:val="000000"/>
          <w:sz w:val="24"/>
        </w:rPr>
        <w:t>天气变动对农产品现货产量影响分析</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在我国的经济结构中，农业是三大产业中的基础部门，对国民经济的平稳发展起到了至关重要的作用。对于农业的生产而言，其生产过程对于天气条件的依赖程度较高，换句话讲，农业收成的丰歉收到天气条件的优劣程度影响很大。据我国国家统计局披露的数据显示，2018年我国因为各种天气灾害所造成的的直接经济损失达到了2644.6</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亿元，其中农业生产生活的损失很严重，农作物受天气条件影响下的受灾面积竟高达了20814.3千公顷。</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玉米作为一种喜温的短日照作物，早熟、中熟和晚熟的积温要求分别为1800-2400℃、2400-3000℃和3200-</w:t>
      </w:r>
    </w:p>
    <w:p w:rsidR="00EB2609" w:rsidRPr="00944BFF" w:rsidP="00944BFF">
      <w:pPr>
        <w:adjustRightInd w:val="0"/>
        <w:snapToGrid w:val="0"/>
        <w:spacing w:after="0" w:line="360" w:lineRule="auto"/>
        <w:rPr>
          <w:snapToGrid w:val="0"/>
          <w:color w:val="000000"/>
          <w:sz w:val="24"/>
        </w:rPr>
        <w:sectPr>
          <w:headerReference w:type="even" r:id="rId52"/>
          <w:headerReference w:type="default" r:id="rId53"/>
          <w:footerReference w:type="even" r:id="rId54"/>
          <w:footerReference w:type="default" r:id="rId55"/>
          <w:headerReference w:type="first" r:id="rId56"/>
          <w:footerReference w:type="first" r:id="rId57"/>
          <w:type w:val="nextPage"/>
          <w:pgSz w:w="12240" w:h="15840"/>
          <w:pgMar w:top="720" w:right="915" w:bottom="721" w:left="720" w:header="150" w:footer="227" w:gutter="0"/>
          <w:pgNumType w:start="9"/>
          <w:cols w:space="720"/>
          <w:titlePg w:val="0"/>
        </w:sectPr>
      </w:pPr>
      <w:r w:rsidRPr="00944BFF">
        <w:rPr>
          <w:snapToGrid w:val="0"/>
          <w:color w:val="000000"/>
          <w:sz w:val="24"/>
        </w:rPr>
        <w:t>3300℃，是一种我国重要的农作物，其产量和质量均会影响着我国农业经济的发展。随着适应进入全面小康社会的需求到来，玉米的消费趋势必然会向优质化、专用化发展，对于优质玉米的需求量也会逐年增大。玉米的生长过程中对于天气条件的要求十分苛刻，天气的变动情况对于玉米的产出情况影响十分显著。由此可见，及时掌握天气的变动与农产品产量的变动之间的关联性十分重要，应该加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对二者之间相关性的研究，及时地依据气象数据了解天气的变动，并了解农产品现货产量的合理变动范围，相应地做出防范措施。</w:t>
      </w:r>
    </w:p>
    <w:p w:rsidR="00EB2609" w:rsidRPr="00944BFF" w:rsidP="00944BFF">
      <w:pPr>
        <w:numPr>
          <w:ilvl w:val="1"/>
          <w:numId w:val="6"/>
        </w:numPr>
        <w:adjustRightInd w:val="0"/>
        <w:snapToGrid w:val="0"/>
        <w:spacing w:after="0" w:line="360" w:lineRule="auto"/>
        <w:ind w:hanging="420"/>
        <w:rPr>
          <w:snapToGrid w:val="0"/>
          <w:color w:val="000000"/>
          <w:sz w:val="24"/>
        </w:rPr>
      </w:pPr>
      <w:r w:rsidRPr="00944BFF">
        <w:rPr>
          <w:snapToGrid w:val="0"/>
          <w:color w:val="000000"/>
          <w:sz w:val="24"/>
        </w:rPr>
        <w:t>天气变动对农产品期货交割影响分析</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2017年6月末，美国芝加哥交易所玉米期货主力合约收盘价较月初上涨了近2.83%，同期我国大连商品交易所的玉米期货主力合约收盘价较月初上涨了大约4.32%。当月8日，CBOT玉米期货主力合约的收盘价格竟创造了一年的最高价位。同年7月，美国的天气条件变化反复，导致了玉米期货的价格波动加剧。当时因为玉米已经逐渐进入到了生产的关键时期，受到天气条件的炒作引发了投资者们频繁的技术性买盘、卖盘的操作，这一系列的举措加剧了当时玉米期货合约的价格震幅。由此可见，天气的不断变动对于农产品期货的交割有着很大的影响。</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投资者们并非均为理性投资人，对于易受到天气变动影响的农产品期货而言，因为天气变动的不稳定性较强，农产品期货交割价格所面临的波动性也很大。如何去正视天气的合理变动，以及如何才能理性的进行农产品期货的交割时投资者们急需多加关注的问题所在。</w:t>
      </w:r>
    </w:p>
    <w:p w:rsidR="00EB2609" w:rsidRPr="00944BFF" w:rsidP="00944BFF">
      <w:pPr>
        <w:numPr>
          <w:ilvl w:val="1"/>
          <w:numId w:val="6"/>
        </w:numPr>
        <w:adjustRightInd w:val="0"/>
        <w:snapToGrid w:val="0"/>
        <w:spacing w:after="0" w:line="360" w:lineRule="auto"/>
        <w:ind w:hanging="420"/>
        <w:rPr>
          <w:snapToGrid w:val="0"/>
          <w:color w:val="000000"/>
          <w:sz w:val="24"/>
        </w:rPr>
      </w:pPr>
      <w:r w:rsidRPr="00944BFF">
        <w:rPr>
          <w:snapToGrid w:val="0"/>
          <w:color w:val="000000"/>
          <w:sz w:val="24"/>
        </w:rPr>
        <w:t>农产品期货与天气变动结合的金融衍生品研究现状及问题分析</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天气衍生品是指以气温、降雨量、风力等气象数据计算的天气指数作为交易对象，目的在于防范宏观、中观、微观经济主体所面临的的一般性天气风险的新型金融衍生工具。【19】农业是国民经济的基础性行业，也是对于气象数据最敏感的行业。近年来，美国借鉴金融衍生品来进行规避金融风险的经验，推出了多种天气衍生产品，包括美国的气温指数期货、降水量指数期货、降雪量指数期货、风速指数期货、天气期权合约、天气互换合约等。天气期货作为能够有效转移天气风险的工具，在国外成熟的金融市场上已经广泛应用到了各个相关的行业中去，取得较好的天气风险管理效果。【20】</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对于我国而言，各个地区的地形差异较大、南北跨纬度广、气候具有较大的差别、天气复杂多变。针对某一地区而言，其各个区域之间也存在着差异，对于温度、降水、日照等气象指标的不确定性均比较高，天气风险一直是农业生产生活所需要关注的。基于国内对于天气衍生品的需求，结合着我国各个地区的气候特点，创建属于我国各个地区特有的天气衍生品来应对大概率存在的天气风险是亟待解决的。针对开发天气衍生产品这一举措，我国具有很强的可能性和必然性，这项举措也十分具有现实意义，可以有利于保障国家粮食的安全、维持金融市场环境的稳定运行。</w:t>
      </w:r>
    </w:p>
    <w:p w:rsidR="00EB2609" w:rsidRPr="00944BFF" w:rsidP="00944BFF">
      <w:pPr>
        <w:numPr>
          <w:ilvl w:val="0"/>
          <w:numId w:val="6"/>
        </w:numPr>
        <w:adjustRightInd w:val="0"/>
        <w:snapToGrid w:val="0"/>
        <w:spacing w:after="0" w:line="360" w:lineRule="auto"/>
        <w:ind w:hanging="210"/>
        <w:rPr>
          <w:snapToGrid w:val="0"/>
          <w:color w:val="000000"/>
          <w:sz w:val="24"/>
        </w:rPr>
      </w:pPr>
      <w:r w:rsidRPr="00944BFF">
        <w:rPr>
          <w:snapToGrid w:val="0"/>
          <w:color w:val="000000"/>
          <w:sz w:val="24"/>
        </w:rPr>
        <w:t>天气变动对我国玉米期货市场影响的实证分析</w:t>
      </w:r>
    </w:p>
    <w:p w:rsidR="00EB2609" w:rsidRPr="00944BFF" w:rsidP="00944BFF">
      <w:pPr>
        <w:numPr>
          <w:ilvl w:val="1"/>
          <w:numId w:val="6"/>
        </w:numPr>
        <w:adjustRightInd w:val="0"/>
        <w:snapToGrid w:val="0"/>
        <w:spacing w:after="0" w:line="360" w:lineRule="auto"/>
        <w:ind w:hanging="420"/>
        <w:rPr>
          <w:snapToGrid w:val="0"/>
          <w:color w:val="000000"/>
          <w:sz w:val="24"/>
        </w:rPr>
      </w:pPr>
      <w:r w:rsidRPr="00944BFF">
        <w:rPr>
          <w:snapToGrid w:val="0"/>
          <w:color w:val="000000"/>
          <w:sz w:val="24"/>
        </w:rPr>
        <w:t>研究假设及模型构建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4.1.1研究假设</w:t>
      </w:r>
    </w:p>
    <w:p w:rsidR="00EB2609" w:rsidRPr="00944BFF" w:rsidP="00944BFF">
      <w:pPr>
        <w:adjustRightInd w:val="0"/>
        <w:snapToGrid w:val="0"/>
        <w:spacing w:after="0" w:line="360" w:lineRule="auto"/>
        <w:rPr>
          <w:snapToGrid w:val="0"/>
          <w:color w:val="000000"/>
          <w:sz w:val="24"/>
        </w:rPr>
        <w:sectPr>
          <w:headerReference w:type="even" r:id="rId58"/>
          <w:headerReference w:type="default" r:id="rId59"/>
          <w:footerReference w:type="even" r:id="rId60"/>
          <w:footerReference w:type="default" r:id="rId61"/>
          <w:headerReference w:type="first" r:id="rId62"/>
          <w:footerReference w:type="first" r:id="rId63"/>
          <w:type w:val="nextPage"/>
          <w:pgSz w:w="12240" w:h="15840"/>
          <w:pgMar w:top="720" w:right="915" w:bottom="721" w:left="720" w:header="150" w:footer="227" w:gutter="0"/>
          <w:pgNumType w:start="10"/>
          <w:cols w:space="720"/>
          <w:titlePg w:val="0"/>
        </w:sectPr>
      </w:pPr>
      <w:r w:rsidRPr="00944BFF">
        <w:rPr>
          <w:snapToGrid w:val="0"/>
          <w:color w:val="000000"/>
          <w:sz w:val="24"/>
        </w:rPr>
        <w:t>　　玉米是我国三大主粮之一，也是重要的饲料原料，玉米的稳定供应事关着我国的粮食安全，我们要保障玉米的生产状况来达到维护自己的粮食安全。今年以来全球产业链、供应链受国内外肺炎等复杂因素的影响下循环受阻，也包括了玉米在内的大宗商品价格波动加剧，市场风险激增。面对这样严</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峻的新形势，大连作为我国玉米重要的中转地、集散地，充分发挥了区位优势，保障了北粮南运通畅，稳定了市场流通及供应。同时大连商品期货交易所是我国玉米期货交易中心、价格发现中心和风险管理中心，是大连区域性金融中心建设的龙头。大商所期货交易市场保持稳步、快速发展，为抗击、稳定企业生产经营贡献了“大连力量”。</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针对玉米期货主力合约的成交量及收盘价的变动进行研究，通过对辽宁省大连市及营口市同期的气象数据进行整理，得出同期的天气变动综合评价指数、进而分析两者之间的相关性。在国外金融市场上已经存在一些天气类衍生品，大部分都是根据某一个气象指标进行构建，大部分都是基于温度指数或者降水指数来对期货价格进行预测。论文根据目前天气类金融衍生品的研究现状以及玉米期货的主要特征提出以下假设：假设1：天气变动与同期玉米期货主力合约的收盘价及成交量变动显著相关。</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假设2：在天气变动综合评价指数体系中，对期货市场影响较为显著的因素为气温指标或者降水指标。</w:t>
      </w:r>
    </w:p>
    <w:p w:rsidR="00EB2609" w:rsidRPr="00944BFF" w:rsidP="00944BFF">
      <w:pPr>
        <w:numPr>
          <w:ilvl w:val="0"/>
          <w:numId w:val="7"/>
        </w:numPr>
        <w:adjustRightInd w:val="0"/>
        <w:snapToGrid w:val="0"/>
        <w:spacing w:after="0" w:line="360" w:lineRule="auto"/>
        <w:ind w:hanging="210"/>
        <w:rPr>
          <w:snapToGrid w:val="0"/>
          <w:color w:val="000000"/>
          <w:sz w:val="24"/>
        </w:rPr>
      </w:pPr>
      <w:r w:rsidRPr="00944BFF">
        <w:rPr>
          <w:snapToGrid w:val="0"/>
          <w:color w:val="000000"/>
          <w:sz w:val="24"/>
        </w:rPr>
        <w:t>1.2模型构建</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在以往的研究中，甚至是成熟市场的实际操作过程中，使用的天气指数都是某一个单一的天气指数，此次论文基于</w:t>
      </w:r>
      <w:r w:rsidRPr="00944BFF" w:rsidR="00944BFF">
        <w:rPr>
          <w:snapToGrid w:val="0"/>
          <w:color w:val="000000"/>
          <w:sz w:val="24"/>
        </w:rPr>
        <w:t>我国</w:t>
      </w:r>
      <w:r w:rsidRPr="00944BFF">
        <w:rPr>
          <w:snapToGrid w:val="0"/>
          <w:color w:val="000000"/>
          <w:sz w:val="24"/>
        </w:rPr>
        <w:t>气象数据网所收集的气象数据，选取了六个指标构建出天气综合评价指数体系，六个指标均为具有代表性的气象数据，分别为平均2分钟风速、平均气压、平均气温、平均水气压、平均相对湿度和日照对数，由这六个指标数据共同构建成为了论文所提出的天气综合评价指数体系。</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文章的第四章实证研究部分正是利用该体系下的所有数据进行模型的建立与研究，在实证分析阶段将各个指标数据以月度作为计量单位进行比较，各项数据均研究其较上一月度数据之间差值的变化数值，再将天气综合评价指数体系各数据的变化数值与同期的期货数据相结合进行回归分析、开展实证研究。</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4.2 指标选择与数据来源</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4.2.1指标选择</w:t>
      </w:r>
    </w:p>
    <w:p w:rsidR="00EB2609" w:rsidRPr="00944BFF" w:rsidP="00944BFF">
      <w:pPr>
        <w:adjustRightInd w:val="0"/>
        <w:snapToGrid w:val="0"/>
        <w:spacing w:after="0" w:line="360" w:lineRule="auto"/>
        <w:rPr>
          <w:snapToGrid w:val="0"/>
          <w:color w:val="000000"/>
          <w:sz w:val="24"/>
        </w:rPr>
        <w:sectPr>
          <w:headerReference w:type="even" r:id="rId64"/>
          <w:headerReference w:type="default" r:id="rId65"/>
          <w:footerReference w:type="even" r:id="rId66"/>
          <w:footerReference w:type="default" r:id="rId67"/>
          <w:headerReference w:type="first" r:id="rId68"/>
          <w:footerReference w:type="first" r:id="rId69"/>
          <w:type w:val="nextPage"/>
          <w:pgSz w:w="12240" w:h="15840"/>
          <w:pgMar w:top="720" w:right="915" w:bottom="721" w:left="720" w:header="150" w:footer="227" w:gutter="0"/>
          <w:pgNumType w:start="11"/>
          <w:cols w:space="720"/>
          <w:titlePg w:val="0"/>
        </w:sectPr>
      </w:pPr>
      <w:r w:rsidRPr="00944BFF">
        <w:rPr>
          <w:snapToGrid w:val="0"/>
          <w:color w:val="000000"/>
          <w:sz w:val="24"/>
        </w:rPr>
        <w:t>　　实证分析过程所研究的解释量数据为论文提出的天气综合评价指数体系，此体系内包含有六种天气的主要特征指标，分别为平均2分钟风速、平均气压、平均气温、平均水气压、平均相对湿度、日照对数。对于这六个指标的选取是基于</w:t>
      </w:r>
      <w:r w:rsidRPr="00944BFF" w:rsidR="00944BFF">
        <w:rPr>
          <w:snapToGrid w:val="0"/>
          <w:color w:val="000000"/>
          <w:sz w:val="24"/>
        </w:rPr>
        <w:t>我国</w:t>
      </w:r>
      <w:r w:rsidRPr="00944BFF">
        <w:rPr>
          <w:snapToGrid w:val="0"/>
          <w:color w:val="000000"/>
          <w:sz w:val="24"/>
        </w:rPr>
        <w:t>气象数据网地面气象数据资源而来，在</w:t>
      </w:r>
      <w:r w:rsidRPr="00944BFF" w:rsidR="00944BFF">
        <w:rPr>
          <w:snapToGrid w:val="0"/>
          <w:color w:val="000000"/>
          <w:sz w:val="24"/>
        </w:rPr>
        <w:t>我国</w:t>
      </w:r>
      <w:r w:rsidRPr="00944BFF">
        <w:rPr>
          <w:snapToGrid w:val="0"/>
          <w:color w:val="000000"/>
          <w:sz w:val="24"/>
        </w:rPr>
        <w:t>气象数据网中可以查询到我国各个气象基准站所测量到的各种气象数据，其中就包括这六种数据、并且这六个数据均为气象的主要特征量，且均为在</w:t>
      </w:r>
      <w:r w:rsidRPr="00944BFF" w:rsidR="00944BFF">
        <w:rPr>
          <w:snapToGrid w:val="0"/>
          <w:color w:val="000000"/>
          <w:sz w:val="24"/>
        </w:rPr>
        <w:t>我国</w:t>
      </w:r>
      <w:r w:rsidRPr="00944BFF">
        <w:rPr>
          <w:snapToGrid w:val="0"/>
          <w:color w:val="000000"/>
          <w:sz w:val="24"/>
        </w:rPr>
        <w:t>气象数据网中以月平均数的形式出现的数据，其余气象数据均为极值数据、对于实证分析研究过程可能会产生一些偏差，故没有采用其他数据。</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实证分析过程所研究的被解释变量为我国大连商品期货交易所的玉米期货主力合约收盘价以及主力合约持仓量的期货市场数据，通过收盘价与持仓量两种数据的构建，不仅可以分析天气变动是否会对农产品期货价格产生影响、而且可以分析天气变动对于农产品期货主力合约持仓量所产生的一定影响，进而可以根据行为金融学理论来判断投资者的投资行为是基于怎样一种心理活动而产生的、或者说侧面地去了解天气的变动是否可以作为一种外界刺激影响着金融市场中投资者们的投资行为、进而影响金融市场的运作。</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4.2.2数据来源</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　　辽宁省地处欧亚大陆东岸，属于温带大陆型季风气候区，雨热同季，日照丰富，积温较高，冬长夏暖，春秋季短，雨量不均，东湿西干。全省阳光辐射年总量在100-200卡/平方厘米之间，年日照时数2100-2600小时，全年平均</w:t>
      </w:r>
    </w:p>
    <w:p w:rsidR="00EB2609" w:rsidRPr="00944BFF" w:rsidP="00944BFF">
      <w:pPr>
        <w:adjustRightInd w:val="0"/>
        <w:snapToGrid w:val="0"/>
        <w:spacing w:after="0" w:line="360" w:lineRule="auto"/>
        <w:ind w:left="-5"/>
        <w:rPr>
          <w:snapToGrid w:val="0"/>
          <w:color w:val="000000"/>
          <w:sz w:val="24"/>
        </w:rPr>
      </w:pPr>
      <w:r w:rsidRPr="00944BFF">
        <w:rPr>
          <w:snapToGrid w:val="0"/>
          <w:color w:val="000000"/>
          <w:sz w:val="24"/>
        </w:rPr>
        <w:t>气温在7-11℃之间，受季风气候影响，各地差较大，自西南向东北，自平原向山区递减，年平均无霜期130-- 200 天，一般无霜期均在150天以上。辽宁省是东北地区降水量最多的省份，年降水量在600-1100毫米之间，东部山地丘陵区年降水量在1100毫米以上、西部山地丘陵区与内蒙古高原相连，年降水量在400毫米左右，是全省降水最少的地区、中部平原降水量比较适中，年平均在600毫米左右。其地表温度被认为是一个气候变化的基础性指标，在世界各国土壤的形成与演化发展过程中都起着极其重要的作用，同时由于气温、降水、地表覆盖力的变化对于地表温度的变化也会产生巨大的影响，它主要是通过改变地表的反射速率、土壤的湿度以及土壤的加热储备能力三个多方面的因素来直接影响到整个天气及环境。</w:t>
      </w:r>
    </w:p>
    <w:p w:rsidR="00EB2609" w:rsidRPr="00944BFF" w:rsidP="00944BFF">
      <w:pPr>
        <w:adjustRightInd w:val="0"/>
        <w:snapToGrid w:val="0"/>
        <w:spacing w:after="0" w:line="360" w:lineRule="auto"/>
        <w:rPr>
          <w:snapToGrid w:val="0"/>
          <w:color w:val="000000"/>
          <w:sz w:val="24"/>
        </w:rPr>
      </w:pPr>
      <w:r w:rsidRPr="00944BFF">
        <w:rPr>
          <w:snapToGrid w:val="0"/>
          <w:color w:val="000000"/>
          <w:sz w:val="24"/>
        </w:rPr>
        <w:t>　　论文选取辽宁省大连市以及营口市的气象数据作为基础数据进行研究，主要是因为我国大连商品交易所的玉米期货指定交割地点位于辽宁省的大连市、营口市以及锦州市，而根据所收集到的</w:t>
      </w:r>
      <w:r w:rsidRPr="00944BFF" w:rsidR="00944BFF">
        <w:rPr>
          <w:snapToGrid w:val="0"/>
          <w:color w:val="000000"/>
          <w:sz w:val="24"/>
        </w:rPr>
        <w:t>我国</w:t>
      </w:r>
      <w:r w:rsidRPr="00944BFF">
        <w:rPr>
          <w:snapToGrid w:val="0"/>
          <w:color w:val="000000"/>
          <w:sz w:val="24"/>
        </w:rPr>
        <w:t>气象数据网的数据显示，针对辽宁省锦州市而言并没有气象基准站，因此论文的气象数据为</w:t>
      </w:r>
      <w:r w:rsidRPr="00944BFF" w:rsidR="00944BFF">
        <w:rPr>
          <w:snapToGrid w:val="0"/>
          <w:color w:val="000000"/>
          <w:sz w:val="24"/>
        </w:rPr>
        <w:t>我国</w:t>
      </w:r>
      <w:r w:rsidRPr="00944BFF">
        <w:rPr>
          <w:snapToGrid w:val="0"/>
          <w:color w:val="000000"/>
          <w:sz w:val="24"/>
        </w:rPr>
        <w:t>气象数据网所收集的2004年09月-2021年03月的辽宁省大连市以及辽宁省营口市的气象数据。（数据来源如下表4-1所示）表4-1 数据来源情况表（数据来源于</w:t>
      </w:r>
      <w:r w:rsidRPr="00944BFF" w:rsidR="00944BFF">
        <w:rPr>
          <w:snapToGrid w:val="0"/>
          <w:color w:val="000000"/>
          <w:sz w:val="24"/>
        </w:rPr>
        <w:t>我国</w:t>
      </w:r>
      <w:r w:rsidRPr="00944BFF">
        <w:rPr>
          <w:snapToGrid w:val="0"/>
          <w:color w:val="000000"/>
          <w:sz w:val="24"/>
        </w:rPr>
        <w:t>气象数据网）</w:t>
      </w:r>
    </w:p>
    <w:p w:rsidR="00EB2609" w:rsidRPr="00944BFF" w:rsidP="00944BFF">
      <w:pPr>
        <w:adjustRightInd w:val="0"/>
        <w:snapToGrid w:val="0"/>
        <w:spacing w:after="0" w:line="360" w:lineRule="auto"/>
        <w:ind w:left="0" w:firstLine="0"/>
        <w:rPr>
          <w:snapToGrid w:val="0"/>
          <w:color w:val="000000"/>
          <w:sz w:val="24"/>
        </w:rPr>
      </w:pPr>
      <w:r w:rsidRPr="00944BFF">
        <w:rPr>
          <w:snapToGrid w:val="0"/>
          <w:color w:val="000000"/>
          <w:sz w:val="24"/>
        </w:rPr>
        <w:t>　　</w:t>
      </w:r>
    </w:p>
    <w:p w:rsidR="00EB2609" w:rsidRPr="00944BFF" w:rsidP="00944BFF">
      <w:pPr>
        <w:adjustRightInd w:val="0"/>
        <w:snapToGrid w:val="0"/>
        <w:spacing w:after="0" w:line="360" w:lineRule="auto"/>
        <w:rPr>
          <w:snapToGrid w:val="0"/>
          <w:color w:val="000000"/>
          <w:sz w:val="24"/>
        </w:rPr>
      </w:pPr>
      <w:r w:rsidRPr="00944BFF">
        <w:rPr>
          <w:rFonts w:cs="Calibri"/>
          <w:noProof/>
          <w:snapToGrid w:val="0"/>
          <w:color w:val="000000"/>
          <w:sz w:val="24"/>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-37801</wp:posOffset>
                </wp:positionV>
                <wp:extent cx="6627495" cy="2305050"/>
                <wp:effectExtent l="0" t="0" r="0" b="0"/>
                <wp:wrapNone/>
                <wp:docPr id="17030" name="Group 17030"/>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2305050"/>
                          <a:chOff x="0" y="0"/>
                          <a:chExt cx="6627495" cy="2305050"/>
                        </a:xfrm>
                      </wpg:grpSpPr>
                      <wps:wsp xmlns:wps="http://schemas.microsoft.com/office/word/2010/wordprocessingShape">
                        <wps:cNvPr id="621" name="Shape 621"/>
                        <wps:cNvSpPr/>
                        <wps:spPr>
                          <a:xfrm>
                            <a:off x="0" y="0"/>
                            <a:ext cx="6627495" cy="9525"/>
                          </a:xfrm>
                          <a:custGeom>
                            <a:avLst/>
                            <a:gdLst/>
                            <a:rect l="0" t="0" r="0" b="0"/>
                            <a:pathLst>
                              <a:path fill="norm" h="9525" w="6627495" stroke="1">
                                <a:moveTo>
                                  <a:pt x="0" y="0"/>
                                </a:moveTo>
                                <a:lnTo>
                                  <a:pt x="6627495" y="0"/>
                                </a:lnTo>
                                <a:lnTo>
                                  <a:pt x="6617970"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622" name="Shape 622"/>
                        <wps:cNvSpPr/>
                        <wps:spPr>
                          <a:xfrm>
                            <a:off x="0" y="2295525"/>
                            <a:ext cx="6627495" cy="9525"/>
                          </a:xfrm>
                          <a:custGeom>
                            <a:avLst/>
                            <a:gdLst/>
                            <a:rect l="0" t="0" r="0" b="0"/>
                            <a:pathLst>
                              <a:path fill="norm" h="9525" w="6627495" stroke="1">
                                <a:moveTo>
                                  <a:pt x="9525" y="0"/>
                                </a:moveTo>
                                <a:lnTo>
                                  <a:pt x="6617970" y="0"/>
                                </a:lnTo>
                                <a:lnTo>
                                  <a:pt x="6627495"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623" name="Shape 623"/>
                        <wps:cNvSpPr/>
                        <wps:spPr>
                          <a:xfrm>
                            <a:off x="0" y="0"/>
                            <a:ext cx="9525" cy="2305050"/>
                          </a:xfrm>
                          <a:custGeom>
                            <a:avLst/>
                            <a:gdLst/>
                            <a:rect l="0" t="0" r="0" b="0"/>
                            <a:pathLst>
                              <a:path fill="norm" h="2305050" w="9525" stroke="1">
                                <a:moveTo>
                                  <a:pt x="0" y="0"/>
                                </a:moveTo>
                                <a:lnTo>
                                  <a:pt x="9525" y="9525"/>
                                </a:lnTo>
                                <a:lnTo>
                                  <a:pt x="9525" y="2295525"/>
                                </a:lnTo>
                                <a:lnTo>
                                  <a:pt x="0" y="2305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624" name="Shape 624"/>
                        <wps:cNvSpPr/>
                        <wps:spPr>
                          <a:xfrm>
                            <a:off x="6617970" y="0"/>
                            <a:ext cx="9525" cy="2305050"/>
                          </a:xfrm>
                          <a:custGeom>
                            <a:avLst/>
                            <a:gdLst/>
                            <a:rect l="0" t="0" r="0" b="0"/>
                            <a:pathLst>
                              <a:path fill="norm" h="2305050" w="9525" stroke="1">
                                <a:moveTo>
                                  <a:pt x="9525" y="0"/>
                                </a:moveTo>
                                <a:lnTo>
                                  <a:pt x="9525" y="2305050"/>
                                </a:lnTo>
                                <a:lnTo>
                                  <a:pt x="0" y="2295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g:wgp>
                  </a:graphicData>
                </a:graphic>
              </wp:anchor>
            </w:drawing>
          </mc:Choice>
          <mc:Fallback>
            <w:pict>
              <v:group id="Group 17030" o:spid="_x0000_s1124" style="width:521.85pt;height:181.5pt;margin-top:-2.98pt;margin-left:0;mso-wrap-distance-bottom:0;mso-wrap-distance-left:9pt;mso-wrap-distance-right:9pt;mso-wrap-distance-top:0;position:absolute;z-index:-251658240" coordorigin="0,0" coordsize="21600,21600">
                <v:shape id="_x0000_s1125" style="width:21600;height:89;position:absolute;v-text-anchor:top" coordsize="21600,21600" path="m,l21600,l21600,l21569,21600l21569,21600l31,21600l31,21600l,xe" fillcolor="gray" stroked="t">
                  <v:stroke joinstyle="miter"/>
                </v:shape>
                <v:shape id="_x0000_s1126" style="width:21600;height:89;position:absolute;top:21511;v-text-anchor:top" coordsize="21600,21600" path="m31,l21569,l21569,l21600,21600l21600,21600l,21600l,21600l31,xe" fillcolor="gray" stroked="t">
                  <v:stroke joinstyle="miter"/>
                </v:shape>
                <v:shape id="_x0000_s1127" style="width:31;height:21600;position:absolute;v-text-anchor:top" coordsize="21600,21600" path="m,l21600,89l21600,89l21600,21511l21600,21511l,21600l,21600l,xe" fillcolor="gray" stroked="t">
                  <v:stroke joinstyle="miter"/>
                </v:shape>
                <v:shape id="_x0000_s1128" style="width:31;height:21600;left:21569;position:absolute;v-text-anchor:top" coordsize="21600,21600" path="m21600,l21600,21600l21600,21600l,21511l,21511l,89l,89l21600,xe" fillcolor="gray" stroked="t">
                  <v:stroke joinstyle="miter"/>
                </v:shape>
              </v:group>
            </w:pict>
          </mc:Fallback>
        </mc:AlternateContent>
      </w:r>
      <w:r w:rsidRPr="00944BFF">
        <w:rPr>
          <w:snapToGrid w:val="0"/>
          <w:color w:val="000000"/>
          <w:sz w:val="24"/>
        </w:rPr>
        <w:t>序号 区域号 省份 站点名称 站类 纬度 经度 开始年月 结束年月 304 54471 辽宁 营口 基本站 4039 12210 195201 数据连续</w:t>
      </w:r>
    </w:p>
    <w:p w:rsidR="00EB2609" w:rsidRPr="00944BFF" w:rsidP="00944BFF">
      <w:pPr>
        <w:numPr>
          <w:ilvl w:val="0"/>
          <w:numId w:val="8"/>
        </w:numPr>
        <w:adjustRightInd w:val="0"/>
        <w:snapToGrid w:val="0"/>
        <w:spacing w:after="0" w:line="360" w:lineRule="auto"/>
        <w:ind w:hanging="785"/>
        <w:rPr>
          <w:snapToGrid w:val="0"/>
          <w:color w:val="000000"/>
          <w:sz w:val="24"/>
        </w:rPr>
      </w:pPr>
      <w:r w:rsidRPr="00944BFF">
        <w:rPr>
          <w:snapToGrid w:val="0"/>
          <w:color w:val="000000"/>
          <w:sz w:val="24"/>
        </w:rPr>
        <w:t>54476</w:t>
      </w:r>
      <w:r w:rsidRPr="00944BFF">
        <w:rPr>
          <w:snapToGrid w:val="0"/>
          <w:color w:val="000000"/>
          <w:sz w:val="24"/>
        </w:rPr>
        <w:tab/>
        <w:t>辽宁</w:t>
      </w:r>
      <w:r w:rsidRPr="00944BFF">
        <w:rPr>
          <w:snapToGrid w:val="0"/>
          <w:color w:val="000000"/>
          <w:sz w:val="24"/>
        </w:rPr>
        <w:tab/>
        <w:t>熊岳</w:t>
      </w:r>
      <w:r w:rsidRPr="00944BFF">
        <w:rPr>
          <w:snapToGrid w:val="0"/>
          <w:color w:val="000000"/>
          <w:sz w:val="24"/>
        </w:rPr>
        <w:tab/>
        <w:t>基本站</w:t>
      </w:r>
      <w:r w:rsidRPr="00944BFF">
        <w:rPr>
          <w:snapToGrid w:val="0"/>
          <w:color w:val="000000"/>
          <w:sz w:val="24"/>
        </w:rPr>
        <w:tab/>
        <w:t>4010</w:t>
      </w:r>
      <w:r w:rsidRPr="00944BFF">
        <w:rPr>
          <w:snapToGrid w:val="0"/>
          <w:color w:val="000000"/>
          <w:sz w:val="24"/>
        </w:rPr>
        <w:tab/>
        <w:t>12209</w:t>
      </w:r>
      <w:r w:rsidRPr="00944BFF">
        <w:rPr>
          <w:snapToGrid w:val="0"/>
          <w:color w:val="000000"/>
          <w:sz w:val="24"/>
        </w:rPr>
        <w:tab/>
        <w:t>195201</w:t>
      </w:r>
      <w:r w:rsidRPr="00944BFF">
        <w:rPr>
          <w:snapToGrid w:val="0"/>
          <w:color w:val="000000"/>
          <w:sz w:val="24"/>
        </w:rPr>
        <w:tab/>
        <w:t>数据连续</w:t>
      </w:r>
    </w:p>
    <w:p w:rsidR="00EB2609" w:rsidRPr="00944BFF" w:rsidP="00944BFF">
      <w:pPr>
        <w:numPr>
          <w:ilvl w:val="0"/>
          <w:numId w:val="8"/>
        </w:numPr>
        <w:adjustRightInd w:val="0"/>
        <w:snapToGrid w:val="0"/>
        <w:spacing w:after="0" w:line="360" w:lineRule="auto"/>
        <w:ind w:hanging="785"/>
        <w:rPr>
          <w:snapToGrid w:val="0"/>
          <w:color w:val="000000"/>
          <w:sz w:val="24"/>
        </w:rPr>
      </w:pPr>
      <w:r w:rsidRPr="00944BFF">
        <w:rPr>
          <w:snapToGrid w:val="0"/>
          <w:color w:val="000000"/>
          <w:sz w:val="24"/>
        </w:rPr>
        <w:t>54483</w:t>
      </w:r>
      <w:r w:rsidRPr="00944BFF">
        <w:rPr>
          <w:snapToGrid w:val="0"/>
          <w:color w:val="000000"/>
          <w:sz w:val="24"/>
        </w:rPr>
        <w:tab/>
        <w:t>辽宁</w:t>
      </w:r>
      <w:r w:rsidRPr="00944BFF">
        <w:rPr>
          <w:snapToGrid w:val="0"/>
          <w:color w:val="000000"/>
          <w:sz w:val="24"/>
        </w:rPr>
        <w:tab/>
        <w:t>草河口</w:t>
      </w:r>
      <w:r w:rsidRPr="00944BFF">
        <w:rPr>
          <w:snapToGrid w:val="0"/>
          <w:color w:val="000000"/>
          <w:sz w:val="24"/>
        </w:rPr>
        <w:tab/>
        <w:t>一般站</w:t>
      </w:r>
      <w:r w:rsidRPr="00944BFF">
        <w:rPr>
          <w:snapToGrid w:val="0"/>
          <w:color w:val="000000"/>
          <w:sz w:val="24"/>
        </w:rPr>
        <w:tab/>
        <w:t>4053</w:t>
      </w:r>
      <w:r w:rsidRPr="00944BFF">
        <w:rPr>
          <w:snapToGrid w:val="0"/>
          <w:color w:val="000000"/>
          <w:sz w:val="24"/>
        </w:rPr>
        <w:tab/>
        <w:t>12354</w:t>
      </w:r>
      <w:r w:rsidRPr="00944BFF">
        <w:rPr>
          <w:snapToGrid w:val="0"/>
          <w:color w:val="000000"/>
          <w:sz w:val="24"/>
        </w:rPr>
        <w:tab/>
        <w:t>195207</w:t>
      </w:r>
      <w:r w:rsidRPr="00944BFF">
        <w:rPr>
          <w:snapToGrid w:val="0"/>
          <w:color w:val="000000"/>
          <w:sz w:val="24"/>
        </w:rPr>
        <w:tab/>
        <w:t>数据连续</w:t>
      </w:r>
    </w:p>
    <w:p w:rsidR="00EB2609" w:rsidRPr="00944BFF" w:rsidP="00944BFF">
      <w:pPr>
        <w:numPr>
          <w:ilvl w:val="0"/>
          <w:numId w:val="8"/>
        </w:numPr>
        <w:adjustRightInd w:val="0"/>
        <w:snapToGrid w:val="0"/>
        <w:spacing w:after="0" w:line="360" w:lineRule="auto"/>
        <w:ind w:hanging="785"/>
        <w:rPr>
          <w:snapToGrid w:val="0"/>
          <w:color w:val="000000"/>
          <w:sz w:val="24"/>
        </w:rPr>
      </w:pPr>
      <w:r w:rsidRPr="00944BFF">
        <w:rPr>
          <w:snapToGrid w:val="0"/>
          <w:color w:val="000000"/>
          <w:sz w:val="24"/>
        </w:rPr>
        <w:t>54486</w:t>
      </w:r>
      <w:r w:rsidRPr="00944BFF">
        <w:rPr>
          <w:snapToGrid w:val="0"/>
          <w:color w:val="000000"/>
          <w:sz w:val="24"/>
        </w:rPr>
        <w:tab/>
        <w:t>辽宁</w:t>
      </w:r>
      <w:r w:rsidRPr="00944BFF">
        <w:rPr>
          <w:snapToGrid w:val="0"/>
          <w:color w:val="000000"/>
          <w:sz w:val="24"/>
        </w:rPr>
        <w:tab/>
        <w:t>岫岩</w:t>
      </w:r>
      <w:r w:rsidRPr="00944BFF">
        <w:rPr>
          <w:snapToGrid w:val="0"/>
          <w:color w:val="000000"/>
          <w:sz w:val="24"/>
        </w:rPr>
        <w:tab/>
        <w:t>基本站</w:t>
      </w:r>
      <w:r w:rsidRPr="00944BFF">
        <w:rPr>
          <w:snapToGrid w:val="0"/>
          <w:color w:val="000000"/>
          <w:sz w:val="24"/>
        </w:rPr>
        <w:tab/>
        <w:t>4017</w:t>
      </w:r>
      <w:r w:rsidRPr="00944BFF">
        <w:rPr>
          <w:snapToGrid w:val="0"/>
          <w:color w:val="000000"/>
          <w:sz w:val="24"/>
        </w:rPr>
        <w:tab/>
        <w:t>12317</w:t>
      </w:r>
      <w:r w:rsidRPr="00944BFF">
        <w:rPr>
          <w:snapToGrid w:val="0"/>
          <w:color w:val="000000"/>
          <w:sz w:val="24"/>
        </w:rPr>
        <w:tab/>
        <w:t>195212</w:t>
      </w:r>
      <w:r w:rsidRPr="00944BFF">
        <w:rPr>
          <w:snapToGrid w:val="0"/>
          <w:color w:val="000000"/>
          <w:sz w:val="24"/>
        </w:rPr>
        <w:tab/>
        <w:t>数据连续</w:t>
      </w:r>
    </w:p>
    <w:p w:rsidR="00EB2609" w:rsidRPr="00944BFF" w:rsidP="00944BFF">
      <w:pPr>
        <w:numPr>
          <w:ilvl w:val="0"/>
          <w:numId w:val="8"/>
        </w:numPr>
        <w:adjustRightInd w:val="0"/>
        <w:snapToGrid w:val="0"/>
        <w:spacing w:after="0" w:line="360" w:lineRule="auto"/>
        <w:ind w:hanging="785"/>
        <w:rPr>
          <w:snapToGrid w:val="0"/>
          <w:color w:val="000000"/>
          <w:sz w:val="24"/>
        </w:rPr>
      </w:pPr>
      <w:r w:rsidRPr="00944BFF">
        <w:rPr>
          <w:snapToGrid w:val="0"/>
          <w:color w:val="000000"/>
          <w:sz w:val="24"/>
        </w:rPr>
        <w:t>54493</w:t>
      </w:r>
      <w:r w:rsidRPr="00944BFF">
        <w:rPr>
          <w:snapToGrid w:val="0"/>
          <w:color w:val="000000"/>
          <w:sz w:val="24"/>
        </w:rPr>
        <w:tab/>
        <w:t>辽宁</w:t>
      </w:r>
      <w:r w:rsidRPr="00944BFF">
        <w:rPr>
          <w:snapToGrid w:val="0"/>
          <w:color w:val="000000"/>
          <w:sz w:val="24"/>
        </w:rPr>
        <w:tab/>
        <w:t>宽甸</w:t>
      </w:r>
      <w:r w:rsidRPr="00944BFF">
        <w:rPr>
          <w:snapToGrid w:val="0"/>
          <w:color w:val="000000"/>
          <w:sz w:val="24"/>
        </w:rPr>
        <w:tab/>
        <w:t>基准站</w:t>
      </w:r>
      <w:r w:rsidRPr="00944BFF">
        <w:rPr>
          <w:snapToGrid w:val="0"/>
          <w:color w:val="000000"/>
          <w:sz w:val="24"/>
        </w:rPr>
        <w:tab/>
        <w:t>4043</w:t>
      </w:r>
      <w:r w:rsidRPr="00944BFF">
        <w:rPr>
          <w:snapToGrid w:val="0"/>
          <w:color w:val="000000"/>
          <w:sz w:val="24"/>
        </w:rPr>
        <w:tab/>
        <w:t>12447</w:t>
      </w:r>
      <w:r w:rsidRPr="00944BFF">
        <w:rPr>
          <w:snapToGrid w:val="0"/>
          <w:color w:val="000000"/>
          <w:sz w:val="24"/>
        </w:rPr>
        <w:tab/>
        <w:t>195401</w:t>
      </w:r>
      <w:r w:rsidRPr="00944BFF">
        <w:rPr>
          <w:snapToGrid w:val="0"/>
          <w:color w:val="000000"/>
          <w:sz w:val="24"/>
        </w:rPr>
        <w:tab/>
        <w:t>数据连续</w:t>
      </w:r>
    </w:p>
    <w:p w:rsidR="00EB2609" w:rsidRPr="00944BFF" w:rsidP="00944BFF">
      <w:pPr>
        <w:numPr>
          <w:ilvl w:val="0"/>
          <w:numId w:val="8"/>
        </w:numPr>
        <w:adjustRightInd w:val="0"/>
        <w:snapToGrid w:val="0"/>
        <w:spacing w:after="0" w:line="360" w:lineRule="auto"/>
        <w:ind w:hanging="785"/>
        <w:rPr>
          <w:snapToGrid w:val="0"/>
          <w:color w:val="000000"/>
          <w:sz w:val="24"/>
        </w:rPr>
      </w:pPr>
      <w:r w:rsidRPr="00944BFF">
        <w:rPr>
          <w:snapToGrid w:val="0"/>
          <w:color w:val="000000"/>
          <w:sz w:val="24"/>
        </w:rPr>
        <w:t>54497</w:t>
      </w:r>
      <w:r w:rsidRPr="00944BFF">
        <w:rPr>
          <w:snapToGrid w:val="0"/>
          <w:color w:val="000000"/>
          <w:sz w:val="24"/>
        </w:rPr>
        <w:tab/>
        <w:t>辽宁</w:t>
      </w:r>
      <w:r w:rsidRPr="00944BFF">
        <w:rPr>
          <w:snapToGrid w:val="0"/>
          <w:color w:val="000000"/>
          <w:sz w:val="24"/>
        </w:rPr>
        <w:tab/>
        <w:t>丹东</w:t>
      </w:r>
      <w:r w:rsidRPr="00944BFF">
        <w:rPr>
          <w:snapToGrid w:val="0"/>
          <w:color w:val="000000"/>
          <w:sz w:val="24"/>
        </w:rPr>
        <w:tab/>
        <w:t>基本站</w:t>
      </w:r>
      <w:r w:rsidRPr="00944BFF">
        <w:rPr>
          <w:snapToGrid w:val="0"/>
          <w:color w:val="000000"/>
          <w:sz w:val="24"/>
        </w:rPr>
        <w:tab/>
        <w:t>4003</w:t>
      </w:r>
      <w:r w:rsidRPr="00944BFF">
        <w:rPr>
          <w:snapToGrid w:val="0"/>
          <w:color w:val="000000"/>
          <w:sz w:val="24"/>
        </w:rPr>
        <w:tab/>
        <w:t>12420</w:t>
      </w:r>
      <w:r w:rsidRPr="00944BFF">
        <w:rPr>
          <w:snapToGrid w:val="0"/>
          <w:color w:val="000000"/>
          <w:sz w:val="24"/>
        </w:rPr>
        <w:tab/>
        <w:t>195101</w:t>
      </w:r>
      <w:r w:rsidRPr="00944BFF">
        <w:rPr>
          <w:snapToGrid w:val="0"/>
          <w:color w:val="000000"/>
          <w:sz w:val="24"/>
        </w:rPr>
        <w:tab/>
        <w:t>数据连续</w:t>
      </w:r>
      <w:r w:rsidRPr="00944BFF">
        <w:rPr>
          <w:snapToGrid w:val="0"/>
          <w:color w:val="000000"/>
          <w:sz w:val="24"/>
        </w:rPr>
        <w:br/>
      </w:r>
      <w:r w:rsidRPr="00944BFF">
        <w:rPr>
          <w:snapToGrid w:val="0"/>
          <w:color w:val="000000"/>
          <w:sz w:val="24"/>
        </w:rPr>
        <w:br/>
      </w:r>
    </w:p>
    <w:p>
      <w:pPr>
        <w:spacing w:after="0" w:line="240" w:lineRule="auto"/>
        <w:ind w:left="0" w:firstLine="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https://d.book118.com/136232153225010051</w:t>
        </w:r>
      </w:hyperlink>
    </w:p>
    <w:p w:rsidR="00EB2609" w:rsidRPr="00944BFF" w:rsidP="00944BFF">
      <w:pPr>
        <w:numPr>
          <w:ilvl w:val="0"/>
          <w:numId w:val="8"/>
        </w:numPr>
        <w:adjustRightInd w:val="0"/>
        <w:snapToGrid w:val="0"/>
        <w:spacing w:after="0" w:line="360" w:lineRule="auto"/>
        <w:ind w:hanging="785"/>
        <w:rPr>
          <w:snapToGrid w:val="0"/>
          <w:color w:val="000000"/>
          <w:sz w:val="24"/>
        </w:rPr>
      </w:pPr>
    </w:p>
    <w:sectPr>
      <w:headerReference w:type="even" r:id="rId71"/>
      <w:headerReference w:type="default" r:id="rId72"/>
      <w:footerReference w:type="even" r:id="rId73"/>
      <w:footerReference w:type="default" r:id="rId74"/>
      <w:headerReference w:type="first" r:id="rId75"/>
      <w:footerReference w:type="first" r:id="rId76"/>
      <w:type w:val="nextPage"/>
      <w:pgSz w:w="12240" w:h="15840"/>
      <w:pgMar w:top="720" w:right="915" w:bottom="721" w:left="720" w:header="150" w:footer="227" w:gutter="0"/>
      <w:pgNumType w:start="12"/>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58240"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5380" name="Picture 15380"/>
          <wp:cNvGraphicFramePr/>
          <a:graphic xmlns:a="http://schemas.openxmlformats.org/drawingml/2006/main">
            <a:graphicData uri="http://schemas.openxmlformats.org/drawingml/2006/picture">
              <pic:pic xmlns:pic="http://schemas.openxmlformats.org/drawingml/2006/picture">
                <pic:nvPicPr>
                  <pic:cNvPr id="15380"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59264"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827553100" name="Picture 15380"/>
          <wp:cNvGraphicFramePr/>
          <a:graphic xmlns:a="http://schemas.openxmlformats.org/drawingml/2006/main">
            <a:graphicData uri="http://schemas.openxmlformats.org/drawingml/2006/picture">
              <pic:pic xmlns:pic="http://schemas.openxmlformats.org/drawingml/2006/picture">
                <pic:nvPicPr>
                  <pic:cNvPr id="1827553100"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0288"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699651140" name="Picture 15380"/>
          <wp:cNvGraphicFramePr/>
          <a:graphic xmlns:a="http://schemas.openxmlformats.org/drawingml/2006/main">
            <a:graphicData uri="http://schemas.openxmlformats.org/drawingml/2006/picture">
              <pic:pic xmlns:pic="http://schemas.openxmlformats.org/drawingml/2006/picture">
                <pic:nvPicPr>
                  <pic:cNvPr id="699651140"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1312"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55795558" name="Picture 15380"/>
          <wp:cNvGraphicFramePr/>
          <a:graphic xmlns:a="http://schemas.openxmlformats.org/drawingml/2006/main">
            <a:graphicData uri="http://schemas.openxmlformats.org/drawingml/2006/picture">
              <pic:pic xmlns:pic="http://schemas.openxmlformats.org/drawingml/2006/picture">
                <pic:nvPicPr>
                  <pic:cNvPr id="155795558"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2336"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257492539" name="Picture 15380"/>
          <wp:cNvGraphicFramePr/>
          <a:graphic xmlns:a="http://schemas.openxmlformats.org/drawingml/2006/main">
            <a:graphicData uri="http://schemas.openxmlformats.org/drawingml/2006/picture">
              <pic:pic xmlns:pic="http://schemas.openxmlformats.org/drawingml/2006/picture">
                <pic:nvPicPr>
                  <pic:cNvPr id="1257492539"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3360"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453611615" name="Picture 15380"/>
          <wp:cNvGraphicFramePr/>
          <a:graphic xmlns:a="http://schemas.openxmlformats.org/drawingml/2006/main">
            <a:graphicData uri="http://schemas.openxmlformats.org/drawingml/2006/picture">
              <pic:pic xmlns:pic="http://schemas.openxmlformats.org/drawingml/2006/picture">
                <pic:nvPicPr>
                  <pic:cNvPr id="1453611615"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4384"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696315940" name="Picture 15380"/>
          <wp:cNvGraphicFramePr/>
          <a:graphic xmlns:a="http://schemas.openxmlformats.org/drawingml/2006/main">
            <a:graphicData uri="http://schemas.openxmlformats.org/drawingml/2006/picture">
              <pic:pic xmlns:pic="http://schemas.openxmlformats.org/drawingml/2006/picture">
                <pic:nvPicPr>
                  <pic:cNvPr id="696315940"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5408"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109274312" name="Picture 15380"/>
          <wp:cNvGraphicFramePr/>
          <a:graphic xmlns:a="http://schemas.openxmlformats.org/drawingml/2006/main">
            <a:graphicData uri="http://schemas.openxmlformats.org/drawingml/2006/picture">
              <pic:pic xmlns:pic="http://schemas.openxmlformats.org/drawingml/2006/picture">
                <pic:nvPicPr>
                  <pic:cNvPr id="1109274312"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6432"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12331733" name="Picture 15380"/>
          <wp:cNvGraphicFramePr/>
          <a:graphic xmlns:a="http://schemas.openxmlformats.org/drawingml/2006/main">
            <a:graphicData uri="http://schemas.openxmlformats.org/drawingml/2006/picture">
              <pic:pic xmlns:pic="http://schemas.openxmlformats.org/drawingml/2006/picture">
                <pic:nvPicPr>
                  <pic:cNvPr id="112331733"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7456"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370515523" name="Picture 15380"/>
          <wp:cNvGraphicFramePr/>
          <a:graphic xmlns:a="http://schemas.openxmlformats.org/drawingml/2006/main">
            <a:graphicData uri="http://schemas.openxmlformats.org/drawingml/2006/picture">
              <pic:pic xmlns:pic="http://schemas.openxmlformats.org/drawingml/2006/picture">
                <pic:nvPicPr>
                  <pic:cNvPr id="1370515523"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8480"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1793162190" name="Picture 15380"/>
          <wp:cNvGraphicFramePr/>
          <a:graphic xmlns:a="http://schemas.openxmlformats.org/drawingml/2006/main">
            <a:graphicData uri="http://schemas.openxmlformats.org/drawingml/2006/picture">
              <pic:pic xmlns:pic="http://schemas.openxmlformats.org/drawingml/2006/picture">
                <pic:nvPicPr>
                  <pic:cNvPr id="1793162190"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195" w:firstLine="0"/>
      <w:jc w:val="center"/>
    </w:pPr>
    <w:r>
      <w:rPr>
        <w:noProof/>
      </w:rPr>
      <w:drawing>
        <wp:anchor distT="0" distB="0" distL="114300" distR="114300" simplePos="0" relativeHeight="251669504" behindDoc="0" locked="0" layoutInCell="1" allowOverlap="0">
          <wp:simplePos x="0" y="0"/>
          <wp:positionH relativeFrom="page">
            <wp:posOffset>457200</wp:posOffset>
          </wp:positionH>
          <wp:positionV relativeFrom="page">
            <wp:posOffset>9258300</wp:posOffset>
          </wp:positionV>
          <wp:extent cx="6766561" cy="347472"/>
          <wp:effectExtent l="0" t="0" r="0" b="0"/>
          <wp:wrapSquare wrapText="bothSides"/>
          <wp:docPr id="2109317638" name="Picture 15380"/>
          <wp:cNvGraphicFramePr/>
          <a:graphic xmlns:a="http://schemas.openxmlformats.org/drawingml/2006/main">
            <a:graphicData uri="http://schemas.openxmlformats.org/drawingml/2006/picture">
              <pic:pic xmlns:pic="http://schemas.openxmlformats.org/drawingml/2006/picture">
                <pic:nvPicPr>
                  <pic:cNvPr id="2109317638" name="Picture 15380"/>
                  <pic:cNvPicPr/>
                </pic:nvPicPr>
                <pic:blipFill>
                  <a:blip xmlns:r="http://schemas.openxmlformats.org/officeDocument/2006/relationships" r:embed="rId1"/>
                  <a:stretch>
                    <a:fillRect/>
                  </a:stretch>
                </pic:blipFill>
                <pic:spPr>
                  <a:xfrm>
                    <a:off x="0" y="0"/>
                    <a:ext cx="6766561" cy="347472"/>
                  </a:xfrm>
                  <a:prstGeom prst="rect">
                    <a:avLst/>
                  </a:prstGeom>
                </pic:spPr>
              </pic:pic>
            </a:graphicData>
          </a:graphic>
        </wp:anchor>
      </w:drawing>
    </w:r>
    <w:r>
      <w:fldChar w:fldCharType="begin"/>
    </w:r>
    <w:r>
      <w:instrText xml:space="preserve"> PAGE   \* MERGEFORMAT </w:instrText>
    </w:r>
    <w:r>
      <w:fldChar w:fldCharType="separate"/>
    </w:r>
    <w:r>
      <w:rPr>
        <w:rFonts w:ascii="Times New Roman" w:eastAsia="Times New Roman" w:hAnsi="Times New Roman" w:cs="Times New Roman"/>
        <w:color w:val="000000"/>
        <w:sz w:val="24"/>
      </w:rPr>
      <w:t>12</w:t>
    </w:r>
    <w:r>
      <w:rPr>
        <w:rFonts w:ascii="Times New Roman" w:eastAsia="Times New Roman" w:hAnsi="Times New Roman" w:cs="Times New Roman"/>
        <w:color w:val="000000"/>
        <w:sz w:val="24"/>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58240"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4" name="Picture 157"/>
          <wp:cNvGraphicFramePr/>
          <a:graphic xmlns:a="http://schemas.openxmlformats.org/drawingml/2006/main">
            <a:graphicData uri="http://schemas.openxmlformats.org/drawingml/2006/picture">
              <pic:pic xmlns:pic="http://schemas.openxmlformats.org/drawingml/2006/picture">
                <pic:nvPicPr>
                  <pic:cNvPr id="4"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59264"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785257621" name="Picture 157"/>
          <wp:cNvGraphicFramePr/>
          <a:graphic xmlns:a="http://schemas.openxmlformats.org/drawingml/2006/main">
            <a:graphicData uri="http://schemas.openxmlformats.org/drawingml/2006/picture">
              <pic:pic xmlns:pic="http://schemas.openxmlformats.org/drawingml/2006/picture">
                <pic:nvPicPr>
                  <pic:cNvPr id="785257621"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0288"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420214728" name="Picture 157"/>
          <wp:cNvGraphicFramePr/>
          <a:graphic xmlns:a="http://schemas.openxmlformats.org/drawingml/2006/main">
            <a:graphicData uri="http://schemas.openxmlformats.org/drawingml/2006/picture">
              <pic:pic xmlns:pic="http://schemas.openxmlformats.org/drawingml/2006/picture">
                <pic:nvPicPr>
                  <pic:cNvPr id="420214728"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1312"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599154353" name="Picture 157"/>
          <wp:cNvGraphicFramePr/>
          <a:graphic xmlns:a="http://schemas.openxmlformats.org/drawingml/2006/main">
            <a:graphicData uri="http://schemas.openxmlformats.org/drawingml/2006/picture">
              <pic:pic xmlns:pic="http://schemas.openxmlformats.org/drawingml/2006/picture">
                <pic:nvPicPr>
                  <pic:cNvPr id="1599154353"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2336"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627024912" name="Picture 157"/>
          <wp:cNvGraphicFramePr/>
          <a:graphic xmlns:a="http://schemas.openxmlformats.org/drawingml/2006/main">
            <a:graphicData uri="http://schemas.openxmlformats.org/drawingml/2006/picture">
              <pic:pic xmlns:pic="http://schemas.openxmlformats.org/drawingml/2006/picture">
                <pic:nvPicPr>
                  <pic:cNvPr id="627024912"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3360"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860013568" name="Picture 157"/>
          <wp:cNvGraphicFramePr/>
          <a:graphic xmlns:a="http://schemas.openxmlformats.org/drawingml/2006/main">
            <a:graphicData uri="http://schemas.openxmlformats.org/drawingml/2006/picture">
              <pic:pic xmlns:pic="http://schemas.openxmlformats.org/drawingml/2006/picture">
                <pic:nvPicPr>
                  <pic:cNvPr id="860013568"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4384"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814977319" name="Picture 157"/>
          <wp:cNvGraphicFramePr/>
          <a:graphic xmlns:a="http://schemas.openxmlformats.org/drawingml/2006/main">
            <a:graphicData uri="http://schemas.openxmlformats.org/drawingml/2006/picture">
              <pic:pic xmlns:pic="http://schemas.openxmlformats.org/drawingml/2006/picture">
                <pic:nvPicPr>
                  <pic:cNvPr id="1814977319"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5408"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996284623" name="Picture 157"/>
          <wp:cNvGraphicFramePr/>
          <a:graphic xmlns:a="http://schemas.openxmlformats.org/drawingml/2006/main">
            <a:graphicData uri="http://schemas.openxmlformats.org/drawingml/2006/picture">
              <pic:pic xmlns:pic="http://schemas.openxmlformats.org/drawingml/2006/picture">
                <pic:nvPicPr>
                  <pic:cNvPr id="996284623"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6432"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324254843" name="Picture 157"/>
          <wp:cNvGraphicFramePr/>
          <a:graphic xmlns:a="http://schemas.openxmlformats.org/drawingml/2006/main">
            <a:graphicData uri="http://schemas.openxmlformats.org/drawingml/2006/picture">
              <pic:pic xmlns:pic="http://schemas.openxmlformats.org/drawingml/2006/picture">
                <pic:nvPicPr>
                  <pic:cNvPr id="1324254843"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7456"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307566658" name="Picture 157"/>
          <wp:cNvGraphicFramePr/>
          <a:graphic xmlns:a="http://schemas.openxmlformats.org/drawingml/2006/main">
            <a:graphicData uri="http://schemas.openxmlformats.org/drawingml/2006/picture">
              <pic:pic xmlns:pic="http://schemas.openxmlformats.org/drawingml/2006/picture">
                <pic:nvPicPr>
                  <pic:cNvPr id="307566658"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8480"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765916724" name="Picture 157"/>
          <wp:cNvGraphicFramePr/>
          <a:graphic xmlns:a="http://schemas.openxmlformats.org/drawingml/2006/main">
            <a:graphicData uri="http://schemas.openxmlformats.org/drawingml/2006/picture">
              <pic:pic xmlns:pic="http://schemas.openxmlformats.org/drawingml/2006/picture">
                <pic:nvPicPr>
                  <pic:cNvPr id="765916724"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pPr>
      <w:spacing w:after="0" w:line="259" w:lineRule="auto"/>
      <w:ind w:left="-720" w:right="7035" w:firstLine="0"/>
    </w:pPr>
    <w:r>
      <w:rPr>
        <w:noProof/>
      </w:rPr>
      <w:drawing>
        <wp:anchor distT="0" distB="0" distL="114300" distR="114300" simplePos="0" relativeHeight="251669504"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491464596" name="Picture 157"/>
          <wp:cNvGraphicFramePr/>
          <a:graphic xmlns:a="http://schemas.openxmlformats.org/drawingml/2006/main">
            <a:graphicData uri="http://schemas.openxmlformats.org/drawingml/2006/picture">
              <pic:pic xmlns:pic="http://schemas.openxmlformats.org/drawingml/2006/picture">
                <pic:nvPicPr>
                  <pic:cNvPr id="491464596" name="Picture 15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609" w:rsidRPr="00944BFF" w:rsidP="00944B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4EE0B2E"/>
    <w:multiLevelType w:val="multilevel"/>
    <w:tmpl w:val="17BCEFFE"/>
    <w:lvl w:ilvl="0">
      <w:start w:val="3"/>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4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
    <w:nsid w:val="29026079"/>
    <w:multiLevelType w:val="multilevel"/>
    <w:tmpl w:val="A2D437D2"/>
    <w:lvl w:ilvl="0">
      <w:start w:val="2"/>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4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2">
    <w:nsid w:val="29834B6B"/>
    <w:multiLevelType w:val="hybridMultilevel"/>
    <w:tmpl w:val="F79E191C"/>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3">
    <w:nsid w:val="2A356B4B"/>
    <w:multiLevelType w:val="hybridMultilevel"/>
    <w:tmpl w:val="D17E8396"/>
    <w:lvl w:ilvl="0">
      <w:start w:val="0"/>
      <w:numFmt w:val="decimal"/>
      <w:lvlText w:val="%1"/>
      <w:lvlJc w:val="left"/>
      <w:pPr>
        <w:ind w:left="734"/>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5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7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4">
    <w:nsid w:val="2D166FCE"/>
    <w:multiLevelType w:val="multilevel"/>
    <w:tmpl w:val="17BCEFFE"/>
    <w:lvl w:ilvl="0">
      <w:start w:val="3"/>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4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5">
    <w:nsid w:val="33241DA6"/>
    <w:multiLevelType w:val="hybridMultilevel"/>
    <w:tmpl w:val="444C9378"/>
    <w:lvl w:ilvl="0">
      <w:start w:val="4"/>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6">
    <w:nsid w:val="37404BBD"/>
    <w:multiLevelType w:val="hybridMultilevel"/>
    <w:tmpl w:val="990E1248"/>
    <w:lvl w:ilvl="0">
      <w:start w:val="20051"/>
      <w:numFmt w:val="decimal"/>
      <w:lvlText w:val="%1"/>
      <w:lvlJc w:val="left"/>
      <w:pPr>
        <w:ind w:left="734"/>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5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7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7">
    <w:nsid w:val="4B3C7004"/>
    <w:multiLevelType w:val="multilevel"/>
    <w:tmpl w:val="4A0C1C3C"/>
    <w:lvl w:ilvl="0">
      <w:start w:val="5"/>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4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decimal"/>
      <w:lvlText w:val="%1.%2.%3"/>
      <w:lvlJc w:val="left"/>
      <w:pPr>
        <w:ind w:left="63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8">
    <w:nsid w:val="55975C7D"/>
    <w:multiLevelType w:val="hybridMultilevel"/>
    <w:tmpl w:val="0406982C"/>
    <w:lvl w:ilvl="0">
      <w:start w:val="305"/>
      <w:numFmt w:val="decimal"/>
      <w:lvlText w:val="%1"/>
      <w:lvlJc w:val="left"/>
      <w:pPr>
        <w:ind w:left="78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5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7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9">
    <w:nsid w:val="6A564022"/>
    <w:multiLevelType w:val="hybridMultilevel"/>
    <w:tmpl w:val="14F43B52"/>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0">
    <w:nsid w:val="6C747838"/>
    <w:multiLevelType w:val="hybridMultilevel"/>
    <w:tmpl w:val="BBA895FC"/>
    <w:lvl w:ilvl="0">
      <w:start w:val="1"/>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1">
    <w:nsid w:val="6F544676"/>
    <w:multiLevelType w:val="hybridMultilevel"/>
    <w:tmpl w:val="ABEE64E6"/>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2">
    <w:nsid w:val="76E92BBE"/>
    <w:multiLevelType w:val="hybridMultilevel"/>
    <w:tmpl w:val="8F08AD68"/>
    <w:lvl w:ilvl="0">
      <w:start w:val="0"/>
      <w:numFmt w:val="decimal"/>
      <w:lvlText w:val="%1"/>
      <w:lvlJc w:val="left"/>
      <w:pPr>
        <w:ind w:left="743"/>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5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7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9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1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3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num w:numId="1">
    <w:abstractNumId w:val="10"/>
  </w:num>
  <w:num w:numId="2">
    <w:abstractNumId w:val="2"/>
  </w:num>
  <w:num w:numId="3">
    <w:abstractNumId w:val="11"/>
  </w:num>
  <w:num w:numId="4">
    <w:abstractNumId w:val="1"/>
  </w:num>
  <w:num w:numId="5">
    <w:abstractNumId w:val="9"/>
  </w:num>
  <w:num w:numId="6">
    <w:abstractNumId w:val="4"/>
  </w:num>
  <w:num w:numId="7">
    <w:abstractNumId w:val="5"/>
  </w:num>
  <w:num w:numId="8">
    <w:abstractNumId w:val="8"/>
  </w:num>
  <w:num w:numId="9">
    <w:abstractNumId w:val="3"/>
  </w:num>
  <w:num w:numId="10">
    <w:abstractNumId w:val="6"/>
  </w:num>
  <w:num w:numId="11">
    <w:abstractNumId w:val="12"/>
  </w:num>
  <w:num w:numId="12">
    <w:abstractNumId w:val="7"/>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609"/>
    <w:rsid w:val="00061FCA"/>
    <w:rsid w:val="00471962"/>
    <w:rsid w:val="00944BFF"/>
    <w:rsid w:val="00991851"/>
    <w:rsid w:val="00EB2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E2B7787-CA3F-493A-99DE-C9B7A03E7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71" w:lineRule="auto"/>
      <w:ind w:left="10" w:hanging="10"/>
    </w:pPr>
    <w:rPr>
      <w:rFonts w:ascii="宋体" w:eastAsia="宋体" w:hAnsi="宋体" w:cs="宋体"/>
      <w:color w:val="1A1A1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36232153225010051"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numbering" Target="numbering.xml" /><Relationship Id="rId79"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s>
</file>

<file path=word/_rels/footer19.xml.rels><?xml version="1.0" encoding="utf-8" standalone="yes"?><Relationships xmlns="http://schemas.openxmlformats.org/package/2006/relationships"><Relationship Id="rId1" Type="http://schemas.openxmlformats.org/officeDocument/2006/relationships/image" Target="media/image2.png" /></Relationships>
</file>

<file path=word/_rels/footer22.xml.rels><?xml version="1.0" encoding="utf-8" standalone="yes"?><Relationships xmlns="http://schemas.openxmlformats.org/package/2006/relationships"><Relationship Id="rId1" Type="http://schemas.openxmlformats.org/officeDocument/2006/relationships/image" Target="media/image2.png" /></Relationships>
</file>

<file path=word/_rels/footer25.xml.rels><?xml version="1.0" encoding="utf-8" standalone="yes"?><Relationships xmlns="http://schemas.openxmlformats.org/package/2006/relationships"><Relationship Id="rId1" Type="http://schemas.openxmlformats.org/officeDocument/2006/relationships/image" Target="media/image2.png" /></Relationships>
</file>

<file path=word/_rels/footer28.xml.rels><?xml version="1.0" encoding="utf-8" standalone="yes"?><Relationships xmlns="http://schemas.openxmlformats.org/package/2006/relationships"><Relationship Id="rId1" Type="http://schemas.openxmlformats.org/officeDocument/2006/relationships/image" Target="media/image2.png" /></Relationships>
</file>

<file path=word/_rels/footer31.xml.rels><?xml version="1.0" encoding="utf-8" standalone="yes"?><Relationships xmlns="http://schemas.openxmlformats.org/package/2006/relationships"><Relationship Id="rId1" Type="http://schemas.openxmlformats.org/officeDocument/2006/relationships/image" Target="media/image2.png" /></Relationships>
</file>

<file path=word/_rels/footer34.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12</Pages>
  <Words>10513</Words>
  <Characters>11461</Characters>
  <Application>Microsoft Office Word</Application>
  <DocSecurity>0</DocSecurity>
  <Lines>301</Lines>
  <Paragraphs>194</Paragraphs>
  <ScaleCrop>false</ScaleCrop>
  <Company/>
  <LinksUpToDate>false</LinksUpToDate>
  <CharactersWithSpaces>21780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2024-02-13T03:17:00Z</dcterms:created>
  <dcterms:modified xsi:type="dcterms:W3CDTF">2024-02-13T03:24:00Z</dcterms:modified>
</cp:coreProperties>
</file>