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06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692183</wp:posOffset>
            </wp:positionH>
            <wp:positionV relativeFrom="page">
              <wp:posOffset>495328</wp:posOffset>
            </wp:positionV>
            <wp:extent cx="1498573" cy="596887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8573" cy="5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8" w:line="219" w:lineRule="auto"/>
        <w:ind w:left="15140"/>
        <w:rPr>
          <w:rFonts w:ascii="SimSun" w:eastAsia="SimSun" w:hAnsi="SimSun" w:cs="SimSun"/>
          <w:sz w:val="21"/>
          <w:szCs w:val="21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-513679</wp:posOffset>
            </wp:positionV>
            <wp:extent cx="10693400" cy="755650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color w:val="428AD2"/>
          <w:spacing w:val="-8"/>
          <w:sz w:val="21"/>
          <w:szCs w:val="21"/>
        </w:rPr>
        <w:t>电子书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283" w:line="222" w:lineRule="auto"/>
        <w:ind w:left="1152" w:right="370"/>
        <w:outlineLvl w:val="0"/>
        <w:rPr>
          <w:rFonts w:ascii="SimSun" w:eastAsia="SimSun" w:hAnsi="SimSun" w:cs="SimSun"/>
          <w:sz w:val="87"/>
          <w:szCs w:val="87"/>
        </w:rPr>
      </w:pPr>
      <w:r>
        <w:rPr>
          <w:rFonts w:ascii="SimSun" w:eastAsia="SimSun" w:hAnsi="SimSun" w:cs="SimSun"/>
          <w:b/>
          <w:bCs/>
          <w:color w:val="FFFFFF"/>
          <w:spacing w:val="21"/>
          <w:sz w:val="87"/>
          <w:szCs w:val="87"/>
        </w:rPr>
        <w:t>五个制造组织如何重新构想其劳动力和</w:t>
      </w:r>
      <w:r>
        <w:rPr>
          <w:rFonts w:ascii="SimSun" w:eastAsia="SimSun" w:hAnsi="SimSun" w:cs="SimSun"/>
          <w:color w:val="FFFFFF"/>
          <w:spacing w:val="13"/>
          <w:sz w:val="87"/>
          <w:szCs w:val="87"/>
        </w:rPr>
        <w:t xml:space="preserve"> </w:t>
      </w:r>
      <w:r>
        <w:rPr>
          <w:rFonts w:ascii="SimSun" w:eastAsia="SimSun" w:hAnsi="SimSun" w:cs="SimSun"/>
          <w:b/>
          <w:bCs/>
          <w:color w:val="FFFFFF"/>
          <w:spacing w:val="22"/>
          <w:sz w:val="87"/>
          <w:szCs w:val="87"/>
        </w:rPr>
        <w:t>运营</w:t>
      </w:r>
    </w:p>
    <w:p>
      <w:pPr>
        <w:spacing w:before="250" w:line="219" w:lineRule="auto"/>
        <w:ind w:left="1140"/>
        <w:rPr>
          <w:rFonts w:ascii="SimSun" w:eastAsia="SimSun" w:hAnsi="SimSun" w:cs="SimSun"/>
          <w:sz w:val="31"/>
          <w:szCs w:val="31"/>
        </w:rPr>
      </w:pPr>
      <w:r>
        <w:rPr>
          <w:rFonts w:ascii="SimSun" w:eastAsia="SimSun" w:hAnsi="SimSun" w:cs="SimSun"/>
          <w:color w:val="58A0D0"/>
          <w:spacing w:val="-6"/>
          <w:sz w:val="31"/>
          <w:szCs w:val="31"/>
        </w:rPr>
        <w:t>集中式劳动力数据的力量、持续改进和</w:t>
      </w:r>
    </w:p>
    <w:p>
      <w:pPr>
        <w:spacing w:before="169" w:line="4350" w:lineRule="exact"/>
        <w:ind w:firstLine="7669"/>
      </w:pPr>
      <w:r>
        <w:rPr>
          <w:position w:val="-87"/>
        </w:rPr>
        <w:drawing>
          <wp:inline distT="0" distB="0" distL="0" distR="0">
            <wp:extent cx="5137217" cy="2762278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7217" cy="276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350" w:lineRule="exact"/>
        <w:sectPr>
          <w:headerReference w:type="default" r:id="rId7"/>
          <w:pgSz w:w="16840" w:h="1190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107" w:line="221" w:lineRule="auto"/>
        <w:ind w:left="3564"/>
        <w:rPr>
          <w:rFonts w:ascii="SimSun" w:eastAsia="SimSun" w:hAnsi="SimSun" w:cs="SimSun"/>
          <w:sz w:val="33"/>
          <w:szCs w:val="33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-2161872</wp:posOffset>
            </wp:positionV>
            <wp:extent cx="10693400" cy="755650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69340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b/>
          <w:bCs/>
          <w:color w:val="FFFFFF"/>
          <w:spacing w:val="6"/>
          <w:sz w:val="33"/>
          <w:szCs w:val="33"/>
        </w:rPr>
        <w:t>目录</w:t>
      </w: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69" w:line="225" w:lineRule="auto"/>
        <w:ind w:left="3559"/>
        <w:rPr>
          <w:rFonts w:ascii="KaiTi" w:eastAsia="KaiTi" w:hAnsi="KaiTi" w:cs="KaiTi"/>
          <w:sz w:val="21"/>
          <w:szCs w:val="21"/>
        </w:rPr>
      </w:pPr>
      <w:r>
        <w:rPr>
          <w:rFonts w:ascii="KaiTi" w:eastAsia="KaiTi" w:hAnsi="KaiTi" w:cs="KaiTi"/>
          <w:color w:val="59B7F6"/>
          <w:spacing w:val="-8"/>
          <w:sz w:val="21"/>
          <w:szCs w:val="21"/>
        </w:rPr>
        <w:t>罗尔斯·罗伊斯-新数据中心彻底改变了对劳动力成本的理解4</w:t>
      </w:r>
    </w:p>
    <w:p>
      <w:pPr>
        <w:pStyle w:val="BodyText"/>
        <w:spacing w:line="262" w:lineRule="auto"/>
      </w:pPr>
    </w:p>
    <w:p>
      <w:pPr>
        <w:pStyle w:val="BodyText"/>
        <w:spacing w:line="262" w:lineRule="auto"/>
      </w:pPr>
    </w:p>
    <w:p>
      <w:pPr>
        <w:pStyle w:val="BodyText"/>
        <w:spacing w:line="263" w:lineRule="auto"/>
      </w:pPr>
    </w:p>
    <w:p>
      <w:pPr>
        <w:spacing w:before="68" w:line="214" w:lineRule="auto"/>
        <w:ind w:left="35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5AB7F6"/>
          <w:spacing w:val="-5"/>
          <w:sz w:val="21"/>
          <w:szCs w:val="21"/>
        </w:rPr>
        <w:t>Tepcon-通过可视化和民主化人力资源数据来转变人力资源管理8</w:t>
      </w:r>
    </w:p>
    <w:p>
      <w:pPr>
        <w:spacing w:before="290" w:line="218" w:lineRule="auto"/>
        <w:ind w:left="35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5AB7F6"/>
          <w:spacing w:val="-5"/>
          <w:sz w:val="21"/>
          <w:szCs w:val="21"/>
        </w:rPr>
        <w:t>Jotun-行业领导者获得全球运营交付的新见解10</w:t>
      </w:r>
    </w:p>
    <w:p>
      <w:pPr>
        <w:spacing w:before="252" w:line="219" w:lineRule="auto"/>
        <w:ind w:left="35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5AB7F6"/>
          <w:spacing w:val="-9"/>
          <w:sz w:val="21"/>
          <w:szCs w:val="21"/>
        </w:rPr>
        <w:t>Flex-Flex通过单一系统为其全球员工保持简单性12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  <w:sectPr>
          <w:headerReference w:type="default" r:id="rId9"/>
          <w:pgSz w:w="16840" w:h="11900"/>
          <w:pgMar w:top="400" w:right="0" w:bottom="0" w:left="0" w:header="0" w:footer="0" w:gutter="0"/>
          <w:pgNumType w:start="2"/>
          <w:cols w:space="708"/>
        </w:sectPr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56" w:line="219" w:lineRule="auto"/>
        <w:ind w:left="899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color w:val="55ACEF"/>
          <w:spacing w:val="-7"/>
          <w:sz w:val="17"/>
          <w:szCs w:val="17"/>
        </w:rPr>
        <w:t>五个利流组织如何承塑其劳动力和运营12</w:t>
      </w:r>
    </w:p>
    <w:p>
      <w:pPr>
        <w:spacing w:line="219" w:lineRule="auto"/>
        <w:rPr>
          <w:rFonts w:ascii="SimSun" w:eastAsia="SimSun" w:hAnsi="SimSun" w:cs="SimSun"/>
          <w:sz w:val="17"/>
          <w:szCs w:val="17"/>
        </w:rPr>
        <w:sectPr>
          <w:headerReference w:type="default" r:id="rId10"/>
          <w:type w:val="nextPage"/>
          <w:pgSz w:w="16840" w:h="11900"/>
          <w:pgMar w:top="400" w:right="0" w:bottom="0" w:left="0" w:header="0" w:footer="0" w:gutter="0"/>
          <w:pgNumType w:start="3"/>
          <w:cols w:space="708"/>
          <w:titlePg w:val="0"/>
        </w:sectPr>
      </w:pPr>
    </w:p>
    <w:p>
      <w:pPr>
        <w:spacing w:before="18"/>
      </w:pPr>
    </w:p>
    <w:p>
      <w:pPr>
        <w:spacing w:before="18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pacing w:before="17"/>
      </w:pPr>
    </w:p>
    <w:p>
      <w:pPr>
        <w:sectPr>
          <w:headerReference w:type="default" r:id="rId11"/>
          <w:pgSz w:w="16840" w:h="11900"/>
          <w:pgMar w:top="400" w:right="0" w:bottom="0" w:left="1140" w:header="0" w:footer="0" w:gutter="0"/>
          <w:pgNumType w:start="4"/>
          <w:cols w:num="1" w:space="708" w:equalWidth="0">
            <w:col w:w="15700" w:space="0"/>
          </w:cols>
        </w:sectPr>
      </w:pPr>
    </w:p>
    <w:p>
      <w:pPr>
        <w:pStyle w:val="BodyText"/>
        <w:spacing w:before="1" w:line="195" w:lineRule="auto"/>
        <w:rPr>
          <w:sz w:val="28"/>
          <w:szCs w:val="28"/>
        </w:rPr>
      </w:pPr>
      <w:r>
        <w:rPr>
          <w:b/>
          <w:bCs/>
          <w:color w:val="005BB7"/>
          <w:spacing w:val="-6"/>
          <w:sz w:val="28"/>
          <w:szCs w:val="28"/>
        </w:rPr>
        <w:t>Introduction</w:t>
      </w:r>
    </w:p>
    <w:p>
      <w:pPr>
        <w:spacing w:before="81" w:line="236" w:lineRule="auto"/>
        <w:ind w:right="32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2"/>
          <w:sz w:val="19"/>
          <w:szCs w:val="19"/>
        </w:rPr>
        <w:t>在过去的五年中，  全球制造业市场面临着前所未有的变化。从全球大流行的地</w:t>
      </w:r>
      <w:r>
        <w:rPr>
          <w:rFonts w:ascii="SimSun" w:eastAsia="SimSun" w:hAnsi="SimSun" w:cs="SimSun"/>
          <w:spacing w:val="8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6"/>
          <w:sz w:val="19"/>
          <w:szCs w:val="19"/>
        </w:rPr>
        <w:t>震影响到劳动力和劳动力短缺的持续困难，企业已经</w:t>
      </w:r>
    </w:p>
    <w:p>
      <w:pPr>
        <w:pStyle w:val="BodyText"/>
        <w:spacing w:before="26" w:line="198" w:lineRule="auto"/>
        <w:rPr>
          <w:sz w:val="19"/>
          <w:szCs w:val="19"/>
        </w:rPr>
      </w:pPr>
      <w:r>
        <w:rPr>
          <w:b/>
          <w:bCs/>
          <w:sz w:val="19"/>
          <w:szCs w:val="19"/>
        </w:rPr>
        <w:t>had  to  adapt  to  a  strenous</w:t>
      </w:r>
      <w:r>
        <w:rPr>
          <w:b/>
          <w:bCs/>
          <w:spacing w:val="4"/>
          <w:sz w:val="19"/>
          <w:szCs w:val="19"/>
        </w:rPr>
        <w:t xml:space="preserve">  </w:t>
      </w:r>
      <w:r>
        <w:rPr>
          <w:b/>
          <w:bCs/>
          <w:sz w:val="19"/>
          <w:szCs w:val="19"/>
        </w:rPr>
        <w:t>series</w:t>
      </w:r>
      <w:r>
        <w:rPr>
          <w:b/>
          <w:bCs/>
          <w:spacing w:val="6"/>
          <w:sz w:val="19"/>
          <w:szCs w:val="19"/>
        </w:rPr>
        <w:t xml:space="preserve">  </w:t>
      </w:r>
      <w:r>
        <w:rPr>
          <w:b/>
          <w:bCs/>
          <w:sz w:val="19"/>
          <w:szCs w:val="19"/>
        </w:rPr>
        <w:t>of</w:t>
      </w:r>
      <w:r>
        <w:rPr>
          <w:b/>
          <w:bCs/>
          <w:spacing w:val="3"/>
          <w:sz w:val="19"/>
          <w:szCs w:val="19"/>
        </w:rPr>
        <w:t xml:space="preserve">  </w:t>
      </w:r>
      <w:r>
        <w:rPr>
          <w:b/>
          <w:bCs/>
          <w:sz w:val="19"/>
          <w:szCs w:val="19"/>
        </w:rPr>
        <w:t>challen</w:t>
      </w:r>
      <w:r>
        <w:rPr>
          <w:b/>
          <w:bCs/>
          <w:spacing w:val="-1"/>
          <w:sz w:val="19"/>
          <w:szCs w:val="19"/>
        </w:rPr>
        <w:t>ges</w:t>
      </w:r>
      <w:r>
        <w:rPr>
          <w:b/>
          <w:bCs/>
          <w:spacing w:val="2"/>
          <w:sz w:val="19"/>
          <w:szCs w:val="19"/>
        </w:rPr>
        <w:t xml:space="preserve">  </w:t>
      </w:r>
      <w:r>
        <w:rPr>
          <w:b/>
          <w:bCs/>
          <w:spacing w:val="-1"/>
          <w:sz w:val="19"/>
          <w:szCs w:val="19"/>
        </w:rPr>
        <w:t>—and</w:t>
      </w:r>
      <w:r>
        <w:rPr>
          <w:b/>
          <w:bCs/>
          <w:spacing w:val="3"/>
          <w:sz w:val="19"/>
          <w:szCs w:val="19"/>
        </w:rPr>
        <w:t xml:space="preserve">  </w:t>
      </w:r>
      <w:r>
        <w:rPr>
          <w:b/>
          <w:bCs/>
          <w:spacing w:val="-1"/>
          <w:sz w:val="19"/>
          <w:szCs w:val="19"/>
        </w:rPr>
        <w:t>fast.The</w:t>
      </w:r>
    </w:p>
    <w:p>
      <w:pPr>
        <w:pStyle w:val="BodyText"/>
        <w:spacing w:before="121" w:line="196" w:lineRule="auto"/>
        <w:rPr>
          <w:sz w:val="19"/>
          <w:szCs w:val="19"/>
        </w:rPr>
      </w:pPr>
      <w:r>
        <w:rPr>
          <w:b/>
          <w:bCs/>
          <w:sz w:val="19"/>
          <w:szCs w:val="19"/>
        </w:rPr>
        <w:t>organizations  that  have  continued  to  blo</w:t>
      </w:r>
      <w:r>
        <w:rPr>
          <w:b/>
          <w:bCs/>
          <w:spacing w:val="-1"/>
          <w:sz w:val="19"/>
          <w:szCs w:val="19"/>
        </w:rPr>
        <w:t>osh</w:t>
      </w:r>
      <w:r>
        <w:rPr>
          <w:b/>
          <w:bCs/>
          <w:spacing w:val="3"/>
          <w:sz w:val="19"/>
          <w:szCs w:val="19"/>
        </w:rPr>
        <w:t xml:space="preserve">  </w:t>
      </w:r>
      <w:r>
        <w:rPr>
          <w:b/>
          <w:bCs/>
          <w:spacing w:val="-1"/>
          <w:sz w:val="19"/>
          <w:szCs w:val="19"/>
        </w:rPr>
        <w:t>are  those  where</w:t>
      </w:r>
      <w:r>
        <w:rPr>
          <w:b/>
          <w:bCs/>
          <w:spacing w:val="1"/>
          <w:sz w:val="19"/>
          <w:szCs w:val="19"/>
        </w:rPr>
        <w:t xml:space="preserve">  </w:t>
      </w:r>
      <w:r>
        <w:rPr>
          <w:b/>
          <w:bCs/>
          <w:spacing w:val="-1"/>
          <w:sz w:val="19"/>
          <w:szCs w:val="19"/>
        </w:rPr>
        <w:t>that</w:t>
      </w:r>
    </w:p>
    <w:p>
      <w:pPr>
        <w:pStyle w:val="BodyText"/>
        <w:spacing w:before="62" w:line="259" w:lineRule="exact"/>
        <w:rPr>
          <w:sz w:val="19"/>
          <w:szCs w:val="19"/>
        </w:rPr>
      </w:pPr>
      <w:r>
        <w:rPr>
          <w:spacing w:val="-2"/>
          <w:position w:val="3"/>
          <w:sz w:val="19"/>
          <w:szCs w:val="19"/>
        </w:rPr>
        <w:t>ability</w:t>
      </w:r>
      <w:r>
        <w:rPr>
          <w:spacing w:val="18"/>
          <w:w w:val="101"/>
          <w:position w:val="3"/>
          <w:sz w:val="19"/>
          <w:szCs w:val="19"/>
        </w:rPr>
        <w:t xml:space="preserve">  </w:t>
      </w:r>
      <w:r>
        <w:rPr>
          <w:spacing w:val="-2"/>
          <w:position w:val="3"/>
          <w:sz w:val="19"/>
          <w:szCs w:val="19"/>
        </w:rPr>
        <w:t>to</w:t>
      </w:r>
      <w:r>
        <w:rPr>
          <w:spacing w:val="15"/>
          <w:position w:val="3"/>
          <w:sz w:val="19"/>
          <w:szCs w:val="19"/>
        </w:rPr>
        <w:t xml:space="preserve">  </w:t>
      </w:r>
      <w:r>
        <w:rPr>
          <w:spacing w:val="-2"/>
          <w:position w:val="3"/>
          <w:sz w:val="19"/>
          <w:szCs w:val="19"/>
        </w:rPr>
        <w:t>adapt</w:t>
      </w:r>
      <w:r>
        <w:rPr>
          <w:spacing w:val="18"/>
          <w:position w:val="3"/>
          <w:sz w:val="19"/>
          <w:szCs w:val="19"/>
        </w:rPr>
        <w:t xml:space="preserve">  </w:t>
      </w:r>
      <w:r>
        <w:rPr>
          <w:spacing w:val="-2"/>
          <w:position w:val="3"/>
          <w:sz w:val="19"/>
          <w:szCs w:val="19"/>
        </w:rPr>
        <w:t>is</w:t>
      </w:r>
      <w:r>
        <w:rPr>
          <w:spacing w:val="15"/>
          <w:position w:val="3"/>
          <w:sz w:val="19"/>
          <w:szCs w:val="19"/>
        </w:rPr>
        <w:t xml:space="preserve">  </w:t>
      </w:r>
      <w:r>
        <w:rPr>
          <w:spacing w:val="-2"/>
          <w:position w:val="3"/>
          <w:sz w:val="19"/>
          <w:szCs w:val="19"/>
        </w:rPr>
        <w:t>coded</w:t>
      </w:r>
      <w:r>
        <w:rPr>
          <w:spacing w:val="15"/>
          <w:position w:val="3"/>
          <w:sz w:val="19"/>
          <w:szCs w:val="19"/>
        </w:rPr>
        <w:t xml:space="preserve">  </w:t>
      </w:r>
      <w:r>
        <w:rPr>
          <w:spacing w:val="-2"/>
          <w:position w:val="3"/>
          <w:sz w:val="19"/>
          <w:szCs w:val="19"/>
        </w:rPr>
        <w:t>at</w:t>
      </w:r>
      <w:r>
        <w:rPr>
          <w:spacing w:val="13"/>
          <w:position w:val="3"/>
          <w:sz w:val="19"/>
          <w:szCs w:val="19"/>
        </w:rPr>
        <w:t xml:space="preserve">  </w:t>
      </w:r>
      <w:r>
        <w:rPr>
          <w:spacing w:val="-2"/>
          <w:position w:val="3"/>
          <w:sz w:val="19"/>
          <w:szCs w:val="19"/>
        </w:rPr>
        <w:t>their</w:t>
      </w:r>
      <w:r>
        <w:rPr>
          <w:spacing w:val="14"/>
          <w:position w:val="3"/>
          <w:sz w:val="19"/>
          <w:szCs w:val="19"/>
        </w:rPr>
        <w:t xml:space="preserve">  </w:t>
      </w:r>
      <w:r>
        <w:rPr>
          <w:spacing w:val="-2"/>
          <w:position w:val="3"/>
          <w:sz w:val="19"/>
          <w:szCs w:val="19"/>
        </w:rPr>
        <w:t>core.</w:t>
      </w:r>
    </w:p>
    <w:p>
      <w:pPr>
        <w:spacing w:before="227" w:line="226" w:lineRule="auto"/>
        <w:ind w:right="30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4"/>
          <w:sz w:val="19"/>
          <w:szCs w:val="19"/>
        </w:rPr>
        <w:t>从遗留系统和重叠的人力资源解决方案切换似乎是一个困难的过程，但好处是</w:t>
      </w:r>
      <w:r>
        <w:rPr>
          <w:rFonts w:ascii="SimSun" w:eastAsia="SimSun" w:hAnsi="SimSun" w:cs="SimSun"/>
          <w:spacing w:val="12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6"/>
          <w:sz w:val="19"/>
          <w:szCs w:val="19"/>
        </w:rPr>
        <w:t>显而易见的。</w:t>
      </w:r>
    </w:p>
    <w:p>
      <w:pPr>
        <w:spacing w:before="20" w:line="238" w:lineRule="auto"/>
        <w:ind w:right="27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z w:val="19"/>
          <w:szCs w:val="19"/>
        </w:rPr>
        <w:t>以下五个</w:t>
      </w:r>
      <w:r>
        <w:rPr>
          <w:rFonts w:ascii="SimSun" w:eastAsia="SimSun" w:hAnsi="SimSun" w:cs="SimSun"/>
          <w:spacing w:val="-14"/>
          <w:sz w:val="19"/>
          <w:szCs w:val="19"/>
        </w:rPr>
        <w:t xml:space="preserve"> </w:t>
      </w:r>
      <w:r>
        <w:rPr>
          <w:rFonts w:ascii="SimSun" w:eastAsia="SimSun" w:hAnsi="SimSun" w:cs="SimSun"/>
          <w:sz w:val="19"/>
          <w:szCs w:val="19"/>
        </w:rPr>
        <w:t xml:space="preserve">Workday  客户案例探讨了切换到基于云的单系统解决方案所带来的众 </w:t>
      </w:r>
      <w:r>
        <w:rPr>
          <w:rFonts w:ascii="SimSun" w:eastAsia="SimSun" w:hAnsi="SimSun" w:cs="SimSun"/>
          <w:spacing w:val="-6"/>
          <w:sz w:val="19"/>
          <w:szCs w:val="19"/>
        </w:rPr>
        <w:t>多运营效率，</w:t>
      </w:r>
      <w:r>
        <w:rPr>
          <w:rFonts w:ascii="SimSun" w:eastAsia="SimSun" w:hAnsi="SimSun" w:cs="SimSun"/>
          <w:spacing w:val="82"/>
          <w:sz w:val="19"/>
          <w:szCs w:val="19"/>
        </w:rPr>
        <w:t xml:space="preserve"> </w:t>
      </w:r>
      <w:r>
        <w:rPr>
          <w:rFonts w:ascii="SimSun" w:eastAsia="SimSun" w:hAnsi="SimSun" w:cs="SimSun"/>
          <w:spacing w:val="-6"/>
          <w:sz w:val="19"/>
          <w:szCs w:val="19"/>
        </w:rPr>
        <w:t>以及如何轻松实现</w:t>
      </w:r>
    </w:p>
    <w:p>
      <w:pPr>
        <w:spacing w:before="34" w:line="219" w:lineRule="auto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5"/>
          <w:sz w:val="19"/>
          <w:szCs w:val="19"/>
        </w:rPr>
        <w:t>随着工作场所的不断发展，运营敏捷性将变得越来越重要。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line="6193" w:lineRule="exact"/>
      </w:pPr>
      <w:r>
        <w:rPr>
          <w:position w:val="-123"/>
        </w:rPr>
        <w:drawing>
          <wp:inline distT="0" distB="0" distL="0" distR="0">
            <wp:extent cx="5518115" cy="3932713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18115" cy="393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76" w:lineRule="auto"/>
        <w:ind w:left="86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1"/>
          <w:sz w:val="16"/>
          <w:szCs w:val="16"/>
        </w:rPr>
        <w:t>五个制造组织如何重塑其劳动力和运营13</w:t>
      </w:r>
    </w:p>
    <w:p>
      <w:pPr>
        <w:spacing w:line="176" w:lineRule="auto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z w:val="16"/>
          <w:szCs w:val="16"/>
        </w:rPr>
        <w:br/>
      </w:r>
      <w:r>
        <w:rPr>
          <w:rFonts w:ascii="SimSun" w:eastAsia="SimSun" w:hAnsi="SimSun" w:cs="SimSun"/>
          <w:sz w:val="16"/>
          <w:szCs w:val="16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https://d.book118.com/136234221001010032</w:t>
        </w:r>
      </w:hyperlink>
    </w:p>
    <w:p>
      <w:pPr>
        <w:spacing w:line="176" w:lineRule="auto"/>
        <w:rPr>
          <w:rFonts w:ascii="SimSun" w:eastAsia="SimSun" w:hAnsi="SimSun" w:cs="SimSun"/>
          <w:sz w:val="16"/>
          <w:szCs w:val="16"/>
        </w:rPr>
      </w:pPr>
    </w:p>
    <w:sectPr>
      <w:headerReference w:type="default" r:id="rId14"/>
      <w:type w:val="continuous"/>
      <w:pgSz w:w="16840" w:h="11900"/>
      <w:pgMar w:top="400" w:right="0" w:bottom="0" w:left="1140" w:header="0" w:footer="0" w:gutter="0"/>
      <w:pgNumType w:start="5"/>
      <w:cols w:num="2" w:space="708" w:equalWidth="0">
        <w:col w:w="6910" w:space="100"/>
        <w:col w:w="869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image" Target="media/image5.jpeg" /><Relationship Id="rId13" Type="http://schemas.openxmlformats.org/officeDocument/2006/relationships/hyperlink" Target="https://d.book118.com/136234221001010032" TargetMode="External" /><Relationship Id="rId14" Type="http://schemas.openxmlformats.org/officeDocument/2006/relationships/header" Target="head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image" Target="media/image4.jpeg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2024-01-06T21:06:30Z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2024-01-06T21:06:33Z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6599505372a3fa001f0eb387wl</vt:lpwstr>
  </property>
</Properties>
</file>