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Web"/>
        <w:jc w:val="center"/>
        <w:outlineLvl w:val="0"/>
        <w:rPr>
          <w:rFonts w:ascii="Times New Roman" w:eastAsia="黑体" w:hAnsi="Times New Roman"/>
          <w:snapToGrid w:val="0"/>
          <w:sz w:val="30"/>
          <w:szCs w:val="30"/>
        </w:rPr>
      </w:pPr>
      <w:r>
        <w:rPr>
          <w:rFonts w:ascii="Times New Roman" w:eastAsia="黑体" w:hAnsi="Times New Roman"/>
          <w:snapToGrid w:val="0"/>
          <w:sz w:val="30"/>
          <w:szCs w:val="30"/>
        </w:rPr>
        <w:t>一、建设项目基本情况</w:t>
      </w:r>
    </w:p>
    <w:tbl>
      <w:tblPr>
        <w:tblStyle w:val="TableNormal"/>
        <w:tblW w:w="887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2382"/>
        <w:gridCol w:w="1637"/>
        <w:gridCol w:w="2212"/>
        <w:gridCol w:w="2639"/>
      </w:tblGrid>
      <w:tr>
        <w:tblPrEx>
          <w:tblW w:w="8870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/>
          <w:jc w:val="center"/>
        </w:trPr>
        <w:tc>
          <w:tcPr>
            <w:tcW w:w="2382" w:type="dxa"/>
            <w:tcMar>
              <w:top w:w="16" w:type="dxa"/>
              <w:left w:w="16" w:type="dxa"/>
              <w:right w:w="16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建设项目名称</w:t>
            </w:r>
          </w:p>
        </w:tc>
        <w:tc>
          <w:tcPr>
            <w:tcW w:w="648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bookmarkStart w:id="0" w:name="_GoBack"/>
            <w:r>
              <w:rPr>
                <w:sz w:val="24"/>
              </w:rPr>
              <w:t>年处理建筑垃圾100万吨扩建项目</w:t>
            </w:r>
            <w:bookmarkEnd w:id="0"/>
          </w:p>
        </w:tc>
      </w:tr>
      <w:tr>
        <w:tblPrEx>
          <w:tblW w:w="8870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/>
          <w:jc w:val="center"/>
        </w:trPr>
        <w:tc>
          <w:tcPr>
            <w:tcW w:w="2382" w:type="dxa"/>
            <w:tcMar>
              <w:top w:w="16" w:type="dxa"/>
              <w:left w:w="16" w:type="dxa"/>
              <w:right w:w="16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项目代码</w:t>
            </w:r>
          </w:p>
        </w:tc>
        <w:tc>
          <w:tcPr>
            <w:tcW w:w="648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</w:tr>
      <w:tr>
        <w:tblPrEx>
          <w:tblW w:w="8870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/>
          <w:jc w:val="center"/>
        </w:trPr>
        <w:tc>
          <w:tcPr>
            <w:tcW w:w="2382" w:type="dxa"/>
            <w:tcMar>
              <w:top w:w="16" w:type="dxa"/>
              <w:left w:w="16" w:type="dxa"/>
              <w:right w:w="16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建设单位联系人</w:t>
            </w:r>
          </w:p>
        </w:tc>
        <w:tc>
          <w:tcPr>
            <w:tcW w:w="1637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2212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  <w:tc>
          <w:tcPr>
            <w:tcW w:w="2639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W w:w="8870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/>
          <w:jc w:val="center"/>
        </w:trPr>
        <w:tc>
          <w:tcPr>
            <w:tcW w:w="2382" w:type="dxa"/>
            <w:tcMar>
              <w:top w:w="16" w:type="dxa"/>
              <w:left w:w="16" w:type="dxa"/>
              <w:right w:w="16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建设地点</w:t>
            </w:r>
          </w:p>
        </w:tc>
        <w:tc>
          <w:tcPr>
            <w:tcW w:w="648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陕西</w:t>
            </w:r>
            <w:r>
              <w:rPr>
                <w:sz w:val="24"/>
              </w:rPr>
              <w:t>省（自治区）</w:t>
            </w:r>
            <w:r>
              <w:rPr>
                <w:sz w:val="24"/>
                <w:u w:val="single"/>
              </w:rPr>
              <w:t>渭南</w:t>
            </w:r>
            <w:r>
              <w:rPr>
                <w:sz w:val="24"/>
              </w:rPr>
              <w:t>市</w:t>
            </w:r>
            <w:r>
              <w:rPr>
                <w:sz w:val="24"/>
                <w:u w:val="single"/>
              </w:rPr>
              <w:t>大荔</w:t>
            </w:r>
            <w:r>
              <w:rPr>
                <w:sz w:val="24"/>
              </w:rPr>
              <w:t>县（区）</w:t>
            </w:r>
            <w:r>
              <w:rPr>
                <w:sz w:val="24"/>
                <w:u w:val="single"/>
              </w:rPr>
              <w:t>/</w:t>
            </w:r>
            <w:r>
              <w:rPr>
                <w:sz w:val="24"/>
              </w:rPr>
              <w:t>乡（街道）</w:t>
            </w:r>
            <w:r>
              <w:rPr>
                <w:sz w:val="24"/>
                <w:u w:val="single"/>
              </w:rPr>
              <w:t>官池镇帖家村村东1000米</w:t>
            </w:r>
            <w:r>
              <w:rPr>
                <w:sz w:val="24"/>
              </w:rPr>
              <w:t>（具体地址）</w:t>
            </w:r>
          </w:p>
        </w:tc>
      </w:tr>
      <w:tr>
        <w:tblPrEx>
          <w:tblW w:w="8870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/>
          <w:jc w:val="center"/>
        </w:trPr>
        <w:tc>
          <w:tcPr>
            <w:tcW w:w="2382" w:type="dxa"/>
            <w:tcMar>
              <w:top w:w="16" w:type="dxa"/>
              <w:left w:w="16" w:type="dxa"/>
              <w:right w:w="16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地理坐标</w:t>
            </w:r>
          </w:p>
        </w:tc>
        <w:tc>
          <w:tcPr>
            <w:tcW w:w="648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z w:val="24"/>
                <w:u w:val="single"/>
              </w:rPr>
              <w:t>109</w:t>
            </w:r>
            <w:r>
              <w:rPr>
                <w:sz w:val="24"/>
              </w:rPr>
              <w:t>度</w:t>
            </w:r>
            <w:r>
              <w:rPr>
                <w:sz w:val="24"/>
                <w:u w:val="single"/>
              </w:rPr>
              <w:t>57</w:t>
            </w:r>
            <w:r>
              <w:rPr>
                <w:sz w:val="24"/>
              </w:rPr>
              <w:t>分</w:t>
            </w:r>
            <w:r>
              <w:rPr>
                <w:sz w:val="24"/>
                <w:u w:val="single"/>
              </w:rPr>
              <w:t>53.18</w:t>
            </w:r>
            <w:r>
              <w:rPr>
                <w:sz w:val="24"/>
              </w:rPr>
              <w:t>秒，</w:t>
            </w:r>
            <w:r>
              <w:rPr>
                <w:sz w:val="24"/>
                <w:u w:val="single"/>
              </w:rPr>
              <w:t>34</w:t>
            </w:r>
            <w:r>
              <w:rPr>
                <w:sz w:val="24"/>
              </w:rPr>
              <w:t>度</w:t>
            </w:r>
            <w:r>
              <w:rPr>
                <w:sz w:val="24"/>
                <w:u w:val="single"/>
              </w:rPr>
              <w:t>42</w:t>
            </w:r>
            <w:r>
              <w:rPr>
                <w:sz w:val="24"/>
              </w:rPr>
              <w:t>分</w:t>
            </w:r>
            <w:r>
              <w:rPr>
                <w:sz w:val="24"/>
                <w:u w:val="single"/>
              </w:rPr>
              <w:t>9.66</w:t>
            </w:r>
            <w:r>
              <w:rPr>
                <w:sz w:val="24"/>
              </w:rPr>
              <w:t>秒）</w:t>
            </w:r>
          </w:p>
        </w:tc>
      </w:tr>
      <w:tr>
        <w:tblPrEx>
          <w:tblW w:w="8870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/>
          <w:jc w:val="center"/>
        </w:trPr>
        <w:tc>
          <w:tcPr>
            <w:tcW w:w="2382" w:type="dxa"/>
            <w:tcMar>
              <w:top w:w="16" w:type="dxa"/>
              <w:left w:w="16" w:type="dxa"/>
              <w:right w:w="16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国民经济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行业类别</w:t>
            </w:r>
          </w:p>
        </w:tc>
        <w:tc>
          <w:tcPr>
            <w:tcW w:w="1637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C3029其他水泥类似制品制造</w:t>
            </w:r>
          </w:p>
        </w:tc>
        <w:tc>
          <w:tcPr>
            <w:tcW w:w="2212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建设项目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行业类别</w:t>
            </w:r>
          </w:p>
        </w:tc>
        <w:tc>
          <w:tcPr>
            <w:tcW w:w="2639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sz w:val="24"/>
              </w:rPr>
              <w:t>二十七、非金属矿物制品业30—55石膏、水泥制品及类似制品制造302</w:t>
            </w:r>
          </w:p>
        </w:tc>
      </w:tr>
      <w:tr>
        <w:tblPrEx>
          <w:tblW w:w="8870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/>
          <w:jc w:val="center"/>
        </w:trPr>
        <w:tc>
          <w:tcPr>
            <w:tcW w:w="2382" w:type="dxa"/>
            <w:tcMar>
              <w:top w:w="16" w:type="dxa"/>
              <w:left w:w="16" w:type="dxa"/>
              <w:right w:w="16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建设性质</w:t>
            </w:r>
          </w:p>
        </w:tc>
        <w:tc>
          <w:tcPr>
            <w:tcW w:w="1637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>□新建（迁建）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>□改建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eq \o\ac(□,√)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fldChar w:fldCharType="end"/>
            </w:r>
            <w:r>
              <w:rPr>
                <w:sz w:val="24"/>
              </w:rPr>
              <w:t>扩建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>□技术改造</w:t>
            </w:r>
          </w:p>
        </w:tc>
        <w:tc>
          <w:tcPr>
            <w:tcW w:w="2212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建设项目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申报情形</w:t>
            </w:r>
          </w:p>
        </w:tc>
        <w:tc>
          <w:tcPr>
            <w:tcW w:w="2639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eq \o\ac(□,√)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fldChar w:fldCharType="end"/>
            </w:r>
            <w:r>
              <w:rPr>
                <w:sz w:val="24"/>
              </w:rPr>
              <w:t xml:space="preserve">首次申报项目             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>□不予批准后再次申报项目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□超五年重新审核项目     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>□重大变动重新报批项目</w:t>
            </w:r>
          </w:p>
        </w:tc>
      </w:tr>
      <w:tr>
        <w:tblPrEx>
          <w:tblW w:w="8870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/>
          <w:jc w:val="center"/>
        </w:trPr>
        <w:tc>
          <w:tcPr>
            <w:tcW w:w="2382" w:type="dxa"/>
            <w:tcMar>
              <w:top w:w="16" w:type="dxa"/>
              <w:left w:w="16" w:type="dxa"/>
              <w:right w:w="16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项目审批（核准/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备案）部门（选填）</w:t>
            </w:r>
          </w:p>
        </w:tc>
        <w:tc>
          <w:tcPr>
            <w:tcW w:w="1637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2212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项目审批（核准/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备案）文号（选填）</w:t>
            </w:r>
          </w:p>
        </w:tc>
        <w:tc>
          <w:tcPr>
            <w:tcW w:w="2639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</w:tr>
      <w:tr>
        <w:tblPrEx>
          <w:tblW w:w="8870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/>
          <w:jc w:val="center"/>
        </w:trPr>
        <w:tc>
          <w:tcPr>
            <w:tcW w:w="2382" w:type="dxa"/>
            <w:tcMar>
              <w:top w:w="16" w:type="dxa"/>
              <w:left w:w="16" w:type="dxa"/>
              <w:right w:w="16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总投资（万元）</w:t>
            </w:r>
          </w:p>
        </w:tc>
        <w:tc>
          <w:tcPr>
            <w:tcW w:w="1637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212" w:type="dxa"/>
            <w:tcMar>
              <w:top w:w="16" w:type="dxa"/>
              <w:left w:w="16" w:type="dxa"/>
              <w:right w:w="16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环保投资（万元）</w:t>
            </w:r>
          </w:p>
        </w:tc>
        <w:tc>
          <w:tcPr>
            <w:tcW w:w="2639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27.5</w:t>
            </w:r>
          </w:p>
        </w:tc>
      </w:tr>
      <w:tr>
        <w:tblPrEx>
          <w:tblW w:w="8870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/>
          <w:jc w:val="center"/>
        </w:trPr>
        <w:tc>
          <w:tcPr>
            <w:tcW w:w="2382" w:type="dxa"/>
            <w:tcMar>
              <w:top w:w="16" w:type="dxa"/>
              <w:left w:w="16" w:type="dxa"/>
              <w:right w:w="16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环保投资占比（%）</w:t>
            </w:r>
          </w:p>
        </w:tc>
        <w:tc>
          <w:tcPr>
            <w:tcW w:w="1637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27.5</w:t>
            </w:r>
          </w:p>
        </w:tc>
        <w:tc>
          <w:tcPr>
            <w:tcW w:w="2212" w:type="dxa"/>
            <w:tcMar>
              <w:top w:w="16" w:type="dxa"/>
              <w:left w:w="16" w:type="dxa"/>
              <w:right w:w="16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施工工期</w:t>
            </w:r>
          </w:p>
        </w:tc>
        <w:tc>
          <w:tcPr>
            <w:tcW w:w="2639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6个月</w:t>
            </w:r>
          </w:p>
        </w:tc>
      </w:tr>
      <w:tr>
        <w:tblPrEx>
          <w:tblW w:w="8870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/>
          <w:jc w:val="center"/>
        </w:trPr>
        <w:tc>
          <w:tcPr>
            <w:tcW w:w="2382" w:type="dxa"/>
            <w:tcMar>
              <w:top w:w="16" w:type="dxa"/>
              <w:left w:w="16" w:type="dxa"/>
              <w:right w:w="16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是否开工建设</w:t>
            </w:r>
          </w:p>
        </w:tc>
        <w:tc>
          <w:tcPr>
            <w:tcW w:w="1637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rFonts w:ascii="Wingdings 2" w:hAnsi="Wingdings 2"/>
                <w:sz w:val="24"/>
              </w:rPr>
              <w:sym w:font="Wingdings 2" w:char="F052"/>
            </w:r>
            <w:r>
              <w:rPr>
                <w:sz w:val="24"/>
              </w:rPr>
              <w:t>否</w:t>
            </w:r>
          </w:p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rFonts w:ascii="Wingdings 2" w:hAnsi="Wingdings 2"/>
                <w:sz w:val="24"/>
              </w:rPr>
              <w:sym w:font="Wingdings 2" w:char="F0A3"/>
            </w:r>
            <w:r>
              <w:rPr>
                <w:sz w:val="24"/>
              </w:rPr>
              <w:t>是</w:t>
            </w:r>
          </w:p>
        </w:tc>
        <w:tc>
          <w:tcPr>
            <w:tcW w:w="2212" w:type="dxa"/>
            <w:tcMar>
              <w:top w:w="16" w:type="dxa"/>
              <w:left w:w="16" w:type="dxa"/>
              <w:right w:w="16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用地（用海）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面积（m</w:t>
            </w:r>
            <w:r>
              <w:rPr>
                <w:spacing w:val="-6"/>
                <w:sz w:val="24"/>
                <w:vertAlign w:val="superscript"/>
              </w:rPr>
              <w:t>2</w:t>
            </w:r>
            <w:r>
              <w:rPr>
                <w:spacing w:val="-6"/>
                <w:sz w:val="24"/>
              </w:rPr>
              <w:t>）</w:t>
            </w:r>
          </w:p>
        </w:tc>
        <w:tc>
          <w:tcPr>
            <w:tcW w:w="2639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1620</w:t>
            </w:r>
          </w:p>
        </w:tc>
      </w:tr>
      <w:tr>
        <w:tblPrEx>
          <w:tblW w:w="887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/>
          <w:jc w:val="center"/>
        </w:trPr>
        <w:tc>
          <w:tcPr>
            <w:tcW w:w="2382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专项评价设置情况</w:t>
            </w:r>
          </w:p>
        </w:tc>
        <w:tc>
          <w:tcPr>
            <w:tcW w:w="6488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无</w:t>
            </w:r>
          </w:p>
        </w:tc>
      </w:tr>
      <w:tr>
        <w:tblPrEx>
          <w:tblW w:w="887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/>
          <w:jc w:val="center"/>
        </w:trPr>
        <w:tc>
          <w:tcPr>
            <w:tcW w:w="2382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sz w:val="24"/>
              </w:rPr>
              <w:t>规划情况</w:t>
            </w:r>
          </w:p>
        </w:tc>
        <w:tc>
          <w:tcPr>
            <w:tcW w:w="6488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无</w:t>
            </w:r>
          </w:p>
        </w:tc>
      </w:tr>
    </w:tbl>
    <w:p>
      <w:pPr>
        <w:sectPr>
          <w:footerReference w:type="default" r:id="rId6"/>
          <w:pgSz w:w="11906" w:h="16838"/>
          <w:pgMar w:top="1701" w:right="1531" w:bottom="1701" w:left="1531" w:header="851" w:footer="851" w:gutter="0"/>
          <w:pgNumType w:fmt="numberInDash"/>
          <w:cols w:num="1" w:space="720"/>
          <w:docGrid w:linePitch="312" w:charSpace="0"/>
        </w:sectPr>
      </w:pPr>
    </w:p>
    <w:tbl>
      <w:tblPr>
        <w:tblStyle w:val="TableNormal"/>
        <w:tblW w:w="887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2"/>
        <w:gridCol w:w="6488"/>
      </w:tblGrid>
      <w:tr>
        <w:tblPrEx>
          <w:tblW w:w="8870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/>
          <w:jc w:val="center"/>
        </w:trPr>
        <w:tc>
          <w:tcPr>
            <w:tcW w:w="2382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规划环境影响</w:t>
            </w:r>
          </w:p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sz w:val="24"/>
              </w:rPr>
              <w:t>评价情况</w:t>
            </w:r>
          </w:p>
        </w:tc>
        <w:tc>
          <w:tcPr>
            <w:tcW w:w="6488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无</w:t>
            </w:r>
          </w:p>
        </w:tc>
      </w:tr>
      <w:tr>
        <w:tblPrEx>
          <w:tblW w:w="887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/>
          <w:jc w:val="center"/>
        </w:trPr>
        <w:tc>
          <w:tcPr>
            <w:tcW w:w="2382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规划及规划环境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影响评价符合性分析</w:t>
            </w:r>
          </w:p>
        </w:tc>
        <w:tc>
          <w:tcPr>
            <w:tcW w:w="6488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无</w:t>
            </w:r>
          </w:p>
        </w:tc>
      </w:tr>
      <w:tr>
        <w:tblPrEx>
          <w:tblW w:w="887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/>
          <w:jc w:val="center"/>
        </w:trPr>
        <w:tc>
          <w:tcPr>
            <w:tcW w:w="2382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其他符合性分析</w:t>
            </w:r>
          </w:p>
        </w:tc>
        <w:tc>
          <w:tcPr>
            <w:tcW w:w="6488" w:type="dxa"/>
            <w:vAlign w:val="center"/>
          </w:tcPr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一、产业政策符合性分析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项目不属于《产业结构调整指导目录（2019年本）》中的鼓励类、限制类及淘汰类，可视为允许类；不属于《陕西省限制投资类产业指导目录》（陕发改产业〔2007</w:t>
            </w:r>
            <w:r>
              <w:rPr>
                <w:kern w:val="0"/>
                <w:sz w:val="24"/>
              </w:rPr>
              <w:t>〕</w:t>
            </w:r>
            <w:r>
              <w:rPr>
                <w:sz w:val="24"/>
              </w:rPr>
              <w:t>97号）中限制投资类项目；项目工艺、设备不含《部分工业行业淘汰落后生产工艺装备和产品指导目录》（工产业〔2010〕第122号）中淘汰落后的生产工艺装备。</w:t>
            </w:r>
          </w:p>
          <w:p>
            <w:pPr>
              <w:pStyle w:val="PlainText"/>
              <w:spacing w:line="360" w:lineRule="auto"/>
              <w:ind w:firstLine="499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二、“三线一单”符合性分析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480" w:firstLineChars="2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根据陕西省生态环境厅办公室关于印发《陕西省“三线一单”生态环境分区管控应用技术指南：环境影响评价（试行）》的通知（陕环办发〔2022〕76号），本项目与</w:t>
            </w:r>
            <w:r>
              <w:rPr>
                <w:rFonts w:hint="eastAsia"/>
                <w:kern w:val="0"/>
                <w:sz w:val="24"/>
              </w:rPr>
              <w:t>陕西省</w:t>
            </w:r>
            <w:r>
              <w:rPr>
                <w:kern w:val="0"/>
                <w:sz w:val="24"/>
              </w:rPr>
              <w:t>“三线一单”符合性分析见表1-1。本项目与</w:t>
            </w:r>
            <w:r>
              <w:rPr>
                <w:rFonts w:hint="eastAsia"/>
                <w:kern w:val="0"/>
                <w:sz w:val="24"/>
              </w:rPr>
              <w:t>陕西省</w:t>
            </w:r>
            <w:r>
              <w:rPr>
                <w:kern w:val="0"/>
                <w:sz w:val="24"/>
              </w:rPr>
              <w:t>生态环境分区管控单元位置关系图见附图1。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表1-1    项目与</w:t>
            </w:r>
            <w:r>
              <w:rPr>
                <w:rFonts w:hint="eastAsia"/>
                <w:b/>
                <w:bCs/>
                <w:kern w:val="0"/>
                <w:sz w:val="24"/>
              </w:rPr>
              <w:t>陕西省</w:t>
            </w:r>
            <w:r>
              <w:rPr>
                <w:b/>
                <w:bCs/>
                <w:kern w:val="0"/>
                <w:sz w:val="24"/>
              </w:rPr>
              <w:t>“三线一单”符合性分析</w:t>
            </w:r>
          </w:p>
          <w:tbl>
            <w:tblPr>
              <w:tblStyle w:val="TableNormal"/>
              <w:tblW w:w="4997" w:type="pct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26"/>
              <w:gridCol w:w="846"/>
              <w:gridCol w:w="426"/>
              <w:gridCol w:w="426"/>
              <w:gridCol w:w="426"/>
              <w:gridCol w:w="1161"/>
              <w:gridCol w:w="1677"/>
              <w:gridCol w:w="870"/>
            </w:tblGrid>
            <w:tr>
              <w:tblPrEx>
                <w:tblW w:w="4997" w:type="pct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/>
              </w:trPr>
              <w:tc>
                <w:tcPr>
                  <w:tcW w:w="340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序号</w:t>
                  </w:r>
                </w:p>
              </w:tc>
              <w:tc>
                <w:tcPr>
                  <w:tcW w:w="676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市（区）</w:t>
                  </w:r>
                </w:p>
              </w:tc>
              <w:tc>
                <w:tcPr>
                  <w:tcW w:w="340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区县</w:t>
                  </w:r>
                </w:p>
              </w:tc>
              <w:tc>
                <w:tcPr>
                  <w:tcW w:w="340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环境管控单元名称</w:t>
                  </w:r>
                </w:p>
              </w:tc>
              <w:tc>
                <w:tcPr>
                  <w:tcW w:w="340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管控单元分类</w:t>
                  </w:r>
                </w:p>
              </w:tc>
              <w:tc>
                <w:tcPr>
                  <w:tcW w:w="928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管控要求</w:t>
                  </w:r>
                </w:p>
              </w:tc>
              <w:tc>
                <w:tcPr>
                  <w:tcW w:w="1340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符合性</w:t>
                  </w:r>
                </w:p>
              </w:tc>
              <w:tc>
                <w:tcPr>
                  <w:tcW w:w="695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面积/长度</w:t>
                  </w:r>
                </w:p>
              </w:tc>
            </w:tr>
            <w:tr>
              <w:tblPrEx>
                <w:tblW w:w="4997" w:type="pct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/>
              </w:trPr>
              <w:tc>
                <w:tcPr>
                  <w:tcW w:w="340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Cs w:val="21"/>
                    </w:rPr>
                    <w:t>1</w:t>
                  </w:r>
                </w:p>
              </w:tc>
              <w:tc>
                <w:tcPr>
                  <w:tcW w:w="676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</w:rPr>
                    <w:t>渭南市</w:t>
                  </w:r>
                </w:p>
              </w:tc>
              <w:tc>
                <w:tcPr>
                  <w:tcW w:w="340" w:type="pct"/>
                  <w:vAlign w:val="center"/>
                </w:tcPr>
                <w:p>
                  <w:pPr>
                    <w:spacing w:after="0"/>
                    <w:jc w:val="center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340" w:type="pct"/>
                  <w:vAlign w:val="center"/>
                </w:tcPr>
                <w:p>
                  <w:pPr>
                    <w:spacing w:after="0"/>
                    <w:jc w:val="center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340" w:type="pct"/>
                  <w:vAlign w:val="center"/>
                </w:tcPr>
                <w:p>
                  <w:pPr>
                    <w:spacing w:after="0"/>
                    <w:jc w:val="center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928" w:type="pct"/>
                  <w:vAlign w:val="center"/>
                </w:tcPr>
                <w:p>
                  <w:pPr>
                    <w:pStyle w:val="a7"/>
                    <w:spacing w:before="24" w:after="0"/>
                    <w:rPr>
                      <w:rFonts w:ascii="Times New Roman"/>
                      <w:color w:val="000000"/>
                    </w:rPr>
                  </w:pPr>
                  <w:r>
                    <w:rPr>
                      <w:rFonts w:ascii="Times New Roman"/>
                      <w:color w:val="000000"/>
                    </w:rPr>
                    <w:t>仅摘录项目有关的：</w:t>
                  </w:r>
                </w:p>
              </w:tc>
              <w:tc>
                <w:tcPr>
                  <w:tcW w:w="1340" w:type="pct"/>
                  <w:vAlign w:val="center"/>
                </w:tcPr>
                <w:p>
                  <w:pPr>
                    <w:spacing w:after="0"/>
                    <w:jc w:val="center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695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面积1620m</w:t>
                  </w:r>
                  <w:r>
                    <w:rPr>
                      <w:color w:val="000000"/>
                      <w:szCs w:val="21"/>
                      <w:vertAlign w:val="superscript"/>
                    </w:rPr>
                    <w:t>2</w:t>
                  </w:r>
                </w:p>
              </w:tc>
            </w:tr>
          </w:tbl>
          <w:p/>
        </w:tc>
      </w:tr>
    </w:tbl>
    <w:p>
      <w:pPr>
        <w:sectPr>
          <w:footerReference w:type="default" r:id="rId7"/>
          <w:type w:val="nextPage"/>
          <w:pgSz w:w="11906" w:h="16838"/>
          <w:pgMar w:top="1701" w:right="1531" w:bottom="1701" w:left="1531" w:header="851" w:footer="851" w:gutter="0"/>
          <w:pgNumType w:fmt="numberInDash" w:start="2"/>
          <w:cols w:num="1" w:space="720"/>
          <w:titlePg w:val="0"/>
          <w:docGrid w:linePitch="312" w:charSpace="0"/>
        </w:sectPr>
      </w:pPr>
    </w:p>
    <w:tbl>
      <w:tblPr>
        <w:tblStyle w:val="TableNormal"/>
        <w:tblW w:w="887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2"/>
        <w:gridCol w:w="6488"/>
      </w:tblGrid>
      <w:tr>
        <w:tblPrEx>
          <w:tblW w:w="8870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/>
          <w:jc w:val="center"/>
        </w:trPr>
        <w:tc>
          <w:tcPr>
            <w:tcW w:w="2382" w:type="dxa"/>
            <w:vAlign w:val="center"/>
          </w:tcPr>
          <w:p/>
        </w:tc>
        <w:tc>
          <w:tcPr>
            <w:tcW w:w="6488" w:type="dxa"/>
            <w:vAlign w:val="center"/>
          </w:tcPr>
          <w:tbl>
            <w:tblPr>
              <w:tblStyle w:val="TableNormal"/>
              <w:tblW w:w="4997" w:type="pct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26"/>
              <w:gridCol w:w="846"/>
              <w:gridCol w:w="426"/>
              <w:gridCol w:w="426"/>
              <w:gridCol w:w="426"/>
              <w:gridCol w:w="1161"/>
              <w:gridCol w:w="1677"/>
              <w:gridCol w:w="870"/>
            </w:tblGrid>
            <w:tr>
              <w:tblPrEx>
                <w:tblW w:w="4997" w:type="pct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/>
              </w:trPr>
              <w:tc>
                <w:tcPr>
                  <w:tcW w:w="340" w:type="pct"/>
                  <w:vAlign w:val="center"/>
                </w:tcPr>
                <w:p/>
              </w:tc>
              <w:tc>
                <w:tcPr>
                  <w:tcW w:w="676" w:type="pct"/>
                  <w:vAlign w:val="center"/>
                </w:tcPr>
                <w:p/>
              </w:tc>
              <w:tc>
                <w:tcPr>
                  <w:tcW w:w="340" w:type="pct"/>
                  <w:vAlign w:val="center"/>
                </w:tcPr>
                <w:p>
                  <w:pPr>
                    <w:spacing w:before="0"/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</w:rPr>
                    <w:t>大荔县</w:t>
                  </w:r>
                </w:p>
              </w:tc>
              <w:tc>
                <w:tcPr>
                  <w:tcW w:w="340" w:type="pct"/>
                  <w:vAlign w:val="center"/>
                </w:tcPr>
                <w:p>
                  <w:pPr>
                    <w:spacing w:before="0"/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</w:rPr>
                    <w:t>关中地区</w:t>
                  </w:r>
                </w:p>
              </w:tc>
              <w:tc>
                <w:tcPr>
                  <w:tcW w:w="340" w:type="pct"/>
                  <w:vAlign w:val="center"/>
                </w:tcPr>
                <w:p>
                  <w:pPr>
                    <w:spacing w:before="0"/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</w:rPr>
                    <w:t>空间布局约束</w:t>
                  </w:r>
                </w:p>
              </w:tc>
              <w:tc>
                <w:tcPr>
                  <w:tcW w:w="928" w:type="pct"/>
                  <w:vAlign w:val="center"/>
                </w:tcPr>
                <w:p>
                  <w:pPr>
                    <w:pStyle w:val="a7"/>
                    <w:spacing w:before="0" w:after="24"/>
                    <w:rPr>
                      <w:rFonts w:ascii="Times New Roman"/>
                      <w:color w:val="000000"/>
                    </w:rPr>
                  </w:pPr>
                  <w:r>
                    <w:rPr>
                      <w:rFonts w:ascii="Times New Roman" w:hint="eastAsia"/>
                      <w:color w:val="000000"/>
                    </w:rPr>
                    <w:t>执行国家法律法规对自然保护区、风景名胜区、森林公园、地质公园、世界自然和文化遗产、重要湿地、重要水源地等法定保护地的禁止性和限制性要求</w:t>
                  </w:r>
                </w:p>
              </w:tc>
              <w:tc>
                <w:tcPr>
                  <w:tcW w:w="1340" w:type="pct"/>
                  <w:vAlign w:val="center"/>
                </w:tcPr>
                <w:p>
                  <w:pPr>
                    <w:spacing w:before="0"/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Cs w:val="21"/>
                    </w:rPr>
                    <w:t>本项目不在自然保护区、重要水源地等地区内。</w:t>
                  </w:r>
                </w:p>
              </w:tc>
              <w:tc>
                <w:tcPr>
                  <w:tcW w:w="695" w:type="pct"/>
                  <w:vAlign w:val="center"/>
                </w:tcPr>
                <w:p/>
              </w:tc>
            </w:tr>
            <w:tr>
              <w:tblPrEx>
                <w:tblW w:w="4997" w:type="pct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/>
              </w:trPr>
              <w:tc>
                <w:tcPr>
                  <w:tcW w:w="340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Cs w:val="21"/>
                    </w:rPr>
                    <w:t>2</w:t>
                  </w:r>
                </w:p>
              </w:tc>
              <w:tc>
                <w:tcPr>
                  <w:tcW w:w="676" w:type="pct"/>
                  <w:vAlign w:val="center"/>
                </w:tcPr>
                <w:p>
                  <w:pPr>
                    <w:jc w:val="center"/>
                  </w:pPr>
                  <w:r>
                    <w:rPr>
                      <w:color w:val="000000"/>
                      <w:szCs w:val="21"/>
                    </w:rPr>
                    <w:t>渭南市</w:t>
                  </w:r>
                </w:p>
              </w:tc>
              <w:tc>
                <w:tcPr>
                  <w:tcW w:w="340" w:type="pct"/>
                  <w:vAlign w:val="center"/>
                </w:tcPr>
                <w:p>
                  <w:pPr>
                    <w:jc w:val="center"/>
                  </w:pPr>
                  <w:r>
                    <w:rPr>
                      <w:color w:val="000000"/>
                      <w:szCs w:val="21"/>
                    </w:rPr>
                    <w:t>大荔县</w:t>
                  </w:r>
                </w:p>
              </w:tc>
              <w:tc>
                <w:tcPr>
                  <w:tcW w:w="340" w:type="pct"/>
                  <w:vAlign w:val="center"/>
                </w:tcPr>
                <w:p>
                  <w:pPr>
                    <w:jc w:val="center"/>
                  </w:pPr>
                  <w:r>
                    <w:rPr>
                      <w:color w:val="000000"/>
                      <w:szCs w:val="21"/>
                    </w:rPr>
                    <w:t>关中地区</w:t>
                  </w:r>
                </w:p>
              </w:tc>
              <w:tc>
                <w:tcPr>
                  <w:tcW w:w="340" w:type="pct"/>
                  <w:vAlign w:val="center"/>
                </w:tcPr>
                <w:p>
                  <w:pPr>
                    <w:jc w:val="center"/>
                  </w:pPr>
                  <w:r>
                    <w:rPr>
                      <w:color w:val="000000"/>
                      <w:kern w:val="0"/>
                      <w:szCs w:val="21"/>
                      <w:lang w:bidi="ar"/>
                    </w:rPr>
                    <w:t>空间布局约束</w:t>
                  </w:r>
                </w:p>
              </w:tc>
              <w:tc>
                <w:tcPr>
                  <w:tcW w:w="928" w:type="pct"/>
                  <w:vAlign w:val="center"/>
                </w:tcPr>
                <w:p>
                  <w:pPr>
                    <w:pStyle w:val="a7"/>
                    <w:spacing w:before="24" w:after="24"/>
                    <w:rPr>
                      <w:rFonts w:ascii="Times New Roman"/>
                      <w:color w:val="000000"/>
                    </w:rPr>
                  </w:pPr>
                  <w:r>
                    <w:rPr>
                      <w:rFonts w:ascii="Times New Roman" w:hint="eastAsia"/>
                      <w:color w:val="000000"/>
                    </w:rPr>
                    <w:t>重点加强饮用水源地、化工企业、工业园区、陕北原油管道、陕南尾矿库等领域的环境风险防控。</w:t>
                  </w:r>
                </w:p>
              </w:tc>
              <w:tc>
                <w:tcPr>
                  <w:tcW w:w="1340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Cs w:val="21"/>
                    </w:rPr>
                    <w:t>本项目废气经处理后达标排放；生产废水循环使用不外排，不新增生活污水；噪声经厂房隔声、减振措施后，对周围环境产生的影响较小；不新增生活垃圾，固体废物均得到妥善处置，对周围环境产生的影响较小。</w:t>
                  </w:r>
                </w:p>
              </w:tc>
              <w:tc>
                <w:tcPr>
                  <w:tcW w:w="695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面积1620m</w:t>
                  </w:r>
                  <w:r>
                    <w:rPr>
                      <w:color w:val="000000"/>
                      <w:szCs w:val="21"/>
                      <w:vertAlign w:val="superscript"/>
                    </w:rPr>
                    <w:t>2</w:t>
                  </w:r>
                </w:p>
              </w:tc>
            </w:tr>
            <w:tr>
              <w:tblPrEx>
                <w:tblW w:w="4997" w:type="pct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51"/>
              </w:trPr>
              <w:tc>
                <w:tcPr>
                  <w:tcW w:w="340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3</w:t>
                  </w:r>
                </w:p>
              </w:tc>
              <w:tc>
                <w:tcPr>
                  <w:tcW w:w="676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渭南市</w:t>
                  </w:r>
                </w:p>
              </w:tc>
              <w:tc>
                <w:tcPr>
                  <w:tcW w:w="340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大荔县</w:t>
                  </w:r>
                </w:p>
              </w:tc>
              <w:tc>
                <w:tcPr>
                  <w:tcW w:w="340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关中地区</w:t>
                  </w:r>
                </w:p>
              </w:tc>
              <w:tc>
                <w:tcPr>
                  <w:tcW w:w="340" w:type="pct"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  <w:lang w:bidi="ar"/>
                    </w:rPr>
                    <w:t>空间布局约束</w:t>
                  </w:r>
                </w:p>
              </w:tc>
              <w:tc>
                <w:tcPr>
                  <w:tcW w:w="928" w:type="pct"/>
                  <w:vAlign w:val="center"/>
                </w:tcPr>
                <w:p>
                  <w:pPr>
                    <w:spacing w:after="0"/>
                    <w:jc w:val="center"/>
                  </w:pPr>
                </w:p>
              </w:tc>
              <w:tc>
                <w:tcPr>
                  <w:tcW w:w="1340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本项目不在渭河等两岸保护区域内</w:t>
                  </w:r>
                  <w:r>
                    <w:rPr>
                      <w:color w:val="000000"/>
                    </w:rPr>
                    <w:t>。</w:t>
                  </w:r>
                </w:p>
              </w:tc>
              <w:tc>
                <w:tcPr>
                  <w:tcW w:w="695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面积1620m</w:t>
                  </w:r>
                  <w:r>
                    <w:rPr>
                      <w:color w:val="000000"/>
                      <w:szCs w:val="21"/>
                      <w:vertAlign w:val="superscript"/>
                    </w:rPr>
                    <w:t>2</w:t>
                  </w:r>
                </w:p>
              </w:tc>
            </w:tr>
          </w:tbl>
          <w:p/>
        </w:tc>
      </w:tr>
    </w:tbl>
    <w:p>
      <w:pPr>
        <w:sectPr>
          <w:footerReference w:type="default" r:id="rId8"/>
          <w:type w:val="nextPage"/>
          <w:pgSz w:w="11906" w:h="16838"/>
          <w:pgMar w:top="1701" w:right="1531" w:bottom="1701" w:left="1531" w:header="851" w:footer="851" w:gutter="0"/>
          <w:pgNumType w:fmt="numberInDash" w:start="3"/>
          <w:cols w:num="1" w:space="720"/>
          <w:titlePg w:val="0"/>
          <w:docGrid w:linePitch="312" w:charSpace="0"/>
        </w:sectPr>
      </w:pPr>
    </w:p>
    <w:tbl>
      <w:tblPr>
        <w:tblStyle w:val="TableNormal"/>
        <w:tblW w:w="887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2"/>
        <w:gridCol w:w="6488"/>
      </w:tblGrid>
      <w:tr>
        <w:tblPrEx>
          <w:tblW w:w="8870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/>
          <w:jc w:val="center"/>
        </w:trPr>
        <w:tc>
          <w:tcPr>
            <w:tcW w:w="2382" w:type="dxa"/>
            <w:vAlign w:val="center"/>
          </w:tcPr>
          <w:p/>
        </w:tc>
        <w:tc>
          <w:tcPr>
            <w:tcW w:w="6488" w:type="dxa"/>
            <w:vAlign w:val="center"/>
          </w:tcPr>
          <w:tbl>
            <w:tblPr>
              <w:tblStyle w:val="TableNormal"/>
              <w:tblW w:w="4997" w:type="pct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26"/>
              <w:gridCol w:w="846"/>
              <w:gridCol w:w="426"/>
              <w:gridCol w:w="426"/>
              <w:gridCol w:w="426"/>
              <w:gridCol w:w="1161"/>
              <w:gridCol w:w="1677"/>
              <w:gridCol w:w="870"/>
            </w:tblGrid>
            <w:tr>
              <w:tblPrEx>
                <w:tblW w:w="4997" w:type="pct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51"/>
              </w:trPr>
              <w:tc>
                <w:tcPr>
                  <w:tcW w:w="340" w:type="pct"/>
                  <w:vAlign w:val="center"/>
                </w:tcPr>
                <w:p/>
              </w:tc>
              <w:tc>
                <w:tcPr>
                  <w:tcW w:w="676" w:type="pct"/>
                  <w:vAlign w:val="center"/>
                </w:tcPr>
                <w:p/>
              </w:tc>
              <w:tc>
                <w:tcPr>
                  <w:tcW w:w="340" w:type="pct"/>
                  <w:vAlign w:val="center"/>
                </w:tcPr>
                <w:p/>
              </w:tc>
              <w:tc>
                <w:tcPr>
                  <w:tcW w:w="340" w:type="pct"/>
                  <w:vAlign w:val="center"/>
                </w:tcPr>
                <w:p/>
              </w:tc>
              <w:tc>
                <w:tcPr>
                  <w:tcW w:w="340" w:type="pct"/>
                  <w:vAlign w:val="center"/>
                </w:tcPr>
                <w:p/>
              </w:tc>
              <w:tc>
                <w:tcPr>
                  <w:tcW w:w="928" w:type="pct"/>
                  <w:vAlign w:val="center"/>
                </w:tcPr>
                <w:p>
                  <w:pPr>
                    <w:spacing w:before="0"/>
                    <w:jc w:val="center"/>
                  </w:pPr>
                  <w:r>
                    <w:t>渭河、延河、无定河、汉江、丹江、嘉陵江等六条主要河流干流沿岸，要严格控制石油加工、化学原料和化学制品制造、医药制造、化学纤维制造、有色金</w:t>
                  </w:r>
                </w:p>
                <w:p>
                  <w:pPr>
                    <w:jc w:val="center"/>
                  </w:pPr>
                  <w:r>
                    <w:t>属冶炼、纺织印染等项目，合理布局生产装置及危险化学品仓储等设施。</w:t>
                  </w:r>
                </w:p>
              </w:tc>
              <w:tc>
                <w:tcPr>
                  <w:tcW w:w="1340" w:type="pct"/>
                  <w:vAlign w:val="center"/>
                </w:tcPr>
                <w:p/>
              </w:tc>
              <w:tc>
                <w:tcPr>
                  <w:tcW w:w="695" w:type="pct"/>
                  <w:vAlign w:val="center"/>
                </w:tcPr>
                <w:p/>
              </w:tc>
            </w:tr>
            <w:tr>
              <w:tblPrEx>
                <w:tblW w:w="4997" w:type="pct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51"/>
              </w:trPr>
              <w:tc>
                <w:tcPr>
                  <w:tcW w:w="340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t>4</w:t>
                  </w:r>
                </w:p>
              </w:tc>
              <w:tc>
                <w:tcPr>
                  <w:tcW w:w="676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t>渭南市</w:t>
                  </w:r>
                </w:p>
              </w:tc>
              <w:tc>
                <w:tcPr>
                  <w:tcW w:w="340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t>大荔县</w:t>
                  </w:r>
                </w:p>
              </w:tc>
              <w:tc>
                <w:tcPr>
                  <w:tcW w:w="340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t>关中地区</w:t>
                  </w:r>
                </w:p>
              </w:tc>
              <w:tc>
                <w:tcPr>
                  <w:tcW w:w="340" w:type="pct"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  <w:lang w:bidi="ar"/>
                    </w:rPr>
                  </w:pPr>
                  <w:r>
                    <w:t>空间布局约束</w:t>
                  </w:r>
                </w:p>
              </w:tc>
              <w:tc>
                <w:tcPr>
                  <w:tcW w:w="928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5.严格限制高耗水行业发展，提高水资源利用水平；严禁挤占生态用水。</w:t>
                  </w:r>
                </w:p>
              </w:tc>
              <w:tc>
                <w:tcPr>
                  <w:tcW w:w="1340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本项目不新增生活污水，</w:t>
                  </w:r>
                  <w:r>
                    <w:rPr>
                      <w:rFonts w:hint="eastAsia"/>
                      <w:color w:val="000000"/>
                      <w:szCs w:val="21"/>
                    </w:rPr>
                    <w:t>车辆清洗废水和搅拌机清洗废水经三级沉淀池净化后，进入集水池全部循环使用，</w:t>
                  </w:r>
                  <w:r>
                    <w:rPr>
                      <w:color w:val="000000"/>
                      <w:szCs w:val="21"/>
                    </w:rPr>
                    <w:t>废水不外排。</w:t>
                  </w:r>
                  <w:r>
                    <w:rPr>
                      <w:rFonts w:hint="eastAsia"/>
                      <w:color w:val="000000"/>
                      <w:szCs w:val="21"/>
                    </w:rPr>
                    <w:t>不新增生活污水。</w:t>
                  </w:r>
                </w:p>
              </w:tc>
              <w:tc>
                <w:tcPr>
                  <w:tcW w:w="695" w:type="pct"/>
                  <w:vAlign w:val="center"/>
                </w:tcPr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面积1620m</w:t>
                  </w:r>
                  <w:r>
                    <w:rPr>
                      <w:color w:val="000000"/>
                      <w:szCs w:val="21"/>
                      <w:vertAlign w:val="superscript"/>
                    </w:rPr>
                    <w:t>2</w:t>
                  </w:r>
                </w:p>
              </w:tc>
            </w:tr>
          </w:tbl>
          <w:p>
            <w:pPr>
              <w:spacing w:before="120" w:beforeLines="50" w:line="360" w:lineRule="auto"/>
              <w:ind w:firstLine="482"/>
              <w:rPr>
                <w:sz w:val="24"/>
              </w:rPr>
            </w:pPr>
            <w:r>
              <w:rPr>
                <w:rFonts w:hint="eastAsia"/>
                <w:sz w:val="24"/>
              </w:rPr>
              <w:t>本项目位于陕西省渭南市大荔县官池镇帖家村村东1000米，不涉及自然保护区、饮用水源保护区等生态红线；不涉及新开采资源，满足《关于以改善环境质量为核心加强环境影响评价管理的通知》（环环评〔2016〕150号）中对资源上线的相关要求；根据项目区环境质量现状调查和本项目污染排放核算，本项目建成后各污染物可达标排放，对区域环境质量贡献率低；本项目不涉及《陕西省国家重点生态功能区产业准入负面清单（试行）》。本项目符合“三线一单”相关管控要求。</w:t>
            </w:r>
          </w:p>
        </w:tc>
      </w:tr>
    </w:tbl>
    <w:p>
      <w:pPr>
        <w:sectPr>
          <w:footerReference w:type="default" r:id="rId9"/>
          <w:type w:val="nextPage"/>
          <w:pgSz w:w="11906" w:h="16838"/>
          <w:pgMar w:top="1701" w:right="1531" w:bottom="1701" w:left="1531" w:header="851" w:footer="851" w:gutter="0"/>
          <w:pgNumType w:fmt="numberInDash" w:start="4"/>
          <w:cols w:num="1" w:space="720"/>
          <w:titlePg w:val="0"/>
          <w:docGrid w:linePitch="312" w:charSpace="0"/>
        </w:sectPr>
      </w:pPr>
    </w:p>
    <w:tbl>
      <w:tblPr>
        <w:tblStyle w:val="TableNormal"/>
        <w:tblW w:w="887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2"/>
        <w:gridCol w:w="6488"/>
      </w:tblGrid>
      <w:tr>
        <w:tblPrEx>
          <w:tblW w:w="8870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/>
          <w:jc w:val="center"/>
        </w:trPr>
        <w:tc>
          <w:tcPr>
            <w:tcW w:w="2382" w:type="dxa"/>
            <w:vAlign w:val="center"/>
          </w:tcPr>
          <w:p/>
        </w:tc>
        <w:tc>
          <w:tcPr>
            <w:tcW w:w="6488" w:type="dxa"/>
            <w:vAlign w:val="center"/>
          </w:tcPr>
          <w:p>
            <w:pPr>
              <w:spacing w:line="360" w:lineRule="auto"/>
              <w:ind w:firstLine="482"/>
              <w:rPr>
                <w:b/>
                <w:kern w:val="0"/>
                <w:sz w:val="24"/>
              </w:rPr>
            </w:pPr>
            <w:r>
              <w:rPr>
                <w:b/>
                <w:kern w:val="0"/>
                <w:sz w:val="24"/>
              </w:rPr>
              <w:t>三、与相关政策符合性分析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本项目与相关政策符合性分析情况见表1-2。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center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表1-2    项目与相关政策符合性分析</w:t>
            </w:r>
          </w:p>
          <w:tbl>
            <w:tblPr>
              <w:tblStyle w:val="TableNormal"/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36"/>
              <w:gridCol w:w="2783"/>
              <w:gridCol w:w="1667"/>
              <w:gridCol w:w="476"/>
            </w:tblGrid>
            <w:tr>
              <w:tblPrEx>
                <w:tblW w:w="5000" w:type="pct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9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名称</w:t>
                  </w:r>
                </w:p>
              </w:tc>
              <w:tc>
                <w:tcPr>
                  <w:tcW w:w="225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内容</w:t>
                  </w:r>
                </w:p>
              </w:tc>
              <w:tc>
                <w:tcPr>
                  <w:tcW w:w="136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项目情况</w:t>
                  </w:r>
                </w:p>
              </w:tc>
              <w:tc>
                <w:tcPr>
                  <w:tcW w:w="41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符合性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9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《陕西省“十四五”生态环境保护规划》</w:t>
                  </w:r>
                </w:p>
              </w:tc>
              <w:tc>
                <w:tcPr>
                  <w:tcW w:w="225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严格控制焦化、水泥、砖瓦、石灰、耐火材料、有色金属冶炼等行业物料储存、输送及生产工艺过程中无组织排放。</w:t>
                  </w:r>
                </w:p>
              </w:tc>
              <w:tc>
                <w:tcPr>
                  <w:tcW w:w="136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项目生产线均布置在全封闭生产厂房内；厂房顶部设置喷淋装置，有效降低物料堆存、装卸、输送过程产尘量；搅拌阶段采取湿式作业，进一步降低产尘量，</w:t>
                  </w:r>
                  <w:r>
                    <w:rPr>
                      <w:rFonts w:hint="eastAsia"/>
                      <w:bCs/>
                      <w:kern w:val="0"/>
                      <w:szCs w:val="21"/>
                    </w:rPr>
                    <w:t>落料粉尘和</w:t>
                  </w:r>
                  <w:r>
                    <w:rPr>
                      <w:bCs/>
                      <w:kern w:val="0"/>
                      <w:szCs w:val="21"/>
                    </w:rPr>
                    <w:t>搅拌粉尘经布袋除尘器处理后达标排放。</w:t>
                  </w:r>
                </w:p>
              </w:tc>
              <w:tc>
                <w:tcPr>
                  <w:tcW w:w="41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符合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9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陕西省蓝天保卫战2022年工作方案</w:t>
                  </w:r>
                </w:p>
              </w:tc>
              <w:tc>
                <w:tcPr>
                  <w:tcW w:w="225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22.推进建筑施工扬尘精细化管控。严格落实施工工地扬尘管控责任，建立施工工地动态管理清单。严格落实工地“六个百分之百”，将建筑施工扬尘防治落实情况纳入企业信用评价。核查渣土车密闭化改装改造，确保运输过程无扬尘、无遗漏、无抛洒，未达到改造升级要求的渣土车辆不得从事渣土运输活动。加强施工扬尘监管执法，对问题严重的施工单位依法依规实施联合惩戒。</w:t>
                  </w:r>
                </w:p>
              </w:tc>
              <w:tc>
                <w:tcPr>
                  <w:tcW w:w="136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本项目施工期严格执行</w:t>
                  </w:r>
                  <w:r>
                    <w:rPr>
                      <w:rFonts w:hint="eastAsia"/>
                      <w:bCs/>
                      <w:kern w:val="0"/>
                      <w:szCs w:val="21"/>
                    </w:rPr>
                    <w:t>《陕西省建筑施工扬尘治理行动方案》和《陕西省建筑施工扬尘治理措施16条》</w:t>
                  </w:r>
                  <w:r>
                    <w:rPr>
                      <w:bCs/>
                      <w:kern w:val="0"/>
                      <w:szCs w:val="21"/>
                    </w:rPr>
                    <w:t>。按照围挡、覆盖、冲洗、硬化、封闭、洒水“六个百分百”和出入口道路硬化、基坑坡道处理、冲洗设备安装、清运车辆封闭等管理标准。</w:t>
                  </w:r>
                </w:p>
              </w:tc>
              <w:tc>
                <w:tcPr>
                  <w:tcW w:w="41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符合</w:t>
                  </w:r>
                </w:p>
              </w:tc>
            </w:tr>
          </w:tbl>
          <w:p/>
        </w:tc>
      </w:tr>
    </w:tbl>
    <w:p>
      <w:pPr>
        <w:sectPr>
          <w:footerReference w:type="default" r:id="rId10"/>
          <w:type w:val="nextPage"/>
          <w:pgSz w:w="11906" w:h="16838"/>
          <w:pgMar w:top="1701" w:right="1531" w:bottom="1701" w:left="1531" w:header="851" w:footer="851" w:gutter="0"/>
          <w:pgNumType w:fmt="numberInDash" w:start="5"/>
          <w:cols w:num="1" w:space="720"/>
          <w:titlePg w:val="0"/>
          <w:docGrid w:linePitch="312" w:charSpace="0"/>
        </w:sectPr>
      </w:pPr>
    </w:p>
    <w:tbl>
      <w:tblPr>
        <w:tblStyle w:val="TableNormal"/>
        <w:tblW w:w="887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2"/>
        <w:gridCol w:w="6488"/>
      </w:tblGrid>
      <w:tr>
        <w:tblPrEx>
          <w:tblW w:w="8870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/>
          <w:jc w:val="center"/>
        </w:trPr>
        <w:tc>
          <w:tcPr>
            <w:tcW w:w="2382" w:type="dxa"/>
            <w:vAlign w:val="center"/>
          </w:tcPr>
          <w:p/>
        </w:tc>
        <w:tc>
          <w:tcPr>
            <w:tcW w:w="6488" w:type="dxa"/>
            <w:vAlign w:val="center"/>
          </w:tcPr>
          <w:tbl>
            <w:tblPr>
              <w:tblStyle w:val="TableNormal"/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36"/>
              <w:gridCol w:w="2783"/>
              <w:gridCol w:w="1667"/>
              <w:gridCol w:w="476"/>
            </w:tblGrid>
            <w:tr>
              <w:tblPrEx>
                <w:tblW w:w="5000" w:type="pct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958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</w:p>
              </w:tc>
              <w:tc>
                <w:tcPr>
                  <w:tcW w:w="225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强化道路扬尘管控。加强渣土车扬尘管理，推进渣土车车轮、底盘和车身高效冲洗，保持行驶途中全密闭，通过视频监控、车牌号识别、卫星定位跟踪等手段，实行道路扬尘全过程监督。</w:t>
                  </w:r>
                </w:p>
              </w:tc>
              <w:tc>
                <w:tcPr>
                  <w:tcW w:w="136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本项目产品运输采用封闭式清运车，厂区道路硬化，进出车辆减速慢行，厂内运输道路定期清扫、洒水抑尘。</w:t>
                  </w:r>
                </w:p>
              </w:tc>
              <w:tc>
                <w:tcPr>
                  <w:tcW w:w="41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rFonts w:hint="eastAsia"/>
                      <w:bCs/>
                      <w:kern w:val="0"/>
                      <w:szCs w:val="21"/>
                    </w:rPr>
                    <w:t>符合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958" w:type="pct"/>
                  <w:vMerge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</w:p>
              </w:tc>
              <w:tc>
                <w:tcPr>
                  <w:tcW w:w="225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加强物料堆场扬尘管控。针对铸造、铁合金、焦化、水泥、砖瓦、石灰、耐火材料、有色金属冶炼等行业企业，严格控制物料储存、输送及生产工艺过程无组织排放，粉粒类物料堆放场以及大型煤炭和矿石物料堆场，基本完成抑尘设施建设和物料输送系统封闭改造。严禁露天装卸作业和物料干法作业。</w:t>
                  </w:r>
                </w:p>
              </w:tc>
              <w:tc>
                <w:tcPr>
                  <w:tcW w:w="136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本项目厂房、原料堆放区、料仓、储罐及输送系统均封闭，厂区及厂房内道路硬化，厂房顶部设置喷淋装置，搅拌阶段采取湿式作业，进一步降低产尘量，搅拌粉尘经布袋除尘器处理后经15m高排气筒排放。</w:t>
                  </w:r>
                </w:p>
              </w:tc>
              <w:tc>
                <w:tcPr>
                  <w:tcW w:w="41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符合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958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《陕西省大气污染治理专项行动方案（2023-2027年）》</w:t>
                  </w:r>
                </w:p>
              </w:tc>
              <w:tc>
                <w:tcPr>
                  <w:tcW w:w="225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产业发展结构调整。关中地区严禁新增钢铁、焦化、水泥熟料、平板玻璃、电解铝、氧化铝、煤化工产能，合理控制煤制油气产能规模，严控新增炼油产能。关中地区市辖区及开发区范围内新、改、扩建涉气重点行业企业应达到环保绩效A级、绩效引领性水平，西安市、咸阳市、渭南市的其他区域应达到环保绩效B级及以上水平。</w:t>
                  </w:r>
                </w:p>
              </w:tc>
              <w:tc>
                <w:tcPr>
                  <w:tcW w:w="136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本项目不属于</w:t>
                  </w:r>
                  <w:r>
                    <w:rPr>
                      <w:rFonts w:hint="eastAsia"/>
                      <w:bCs/>
                      <w:kern w:val="0"/>
                      <w:szCs w:val="21"/>
                    </w:rPr>
                    <w:t>涉气重点行业，</w:t>
                  </w:r>
                  <w:r>
                    <w:rPr>
                      <w:bCs/>
                      <w:kern w:val="0"/>
                      <w:szCs w:val="21"/>
                    </w:rPr>
                    <w:t>厂房、原料堆放区、料仓、储罐及输送系统均封闭，厂区及厂房内道路硬化，厂房顶部设置喷淋装置，搅拌阶段采取湿式作业，搅拌粉尘经布袋除尘器处理后经15m高排气筒排放。</w:t>
                  </w:r>
                </w:p>
              </w:tc>
              <w:tc>
                <w:tcPr>
                  <w:tcW w:w="41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符合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958" w:type="pct"/>
                  <w:vMerge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</w:p>
              </w:tc>
              <w:tc>
                <w:tcPr>
                  <w:tcW w:w="225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spacing w:after="0"/>
                    <w:jc w:val="center"/>
                    <w:rPr>
                      <w:bCs/>
                      <w:kern w:val="0"/>
                      <w:szCs w:val="21"/>
                    </w:rPr>
                  </w:pPr>
                </w:p>
              </w:tc>
              <w:tc>
                <w:tcPr>
                  <w:tcW w:w="136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spacing w:after="0"/>
                    <w:jc w:val="center"/>
                    <w:rPr>
                      <w:bCs/>
                      <w:kern w:val="0"/>
                      <w:szCs w:val="21"/>
                    </w:rPr>
                  </w:pPr>
                </w:p>
              </w:tc>
              <w:tc>
                <w:tcPr>
                  <w:tcW w:w="41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spacing w:after="0"/>
                    <w:jc w:val="center"/>
                    <w:rPr>
                      <w:bCs/>
                      <w:kern w:val="0"/>
                      <w:szCs w:val="21"/>
                    </w:rPr>
                  </w:pPr>
                </w:p>
              </w:tc>
            </w:tr>
          </w:tbl>
          <w:p/>
        </w:tc>
      </w:tr>
    </w:tbl>
    <w:p>
      <w:pPr>
        <w:sectPr>
          <w:footerReference w:type="default" r:id="rId11"/>
          <w:type w:val="nextPage"/>
          <w:pgSz w:w="11906" w:h="16838"/>
          <w:pgMar w:top="1701" w:right="1531" w:bottom="1701" w:left="1531" w:header="851" w:footer="851" w:gutter="0"/>
          <w:pgNumType w:fmt="numberInDash" w:start="6"/>
          <w:cols w:num="1" w:space="720"/>
          <w:titlePg w:val="0"/>
          <w:docGrid w:linePitch="312" w:charSpace="0"/>
        </w:sectPr>
      </w:pPr>
    </w:p>
    <w:tbl>
      <w:tblPr>
        <w:tblStyle w:val="TableNormal"/>
        <w:tblW w:w="887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2"/>
        <w:gridCol w:w="6488"/>
      </w:tblGrid>
      <w:tr>
        <w:tblPrEx>
          <w:tblW w:w="8870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/>
          <w:jc w:val="center"/>
        </w:trPr>
        <w:tc>
          <w:tcPr>
            <w:tcW w:w="2382" w:type="dxa"/>
            <w:vAlign w:val="center"/>
          </w:tcPr>
          <w:p/>
        </w:tc>
        <w:tc>
          <w:tcPr>
            <w:tcW w:w="6488" w:type="dxa"/>
            <w:vAlign w:val="center"/>
          </w:tcPr>
          <w:tbl>
            <w:tblPr>
              <w:tblStyle w:val="TableNormal"/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36"/>
              <w:gridCol w:w="2783"/>
              <w:gridCol w:w="1667"/>
              <w:gridCol w:w="476"/>
            </w:tblGrid>
            <w:tr>
              <w:tblPrEx>
                <w:tblW w:w="5000" w:type="pct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958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/>
              </w:tc>
              <w:tc>
                <w:tcPr>
                  <w:tcW w:w="225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spacing w:before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扬尘治理工程。关中地区以降低PM</w:t>
                  </w:r>
                  <w:r>
                    <w:rPr>
                      <w:bCs/>
                      <w:kern w:val="0"/>
                      <w:szCs w:val="21"/>
                      <w:vertAlign w:val="subscript"/>
                    </w:rPr>
                    <w:t>10</w:t>
                  </w:r>
                  <w:r>
                    <w:rPr>
                      <w:bCs/>
                      <w:kern w:val="0"/>
                      <w:szCs w:val="21"/>
                    </w:rPr>
                    <w:t>指标为导向建立动态管控系统，施工场地严格执行“六个百分百”，施工工地扬尘排放超过《施工厂界扬尘排放限值（DB 61/1078-2017）》的立即停工整改。</w:t>
                  </w:r>
                </w:p>
              </w:tc>
              <w:tc>
                <w:tcPr>
                  <w:tcW w:w="136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spacing w:before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本项目施工期严格执行</w:t>
                  </w:r>
                  <w:r>
                    <w:rPr>
                      <w:rFonts w:hint="eastAsia"/>
                      <w:bCs/>
                      <w:kern w:val="0"/>
                      <w:szCs w:val="21"/>
                    </w:rPr>
                    <w:t>《陕西省建筑施工扬尘治理行动方案》和《陕西省建筑施工扬尘治理措施16条》</w:t>
                  </w:r>
                  <w:r>
                    <w:rPr>
                      <w:bCs/>
                      <w:kern w:val="0"/>
                      <w:szCs w:val="21"/>
                    </w:rPr>
                    <w:t>。按照围挡、覆盖、冲洗、硬化、封闭、洒水“六个百分百”和出入口道路硬化、基坑坡道处理、冲洗设备安装、清运车辆封闭等管理标准。</w:t>
                  </w:r>
                </w:p>
              </w:tc>
              <w:tc>
                <w:tcPr>
                  <w:tcW w:w="41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spacing w:before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符合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958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《渭南市大气污染治理专项行动方案（2023-2027年）》</w:t>
                  </w:r>
                </w:p>
              </w:tc>
              <w:tc>
                <w:tcPr>
                  <w:tcW w:w="225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产业发展结构调整。严禁新增钢铁、焦化、水泥熟料、平板玻璃、电解铝、氧化铝、煤化工产能……</w:t>
                  </w:r>
                </w:p>
              </w:tc>
              <w:tc>
                <w:tcPr>
                  <w:tcW w:w="136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本项目</w:t>
                  </w:r>
                  <w:r>
                    <w:rPr>
                      <w:rFonts w:hint="eastAsia"/>
                      <w:bCs/>
                      <w:kern w:val="0"/>
                      <w:szCs w:val="21"/>
                    </w:rPr>
                    <w:t>不属于钢铁、焦化、水泥熟料、平板玻璃、电解铝、氧化铝、煤化工等项目。</w:t>
                  </w:r>
                </w:p>
              </w:tc>
              <w:tc>
                <w:tcPr>
                  <w:tcW w:w="41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符合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958" w:type="pct"/>
                  <w:vMerge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</w:p>
              </w:tc>
              <w:tc>
                <w:tcPr>
                  <w:tcW w:w="225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rFonts w:hint="eastAsia"/>
                      <w:bCs/>
                      <w:kern w:val="0"/>
                      <w:szCs w:val="21"/>
                    </w:rPr>
                    <w:t>扬尘治理工程。建立工地、道路扬尘监管体系，加大渣土运输及工程车辆带泥上路和沿路抛洒整治，未铺装道路和断头路应根据实际情况进行铺装、硬化，保持道路积尘处于低负荷状态。</w:t>
                  </w:r>
                  <w:r>
                    <w:rPr>
                      <w:bCs/>
                      <w:kern w:val="0"/>
                      <w:szCs w:val="21"/>
                    </w:rPr>
                    <w:t>强化煤炭、煤矸石、煤渣、煤灰、水泥、石灰、石膏、砂土等易产生扬尘的粉状、粒状、块状物料入棚入仓密闭储存或严密围挡，严格落实物料覆盖、洒水喷淋等防尘措施。</w:t>
                  </w:r>
                </w:p>
              </w:tc>
              <w:tc>
                <w:tcPr>
                  <w:tcW w:w="136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spacing w:after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rFonts w:hint="eastAsia"/>
                      <w:bCs/>
                      <w:kern w:val="0"/>
                      <w:szCs w:val="21"/>
                    </w:rPr>
                    <w:t>本项目施工期严格执行《陕西省建筑施工扬尘治理行动方案》和《陕西省建筑施工扬尘治理措施16条》。按照围挡、覆盖、冲洗、硬化、封闭、洒水“六个百分百”和出入口道路硬化、基坑坡道处理、冲洗设备安装、清运车辆封闭等管理标准。</w:t>
                  </w:r>
                </w:p>
              </w:tc>
              <w:tc>
                <w:tcPr>
                  <w:tcW w:w="41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符合</w:t>
                  </w:r>
                </w:p>
              </w:tc>
            </w:tr>
          </w:tbl>
          <w:p/>
        </w:tc>
      </w:tr>
    </w:tbl>
    <w:p>
      <w:pPr>
        <w:sectPr>
          <w:footerReference w:type="default" r:id="rId12"/>
          <w:type w:val="nextPage"/>
          <w:pgSz w:w="11906" w:h="16838"/>
          <w:pgMar w:top="1701" w:right="1531" w:bottom="1701" w:left="1531" w:header="851" w:footer="851" w:gutter="0"/>
          <w:pgNumType w:fmt="numberInDash" w:start="7"/>
          <w:cols w:num="1" w:space="720"/>
          <w:titlePg w:val="0"/>
          <w:docGrid w:linePitch="312" w:charSpace="0"/>
        </w:sectPr>
      </w:pPr>
    </w:p>
    <w:tbl>
      <w:tblPr>
        <w:tblStyle w:val="TableNormal"/>
        <w:tblW w:w="887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2"/>
        <w:gridCol w:w="6488"/>
      </w:tblGrid>
      <w:tr>
        <w:tblPrEx>
          <w:tblW w:w="8870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/>
          <w:jc w:val="center"/>
        </w:trPr>
        <w:tc>
          <w:tcPr>
            <w:tcW w:w="2382" w:type="dxa"/>
            <w:vAlign w:val="center"/>
          </w:tcPr>
          <w:p/>
        </w:tc>
        <w:tc>
          <w:tcPr>
            <w:tcW w:w="6488" w:type="dxa"/>
            <w:vAlign w:val="center"/>
          </w:tcPr>
          <w:tbl>
            <w:tblPr>
              <w:tblStyle w:val="TableNormal"/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36"/>
              <w:gridCol w:w="2783"/>
              <w:gridCol w:w="1667"/>
              <w:gridCol w:w="476"/>
            </w:tblGrid>
            <w:tr>
              <w:tblPrEx>
                <w:tblW w:w="5000" w:type="pct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958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/>
              </w:tc>
              <w:tc>
                <w:tcPr>
                  <w:tcW w:w="2259" w:type="pct"/>
                  <w:tcBorders>
                    <w:tl2br w:val="nil"/>
                    <w:tr2bl w:val="nil"/>
                  </w:tcBorders>
                  <w:vAlign w:val="center"/>
                </w:tcPr>
                <w:p/>
              </w:tc>
              <w:tc>
                <w:tcPr>
                  <w:tcW w:w="136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spacing w:before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本项目厂房、原料堆放区、料仓、储罐及输送系统均封闭，厂区及厂房内道路硬化，厂房顶部设置喷淋装置。</w:t>
                  </w:r>
                </w:p>
              </w:tc>
              <w:tc>
                <w:tcPr>
                  <w:tcW w:w="416" w:type="pct"/>
                  <w:tcBorders>
                    <w:tl2br w:val="nil"/>
                    <w:tr2bl w:val="nil"/>
                  </w:tcBorders>
                  <w:vAlign w:val="center"/>
                </w:tcPr>
                <w:p/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958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rFonts w:hint="eastAsia"/>
                      <w:bCs/>
                      <w:kern w:val="0"/>
                      <w:szCs w:val="21"/>
                    </w:rPr>
                    <w:t>《大荔县大气污染治理专项行动方案（2</w:t>
                  </w:r>
                  <w:r>
                    <w:rPr>
                      <w:bCs/>
                      <w:kern w:val="0"/>
                      <w:szCs w:val="21"/>
                    </w:rPr>
                    <w:t>023-2027</w:t>
                  </w:r>
                  <w:r>
                    <w:rPr>
                      <w:rFonts w:hint="eastAsia"/>
                      <w:bCs/>
                      <w:kern w:val="0"/>
                      <w:szCs w:val="21"/>
                    </w:rPr>
                    <w:t>年）》</w:t>
                  </w:r>
                </w:p>
              </w:tc>
              <w:tc>
                <w:tcPr>
                  <w:tcW w:w="225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rFonts w:hint="eastAsia"/>
                      <w:bCs/>
                      <w:kern w:val="0"/>
                      <w:szCs w:val="21"/>
                    </w:rPr>
                    <w:t>3.产业发展结构调整。严禁新增钢铁、焦化、冶炼、水泥熟</w:t>
                  </w:r>
                </w:p>
                <w:p>
                  <w:pPr>
                    <w:adjustRightInd w:val="0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rFonts w:hint="eastAsia"/>
                      <w:bCs/>
                      <w:kern w:val="0"/>
                      <w:szCs w:val="21"/>
                    </w:rPr>
                    <w:t>料、平板玻璃、电解铝、氧化铝、煤化工产能，合理控制煤制油气产能规模，严控新增炼油产能。</w:t>
                  </w:r>
                </w:p>
                <w:p>
                  <w:pPr>
                    <w:adjustRightInd w:val="0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rFonts w:hint="eastAsia"/>
                      <w:bCs/>
                      <w:kern w:val="0"/>
                      <w:szCs w:val="21"/>
                    </w:rPr>
                    <w:t>县域范围内新、改、扩建涉气重点行业企业应达到B级及以上水平。</w:t>
                  </w:r>
                </w:p>
              </w:tc>
              <w:tc>
                <w:tcPr>
                  <w:tcW w:w="136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rFonts w:hint="eastAsia"/>
                      <w:bCs/>
                      <w:kern w:val="0"/>
                      <w:szCs w:val="21"/>
                    </w:rPr>
                    <w:t>本项目不属于钢铁、焦化、冶炼、水泥熟料、平板玻璃、电解铝、氧化铝、煤化工项目。本项目不属于涉气重点行业。</w:t>
                  </w:r>
                </w:p>
              </w:tc>
              <w:tc>
                <w:tcPr>
                  <w:tcW w:w="41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rFonts w:hint="eastAsia"/>
                      <w:bCs/>
                      <w:kern w:val="0"/>
                      <w:szCs w:val="21"/>
                    </w:rPr>
                    <w:t>符合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958" w:type="pct"/>
                  <w:vMerge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</w:p>
              </w:tc>
              <w:tc>
                <w:tcPr>
                  <w:tcW w:w="225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spacing w:after="0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rFonts w:hint="eastAsia"/>
                      <w:bCs/>
                      <w:kern w:val="0"/>
                      <w:szCs w:val="21"/>
                    </w:rPr>
                    <w:t>8.扬尘治理工程。建立工地、道路扬尘监管体系，安装建筑工地扬尘在线监测系统和视频监控，与行业监管部门联网，优化道路考核机制，严格落实监管责任，实施网格化考核。以降低PM</w:t>
                  </w:r>
                  <w:r>
                    <w:rPr>
                      <w:rFonts w:hint="eastAsia"/>
                      <w:bCs/>
                      <w:kern w:val="0"/>
                      <w:szCs w:val="21"/>
                      <w:vertAlign w:val="subscript"/>
                    </w:rPr>
                    <w:t>10</w:t>
                  </w:r>
                </w:p>
              </w:tc>
              <w:tc>
                <w:tcPr>
                  <w:tcW w:w="136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spacing w:after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rFonts w:hint="eastAsia"/>
                      <w:bCs/>
                      <w:kern w:val="0"/>
                      <w:szCs w:val="21"/>
                    </w:rPr>
                    <w:t>本项目施工期严格执行《陕西省建筑施工扬尘治理行动方案》和《陕西省建筑施工扬尘治理措施16条》。按照围挡、覆盖、冲洗、硬化、封闭、洒水“六个百分百”和出入口道路硬化、基坑坡道处理、冲洗设备安装、清运车辆封闭等管理标准。</w:t>
                  </w:r>
                </w:p>
              </w:tc>
              <w:tc>
                <w:tcPr>
                  <w:tcW w:w="41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rFonts w:hint="eastAsia"/>
                      <w:bCs/>
                      <w:kern w:val="0"/>
                      <w:szCs w:val="21"/>
                    </w:rPr>
                    <w:t>符合</w:t>
                  </w:r>
                </w:p>
              </w:tc>
            </w:tr>
          </w:tbl>
          <w:p/>
        </w:tc>
      </w:tr>
    </w:tbl>
    <w:p>
      <w:pPr>
        <w:sectPr>
          <w:footerReference w:type="default" r:id="rId13"/>
          <w:type w:val="nextPage"/>
          <w:pgSz w:w="11906" w:h="16838"/>
          <w:pgMar w:top="1701" w:right="1531" w:bottom="1701" w:left="1531" w:header="851" w:footer="851" w:gutter="0"/>
          <w:pgNumType w:fmt="numberInDash" w:start="8"/>
          <w:cols w:num="1" w:space="720"/>
          <w:titlePg w:val="0"/>
          <w:docGrid w:linePitch="312" w:charSpace="0"/>
        </w:sectPr>
      </w:pPr>
    </w:p>
    <w:tbl>
      <w:tblPr>
        <w:tblStyle w:val="TableNormal"/>
        <w:tblW w:w="887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2"/>
        <w:gridCol w:w="6488"/>
      </w:tblGrid>
      <w:tr>
        <w:tblPrEx>
          <w:tblW w:w="8870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/>
          <w:jc w:val="center"/>
        </w:trPr>
        <w:tc>
          <w:tcPr>
            <w:tcW w:w="2382" w:type="dxa"/>
            <w:vAlign w:val="center"/>
          </w:tcPr>
          <w:p/>
        </w:tc>
        <w:tc>
          <w:tcPr>
            <w:tcW w:w="6488" w:type="dxa"/>
            <w:vAlign w:val="center"/>
          </w:tcPr>
          <w:tbl>
            <w:tblPr>
              <w:tblStyle w:val="TableNormal"/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36"/>
              <w:gridCol w:w="2783"/>
              <w:gridCol w:w="1667"/>
              <w:gridCol w:w="476"/>
            </w:tblGrid>
            <w:tr>
              <w:tblPrEx>
                <w:tblW w:w="5000" w:type="pct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/>
                <w:jc w:val="center"/>
              </w:trPr>
              <w:tc>
                <w:tcPr>
                  <w:tcW w:w="958" w:type="pct"/>
                  <w:tcBorders>
                    <w:tl2br w:val="nil"/>
                    <w:tr2bl w:val="nil"/>
                  </w:tcBorders>
                  <w:vAlign w:val="center"/>
                </w:tcPr>
                <w:p/>
              </w:tc>
              <w:tc>
                <w:tcPr>
                  <w:tcW w:w="225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spacing w:before="0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rFonts w:hint="eastAsia"/>
                      <w:bCs/>
                      <w:kern w:val="0"/>
                      <w:szCs w:val="21"/>
                    </w:rPr>
                    <w:t>指标为导向建立动态管控机制，施工场地严格执行“六个百分百”，施工场地扬尘排放超过《施工场界扬尘排放限值》（DB61/1078-2017）的立即停工整改，除沙尘天气影响外，PM10小时浓度连续2小时超过150微克/立方米时，暂停超过环境质量监测值2倍的施工工地作业。加大渣土运输及工程车辆带泥上路和沿路抛洒整治，渣土运输车辆实行“一车一证”和“三限一卡”，开展渣土运输联合执法行动，严禁密闭不严、未冲洗到位车辆上路行驶。未铺装道路和断头路应根据实际情况进行铺装、硬化，保持道路积尘处于低负荷状态。强化煤炭、煤矸石、煤渣、煤灰、水泥、石灰、石膏、砂土等易产生扬尘的粉状、粒状、块状物料入棚入仓密闭储存或严密围挡，严格落实物料覆盖、洒水喷淋等防尘措施。深化裸地扬尘治理，通过无人机航拍以及人力相结合等方式，按照“宜绿则绿、宜硬则硬、宜盖则盖”的原则，进行苫盖、硬化或绿化。</w:t>
                  </w:r>
                </w:p>
              </w:tc>
              <w:tc>
                <w:tcPr>
                  <w:tcW w:w="136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adjustRightInd w:val="0"/>
                    <w:spacing w:before="0"/>
                    <w:jc w:val="center"/>
                    <w:rPr>
                      <w:bCs/>
                      <w:kern w:val="0"/>
                      <w:szCs w:val="21"/>
                    </w:rPr>
                  </w:pPr>
                  <w:r>
                    <w:rPr>
                      <w:bCs/>
                      <w:kern w:val="0"/>
                      <w:szCs w:val="21"/>
                    </w:rPr>
                    <w:t>本项目厂房、原料堆放区、料仓、储罐及输送系统均封闭，厂区及厂房内道路硬化，厂房顶部设置喷淋装置。</w:t>
                  </w:r>
                </w:p>
              </w:tc>
              <w:tc>
                <w:tcPr>
                  <w:tcW w:w="416" w:type="pct"/>
                  <w:tcBorders>
                    <w:tl2br w:val="nil"/>
                    <w:tr2bl w:val="nil"/>
                  </w:tcBorders>
                  <w:vAlign w:val="center"/>
                </w:tcPr>
                <w:p/>
              </w:tc>
            </w:tr>
          </w:tbl>
          <w:p>
            <w:pPr>
              <w:spacing w:before="120" w:beforeLines="50" w:line="360" w:lineRule="auto"/>
              <w:ind w:firstLine="482"/>
              <w:rPr>
                <w:b/>
                <w:kern w:val="0"/>
                <w:sz w:val="24"/>
              </w:rPr>
            </w:pPr>
            <w:r>
              <w:rPr>
                <w:b/>
                <w:kern w:val="0"/>
                <w:sz w:val="24"/>
              </w:rPr>
              <w:t>四、选址合理性分析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1、本项目为扩建项目，项目选址位于陕西省渭南市大荔县官池镇帖家村村东1000米，在现有厂房</w:t>
            </w:r>
            <w:r>
              <w:rPr>
                <w:rFonts w:hint="eastAsia"/>
                <w:kern w:val="0"/>
                <w:sz w:val="24"/>
              </w:rPr>
              <w:t>（建筑面积4032m</w:t>
            </w:r>
            <w:r>
              <w:rPr>
                <w:rFonts w:hint="eastAsia"/>
                <w:kern w:val="0"/>
                <w:sz w:val="24"/>
                <w:vertAlign w:val="superscript"/>
              </w:rPr>
              <w:t>2</w:t>
            </w:r>
            <w:r>
              <w:rPr>
                <w:rFonts w:hint="eastAsia"/>
                <w:kern w:val="0"/>
                <w:sz w:val="24"/>
              </w:rPr>
              <w:t>）</w:t>
            </w:r>
            <w:r>
              <w:rPr>
                <w:kern w:val="0"/>
                <w:sz w:val="24"/>
              </w:rPr>
              <w:t>的南侧新建面积为1620m</w:t>
            </w:r>
            <w:r>
              <w:rPr>
                <w:kern w:val="0"/>
                <w:sz w:val="24"/>
                <w:vertAlign w:val="superscript"/>
              </w:rPr>
              <w:t>2</w:t>
            </w:r>
            <w:r>
              <w:rPr>
                <w:kern w:val="0"/>
                <w:sz w:val="24"/>
              </w:rPr>
              <w:t>的厂房。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根据现场踏勘及原环评报告</w:t>
            </w:r>
            <w:r>
              <w:rPr>
                <w:rFonts w:hint="eastAsia"/>
                <w:kern w:val="0"/>
                <w:sz w:val="24"/>
              </w:rPr>
              <w:t>，建设单位法人与帖家村村委会已签订租赁协议，共租赁9204.56m</w:t>
            </w:r>
            <w:r>
              <w:rPr>
                <w:rFonts w:hint="eastAsia"/>
                <w:kern w:val="0"/>
                <w:sz w:val="24"/>
                <w:vertAlign w:val="superscript"/>
              </w:rPr>
              <w:t>2</w:t>
            </w:r>
            <w:r>
              <w:rPr>
                <w:rFonts w:hint="eastAsia"/>
                <w:kern w:val="0"/>
                <w:sz w:val="24"/>
              </w:rPr>
              <w:t>土地，项目用地性质为建设用地。</w:t>
            </w:r>
            <w:r>
              <w:rPr>
                <w:kern w:val="0"/>
                <w:sz w:val="24"/>
              </w:rPr>
              <w:t>项目西侧与南侧为农田，北侧为大荔珊航固体废物综合处理有限公司原有厂房，东侧为废弃闲置建筑，东侧约90m处为九龙—西池公路，项目建成后周边500m范围内无敏感点。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、项目评价范围内无《建设项目环境影响评价分类管理名录》中第五条规定的（一）、（二）类环境保护区，如自然保护区、风景名胜区、世界文化和自然遗产地、饮用水水源保护区等，不在国家、地方规划的重点生态功能区的敏感区域内。</w:t>
            </w:r>
          </w:p>
          <w:p>
            <w:pPr>
              <w:adjustRightInd w:val="0"/>
              <w:snapToGrid w:val="0"/>
              <w:spacing w:after="0" w:line="360" w:lineRule="auto"/>
              <w:ind w:firstLine="480" w:firstLineChars="200"/>
              <w:rPr>
                <w:kern w:val="0"/>
                <w:sz w:val="24"/>
              </w:rPr>
            </w:pPr>
          </w:p>
        </w:tc>
      </w:tr>
    </w:tbl>
    <w:p>
      <w:pPr>
        <w:sectPr>
          <w:footerReference w:type="default" r:id="rId14"/>
          <w:type w:val="nextPage"/>
          <w:pgSz w:w="11906" w:h="16838"/>
          <w:pgMar w:top="1701" w:right="1531" w:bottom="1701" w:left="1531" w:header="851" w:footer="851" w:gutter="0"/>
          <w:pgNumType w:fmt="numberInDash" w:start="9"/>
          <w:cols w:num="1" w:space="720"/>
          <w:titlePg w:val="0"/>
          <w:docGrid w:linePitch="312" w:charSpace="0"/>
        </w:sectPr>
      </w:pPr>
    </w:p>
    <w:tbl>
      <w:tblPr>
        <w:tblStyle w:val="TableNormal"/>
        <w:tblW w:w="887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2"/>
        <w:gridCol w:w="6488"/>
      </w:tblGrid>
      <w:tr>
        <w:tblPrEx>
          <w:tblW w:w="8870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/>
          <w:jc w:val="center"/>
        </w:trPr>
        <w:tc>
          <w:tcPr>
            <w:tcW w:w="2382" w:type="dxa"/>
            <w:vAlign w:val="center"/>
          </w:tcPr>
          <w:p/>
        </w:tc>
        <w:tc>
          <w:tcPr>
            <w:tcW w:w="6488" w:type="dxa"/>
            <w:vAlign w:val="center"/>
          </w:tcPr>
          <w:p>
            <w:pPr>
              <w:adjustRightInd w:val="0"/>
              <w:snapToGrid w:val="0"/>
              <w:spacing w:before="0" w:line="360" w:lineRule="auto"/>
              <w:ind w:firstLine="480" w:firstLineChars="2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、项目在严格执行本环评提出的各项防治措施的前提下，废气经处理后达标排放，对周围环境产生的影响较小；生产废水循环使用不外排，不新增生活污水；噪声经厂房隔声、减振措施后，对周围环境产生的影响较小；不新增生活垃圾，固体废物均得到妥善处置，对周围环境产生的影响较小；各项目污染物经处理后，不会改变评价区现有环境功能，对周围环境保护目标的环境影响较小。综上所述，本项目建设符合</w:t>
            </w:r>
            <w:r>
              <w:rPr>
                <w:rFonts w:hint="eastAsia"/>
                <w:kern w:val="0"/>
                <w:sz w:val="24"/>
              </w:rPr>
              <w:t>陕西省“三线一单”生态环境分区管控要求，符合相关规划要求，</w:t>
            </w:r>
            <w:r>
              <w:rPr>
                <w:kern w:val="0"/>
                <w:sz w:val="24"/>
              </w:rPr>
              <w:t>项目运营过程中产生的污染物对周围环境影响较小，从环保角度分析，项目选址较为合理。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4、项目区交通便捷，供水、供电等公用基础设施较为完善，具有良好的建设条件。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综上，项目选址合理。</w:t>
            </w:r>
          </w:p>
          <w:p>
            <w:pPr>
              <w:adjustRightInd w:val="0"/>
              <w:snapToGrid w:val="0"/>
              <w:spacing w:line="360" w:lineRule="auto"/>
              <w:rPr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rPr>
          <w:kern w:val="0"/>
          <w:sz w:val="24"/>
        </w:rPr>
        <w:sectPr>
          <w:footerReference w:type="default" r:id="rId15"/>
          <w:type w:val="nextPage"/>
          <w:pgSz w:w="11906" w:h="16838"/>
          <w:pgMar w:top="1701" w:right="1531" w:bottom="1701" w:left="1531" w:header="851" w:footer="851" w:gutter="0"/>
          <w:pgNumType w:fmt="numberInDash" w:start="10"/>
          <w:cols w:num="1" w:space="720"/>
          <w:titlePg w:val="0"/>
          <w:docGrid w:linePitch="312" w:charSpace="0"/>
        </w:sectPr>
      </w:pPr>
    </w:p>
    <w:p>
      <w:pPr>
        <w:pStyle w:val="NormalWeb"/>
        <w:jc w:val="center"/>
        <w:outlineLvl w:val="0"/>
        <w:rPr>
          <w:rFonts w:ascii="Times New Roman" w:eastAsia="黑体" w:hAnsi="Times New Roman"/>
          <w:snapToGrid w:val="0"/>
          <w:sz w:val="30"/>
          <w:szCs w:val="30"/>
        </w:rPr>
      </w:pPr>
      <w:r>
        <w:rPr>
          <w:rFonts w:ascii="Times New Roman" w:eastAsia="黑体" w:hAnsi="Times New Roman"/>
          <w:snapToGrid w:val="0"/>
          <w:sz w:val="30"/>
          <w:szCs w:val="30"/>
        </w:rPr>
        <w:t>二、建设项目工程分析</w:t>
      </w:r>
    </w:p>
    <w:tbl>
      <w:tblPr>
        <w:tblStyle w:val="TableNormal"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"/>
        <w:gridCol w:w="8382"/>
      </w:tblGrid>
      <w:tr>
        <w:tblPrEx>
          <w:tblW w:w="0" w:type="auto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/>
          <w:jc w:val="center"/>
        </w:trPr>
        <w:tc>
          <w:tcPr>
            <w:tcW w:w="823" w:type="dxa"/>
            <w:vAlign w:val="center"/>
          </w:tcPr>
          <w:p>
            <w:pPr>
              <w:pStyle w:val="NormalWeb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Cs w:val="24"/>
              </w:rPr>
              <w:t>建设内容</w:t>
            </w:r>
          </w:p>
        </w:tc>
        <w:tc>
          <w:tcPr>
            <w:tcW w:w="8161" w:type="dxa"/>
          </w:tcPr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一、项目概况</w:t>
            </w:r>
          </w:p>
          <w:p>
            <w:pPr>
              <w:pStyle w:val="13"/>
              <w:widowControl/>
              <w:adjustRightInd/>
              <w:spacing w:line="360" w:lineRule="auto"/>
              <w:ind w:firstLine="480" w:firstLineChars="200"/>
              <w:rPr>
                <w:rFonts w:ascii="Times New Roman" w:hint="default"/>
                <w:bCs/>
                <w:kern w:val="2"/>
                <w:szCs w:val="24"/>
              </w:rPr>
            </w:pPr>
            <w:r>
              <w:rPr>
                <w:rFonts w:ascii="Times New Roman" w:hint="default"/>
                <w:bCs/>
                <w:kern w:val="2"/>
                <w:szCs w:val="24"/>
              </w:rPr>
              <w:t>项目名称：</w:t>
            </w:r>
            <w:bookmarkStart w:id="1" w:name="_Hlk138668060"/>
            <w:r>
              <w:rPr>
                <w:rFonts w:ascii="Times New Roman" w:hint="default"/>
                <w:szCs w:val="24"/>
              </w:rPr>
              <w:t>年处理建筑垃圾100万吨扩建项目</w:t>
            </w:r>
            <w:bookmarkEnd w:id="1"/>
          </w:p>
          <w:p>
            <w:pPr>
              <w:pStyle w:val="13"/>
              <w:widowControl/>
              <w:adjustRightInd/>
              <w:spacing w:line="360" w:lineRule="auto"/>
              <w:ind w:firstLine="480" w:firstLineChars="200"/>
              <w:rPr>
                <w:rFonts w:ascii="Times New Roman" w:hint="default"/>
                <w:bCs/>
                <w:kern w:val="2"/>
                <w:szCs w:val="24"/>
              </w:rPr>
            </w:pPr>
            <w:r>
              <w:rPr>
                <w:rFonts w:ascii="Times New Roman" w:hint="default"/>
                <w:bCs/>
                <w:kern w:val="2"/>
                <w:szCs w:val="24"/>
              </w:rPr>
              <w:t>建设单位：</w:t>
            </w:r>
            <w:bookmarkStart w:id="2" w:name="_Hlk137476262"/>
            <w:r>
              <w:rPr>
                <w:rFonts w:ascii="Times New Roman" w:hint="default"/>
                <w:bCs/>
                <w:kern w:val="2"/>
                <w:szCs w:val="24"/>
              </w:rPr>
              <w:t>大荔珊航固体废物综合处理有限公司</w:t>
            </w:r>
            <w:bookmarkEnd w:id="2"/>
          </w:p>
          <w:p>
            <w:pPr>
              <w:pStyle w:val="13"/>
              <w:widowControl/>
              <w:adjustRightInd/>
              <w:spacing w:line="360" w:lineRule="auto"/>
              <w:ind w:firstLine="480" w:firstLineChars="200"/>
              <w:rPr>
                <w:rFonts w:ascii="Times New Roman" w:hint="default"/>
                <w:bCs/>
                <w:kern w:val="2"/>
                <w:szCs w:val="24"/>
              </w:rPr>
            </w:pPr>
            <w:r>
              <w:rPr>
                <w:rFonts w:ascii="Times New Roman" w:hint="default"/>
                <w:bCs/>
                <w:kern w:val="2"/>
                <w:szCs w:val="24"/>
              </w:rPr>
              <w:t>建设性质：扩建</w:t>
            </w:r>
          </w:p>
          <w:p>
            <w:pPr>
              <w:pStyle w:val="13"/>
              <w:widowControl/>
              <w:adjustRightInd/>
              <w:spacing w:line="360" w:lineRule="auto"/>
              <w:ind w:firstLine="480" w:firstLineChars="200"/>
              <w:rPr>
                <w:rFonts w:ascii="Times New Roman" w:hint="default"/>
                <w:bCs/>
                <w:kern w:val="2"/>
                <w:szCs w:val="24"/>
              </w:rPr>
            </w:pPr>
            <w:r>
              <w:rPr>
                <w:rFonts w:ascii="Times New Roman" w:hint="default"/>
                <w:bCs/>
                <w:kern w:val="2"/>
                <w:szCs w:val="24"/>
              </w:rPr>
              <w:t>投资额：100万元</w:t>
            </w:r>
          </w:p>
          <w:p>
            <w:pPr>
              <w:pStyle w:val="13"/>
              <w:widowControl/>
              <w:adjustRightInd/>
              <w:spacing w:line="360" w:lineRule="auto"/>
              <w:ind w:firstLine="480" w:firstLineChars="200"/>
              <w:rPr>
                <w:rFonts w:ascii="Times New Roman" w:hint="default"/>
                <w:bCs/>
                <w:kern w:val="2"/>
                <w:szCs w:val="24"/>
              </w:rPr>
            </w:pPr>
            <w:r>
              <w:rPr>
                <w:rFonts w:ascii="Times New Roman" w:hint="default"/>
                <w:bCs/>
                <w:kern w:val="2"/>
                <w:szCs w:val="24"/>
              </w:rPr>
              <w:t>建设地点：陕西省渭南市大荔县官池镇帖家村村东1000米，项目地理位置图见附图2。</w:t>
            </w:r>
          </w:p>
          <w:p>
            <w:pPr>
              <w:pStyle w:val="13"/>
              <w:widowControl/>
              <w:adjustRightInd/>
              <w:spacing w:line="360" w:lineRule="auto"/>
              <w:ind w:firstLine="480" w:firstLineChars="200"/>
              <w:rPr>
                <w:rFonts w:ascii="Times New Roman" w:hint="default"/>
                <w:bCs/>
                <w:kern w:val="2"/>
                <w:szCs w:val="24"/>
              </w:rPr>
            </w:pPr>
            <w:r>
              <w:rPr>
                <w:rFonts w:ascii="Times New Roman" w:hint="default"/>
                <w:bCs/>
                <w:kern w:val="2"/>
                <w:szCs w:val="24"/>
              </w:rPr>
              <w:t>四邻关系：项目东侧为废弃闲置建筑，隔90m处为九龙—西池公路，南侧及西侧为农田，北侧为原厂房。项目四邻关系图见附图3。</w:t>
            </w:r>
          </w:p>
          <w:p>
            <w:pPr>
              <w:pStyle w:val="13"/>
              <w:widowControl/>
              <w:adjustRightInd/>
              <w:spacing w:line="360" w:lineRule="auto"/>
              <w:ind w:firstLine="480" w:firstLineChars="200"/>
              <w:rPr>
                <w:rFonts w:ascii="Times New Roman" w:hint="default"/>
                <w:b/>
                <w:kern w:val="2"/>
                <w:szCs w:val="24"/>
              </w:rPr>
            </w:pPr>
            <w:r>
              <w:rPr>
                <w:rFonts w:ascii="Times New Roman" w:hint="default"/>
                <w:b/>
                <w:kern w:val="2"/>
                <w:szCs w:val="24"/>
              </w:rPr>
              <w:t>二、建设内容及规模</w:t>
            </w:r>
          </w:p>
        </w:tc>
      </w:tr>
    </w:tbl>
    <w:p>
      <w:pPr>
        <w:sectPr>
          <w:footerReference w:type="default" r:id="rId16"/>
          <w:type w:val="continuous"/>
          <w:pgSz w:w="11906" w:h="16838"/>
          <w:pgMar w:top="1701" w:right="1531" w:bottom="1701" w:left="1531" w:header="851" w:footer="851" w:gutter="0"/>
          <w:pgNumType w:fmt="numberInDash" w:start="11"/>
          <w:cols w:num="1" w:space="720"/>
          <w:docGrid w:linePitch="312" w:charSpace="0"/>
        </w:sectPr>
      </w:pPr>
    </w:p>
    <w:tbl>
      <w:tblPr>
        <w:tblStyle w:val="TableNormal"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"/>
        <w:gridCol w:w="8382"/>
      </w:tblGrid>
      <w:tr>
        <w:tblPrEx>
          <w:tblW w:w="0" w:type="auto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/>
          <w:jc w:val="center"/>
        </w:trPr>
        <w:tc>
          <w:tcPr>
            <w:tcW w:w="823" w:type="dxa"/>
            <w:vAlign w:val="center"/>
          </w:tcPr>
          <w:p/>
        </w:tc>
        <w:tc>
          <w:tcPr>
            <w:tcW w:w="8161" w:type="dxa"/>
          </w:tcPr>
          <w:p>
            <w:pPr>
              <w:pStyle w:val="13"/>
              <w:widowControl/>
              <w:adjustRightInd/>
              <w:spacing w:line="360" w:lineRule="auto"/>
              <w:ind w:firstLine="480" w:firstLineChars="200"/>
              <w:rPr>
                <w:rFonts w:ascii="Times New Roman" w:hint="default"/>
                <w:bCs/>
                <w:kern w:val="2"/>
                <w:szCs w:val="24"/>
              </w:rPr>
            </w:pPr>
            <w:r>
              <w:rPr>
                <w:rFonts w:ascii="Times New Roman"/>
                <w:bCs/>
                <w:kern w:val="2"/>
                <w:szCs w:val="24"/>
              </w:rPr>
              <w:t>现有项目年处理建筑垃圾100万t，主要建设一条建筑垃圾回收加工再利用生产线，产品为0</w:t>
            </w:r>
            <w:r>
              <w:rPr>
                <w:rFonts w:ascii="Times New Roman" w:hint="default"/>
                <w:bCs/>
                <w:kern w:val="2"/>
                <w:szCs w:val="24"/>
              </w:rPr>
              <w:t>5</w:t>
            </w:r>
            <w:r>
              <w:rPr>
                <w:rFonts w:ascii="Times New Roman"/>
                <w:bCs/>
                <w:kern w:val="2"/>
                <w:szCs w:val="24"/>
              </w:rPr>
              <w:t>石子（2</w:t>
            </w:r>
            <w:r>
              <w:rPr>
                <w:rFonts w:ascii="Times New Roman" w:hint="default"/>
                <w:bCs/>
                <w:kern w:val="2"/>
                <w:szCs w:val="24"/>
              </w:rPr>
              <w:t>0</w:t>
            </w:r>
            <w:r>
              <w:rPr>
                <w:rFonts w:ascii="Times New Roman"/>
                <w:bCs/>
                <w:kern w:val="2"/>
                <w:szCs w:val="24"/>
              </w:rPr>
              <w:t>万t）、1</w:t>
            </w:r>
            <w:r>
              <w:rPr>
                <w:rFonts w:ascii="Times New Roman" w:hint="default"/>
                <w:bCs/>
                <w:kern w:val="2"/>
                <w:szCs w:val="24"/>
              </w:rPr>
              <w:t>1</w:t>
            </w:r>
            <w:r>
              <w:rPr>
                <w:rFonts w:ascii="Times New Roman"/>
                <w:bCs/>
                <w:kern w:val="2"/>
                <w:szCs w:val="24"/>
              </w:rPr>
              <w:t>石子（2</w:t>
            </w:r>
            <w:r>
              <w:rPr>
                <w:rFonts w:ascii="Times New Roman" w:hint="default"/>
                <w:bCs/>
                <w:kern w:val="2"/>
                <w:szCs w:val="24"/>
              </w:rPr>
              <w:t>0</w:t>
            </w:r>
            <w:r>
              <w:rPr>
                <w:rFonts w:ascii="Times New Roman"/>
                <w:bCs/>
                <w:kern w:val="2"/>
                <w:szCs w:val="24"/>
              </w:rPr>
              <w:t>万t）、1</w:t>
            </w:r>
            <w:r>
              <w:rPr>
                <w:rFonts w:ascii="Times New Roman" w:hint="default"/>
                <w:bCs/>
                <w:kern w:val="2"/>
                <w:szCs w:val="24"/>
              </w:rPr>
              <w:t>2</w:t>
            </w:r>
            <w:r>
              <w:rPr>
                <w:rFonts w:ascii="Times New Roman"/>
                <w:bCs/>
                <w:kern w:val="2"/>
                <w:szCs w:val="24"/>
              </w:rPr>
              <w:t>石子（2</w:t>
            </w:r>
            <w:r>
              <w:rPr>
                <w:rFonts w:ascii="Times New Roman" w:hint="default"/>
                <w:bCs/>
                <w:kern w:val="2"/>
                <w:szCs w:val="24"/>
              </w:rPr>
              <w:t>0</w:t>
            </w:r>
            <w:r>
              <w:rPr>
                <w:rFonts w:ascii="Times New Roman"/>
                <w:bCs/>
                <w:kern w:val="2"/>
                <w:szCs w:val="24"/>
              </w:rPr>
              <w:t>万t）、1</w:t>
            </w:r>
            <w:r>
              <w:rPr>
                <w:rFonts w:ascii="Times New Roman" w:hint="default"/>
                <w:bCs/>
                <w:kern w:val="2"/>
                <w:szCs w:val="24"/>
              </w:rPr>
              <w:t>3</w:t>
            </w:r>
            <w:r>
              <w:rPr>
                <w:rFonts w:ascii="Times New Roman"/>
                <w:bCs/>
                <w:kern w:val="2"/>
                <w:szCs w:val="24"/>
              </w:rPr>
              <w:t>石子（2</w:t>
            </w:r>
            <w:r>
              <w:rPr>
                <w:rFonts w:ascii="Times New Roman" w:hint="default"/>
                <w:bCs/>
                <w:kern w:val="2"/>
                <w:szCs w:val="24"/>
              </w:rPr>
              <w:t>0</w:t>
            </w:r>
            <w:r>
              <w:rPr>
                <w:rFonts w:ascii="Times New Roman"/>
                <w:bCs/>
                <w:kern w:val="2"/>
                <w:szCs w:val="24"/>
              </w:rPr>
              <w:t>万t）及石沫、石粉（1</w:t>
            </w:r>
            <w:r>
              <w:rPr>
                <w:rFonts w:ascii="Times New Roman" w:hint="default"/>
                <w:bCs/>
                <w:kern w:val="2"/>
                <w:szCs w:val="24"/>
              </w:rPr>
              <w:t>9</w:t>
            </w:r>
            <w:r>
              <w:rPr>
                <w:rFonts w:ascii="Times New Roman"/>
                <w:bCs/>
                <w:kern w:val="2"/>
                <w:szCs w:val="24"/>
              </w:rPr>
              <w:t>万t）。</w:t>
            </w:r>
          </w:p>
          <w:p>
            <w:pPr>
              <w:pStyle w:val="13"/>
              <w:widowControl/>
              <w:spacing w:line="360" w:lineRule="auto"/>
              <w:ind w:firstLine="480" w:firstLineChars="200"/>
              <w:rPr>
                <w:rFonts w:ascii="Times New Roman" w:hint="default"/>
                <w:bCs/>
                <w:kern w:val="2"/>
                <w:szCs w:val="24"/>
              </w:rPr>
            </w:pPr>
            <w:r>
              <w:rPr>
                <w:rFonts w:ascii="Times New Roman"/>
                <w:bCs/>
                <w:kern w:val="2"/>
                <w:szCs w:val="24"/>
              </w:rPr>
              <w:t>本</w:t>
            </w:r>
            <w:r>
              <w:rPr>
                <w:rFonts w:ascii="Times New Roman" w:hint="default"/>
                <w:bCs/>
                <w:kern w:val="2"/>
                <w:szCs w:val="24"/>
              </w:rPr>
              <w:t>项目扩建一条年产60</w:t>
            </w:r>
            <w:r>
              <w:rPr>
                <w:rFonts w:ascii="Times New Roman"/>
                <w:bCs/>
                <w:kern w:val="2"/>
                <w:szCs w:val="24"/>
              </w:rPr>
              <w:t>万</w:t>
            </w:r>
            <w:r>
              <w:rPr>
                <w:rFonts w:ascii="Times New Roman" w:hint="default"/>
                <w:bCs/>
                <w:kern w:val="2"/>
                <w:szCs w:val="24"/>
              </w:rPr>
              <w:t>t的水稳层混合冷拌料生产线，</w:t>
            </w:r>
            <w:r>
              <w:rPr>
                <w:rFonts w:ascii="Times New Roman"/>
                <w:bCs/>
                <w:kern w:val="2"/>
                <w:szCs w:val="24"/>
              </w:rPr>
              <w:t>原料包括石粉、11石子、12石子、13石子均来源于现有项目的产品，</w:t>
            </w:r>
            <w:r>
              <w:rPr>
                <w:rFonts w:ascii="Times New Roman" w:hint="default"/>
                <w:bCs/>
                <w:kern w:val="2"/>
                <w:szCs w:val="24"/>
              </w:rPr>
              <w:t>水稳层混合冷拌料用于基础设施工程，如公路建设</w:t>
            </w:r>
            <w:r>
              <w:rPr>
                <w:rFonts w:ascii="Times New Roman"/>
                <w:bCs/>
                <w:kern w:val="2"/>
                <w:szCs w:val="24"/>
              </w:rPr>
              <w:t>、桥梁建设</w:t>
            </w:r>
            <w:r>
              <w:rPr>
                <w:rFonts w:ascii="Times New Roman" w:hint="default"/>
                <w:bCs/>
                <w:kern w:val="2"/>
                <w:szCs w:val="24"/>
              </w:rPr>
              <w:t>等。</w:t>
            </w:r>
          </w:p>
          <w:p>
            <w:pPr>
              <w:pStyle w:val="13"/>
              <w:widowControl/>
              <w:adjustRightInd/>
              <w:spacing w:line="360" w:lineRule="auto"/>
              <w:ind w:firstLine="480" w:firstLineChars="200"/>
              <w:rPr>
                <w:rFonts w:ascii="Times New Roman" w:hint="default"/>
                <w:bCs/>
                <w:kern w:val="2"/>
                <w:szCs w:val="24"/>
              </w:rPr>
            </w:pPr>
            <w:r>
              <w:rPr>
                <w:rFonts w:ascii="Times New Roman" w:hint="default"/>
                <w:bCs/>
                <w:kern w:val="2"/>
                <w:szCs w:val="24"/>
              </w:rPr>
              <w:t>项目工程组成见表2-1。</w:t>
            </w:r>
          </w:p>
          <w:p>
            <w:pPr>
              <w:tabs>
                <w:tab w:val="left" w:pos="7620"/>
              </w:tabs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表2-1    项目组成一览表</w:t>
            </w:r>
          </w:p>
          <w:tbl>
            <w:tblPr>
              <w:tblStyle w:val="TableNormal"/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44"/>
              <w:gridCol w:w="735"/>
              <w:gridCol w:w="6088"/>
              <w:gridCol w:w="889"/>
            </w:tblGrid>
            <w:tr>
              <w:tblPrEx>
                <w:tblW w:w="5000" w:type="pct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444" w:type="dxa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项目</w:t>
                  </w:r>
                </w:p>
              </w:tc>
              <w:tc>
                <w:tcPr>
                  <w:tcW w:w="6832" w:type="dxa"/>
                  <w:gridSpan w:val="2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主要建设内容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备注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444" w:type="dxa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主体工程</w:t>
                  </w:r>
                </w:p>
              </w:tc>
              <w:tc>
                <w:tcPr>
                  <w:tcW w:w="736" w:type="dxa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szCs w:val="21"/>
                    </w:rPr>
                    <w:t>生产区</w:t>
                  </w:r>
                </w:p>
              </w:tc>
              <w:tc>
                <w:tcPr>
                  <w:tcW w:w="6096" w:type="dxa"/>
                  <w:vAlign w:val="center"/>
                </w:tcPr>
                <w:p>
                  <w:pPr>
                    <w:adjustRightInd w:val="0"/>
                    <w:snapToGrid w:val="0"/>
                    <w:ind w:left="105" w:hanging="105" w:hangingChars="50"/>
                    <w:jc w:val="distribute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新建封闭厂房面积为1620m</w:t>
                  </w:r>
                  <w:r>
                    <w:rPr>
                      <w:szCs w:val="21"/>
                      <w:vertAlign w:val="superscript"/>
                    </w:rPr>
                    <w:t>2</w:t>
                  </w:r>
                  <w:r>
                    <w:rPr>
                      <w:szCs w:val="21"/>
                    </w:rPr>
                    <w:t>（长45m×宽36m×高9m），位于原有厂房的南侧，新增一条年产571396.5t水稳层混合冷拌料生产线。</w:t>
                  </w:r>
                  <w:r>
                    <w:rPr>
                      <w:bCs/>
                      <w:szCs w:val="21"/>
                    </w:rPr>
                    <w:t>主要设备有1台混合搅拌机</w:t>
                  </w:r>
                  <w:r>
                    <w:t>。</w:t>
                  </w:r>
                  <w:r>
                    <w:rPr>
                      <w:bCs/>
                      <w:szCs w:val="21"/>
                    </w:rPr>
                    <w:t>主要生产工艺为搅拌</w:t>
                  </w:r>
                  <w:r>
                    <w:rPr>
                      <w:szCs w:val="21"/>
                    </w:rPr>
                    <w:t>。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新建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444" w:type="dxa"/>
                  <w:vMerge w:val="restart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辅助工程</w:t>
                  </w:r>
                </w:p>
              </w:tc>
              <w:tc>
                <w:tcPr>
                  <w:tcW w:w="736" w:type="dxa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办公室</w:t>
                  </w:r>
                </w:p>
              </w:tc>
              <w:tc>
                <w:tcPr>
                  <w:tcW w:w="6096" w:type="dxa"/>
                  <w:vAlign w:val="center"/>
                </w:tcPr>
                <w:p>
                  <w:pPr>
                    <w:rPr>
                      <w:szCs w:val="21"/>
                    </w:rPr>
                  </w:pPr>
                  <w:r>
                    <w:rPr>
                      <w:szCs w:val="21"/>
                    </w:rPr>
                    <w:t>不新增劳动定员，依托现有办公室进行办公。办公室位于原有厂房北侧，建筑面积10m</w:t>
                  </w:r>
                  <w:r>
                    <w:rPr>
                      <w:szCs w:val="21"/>
                      <w:vertAlign w:val="superscript"/>
                    </w:rPr>
                    <w:t>2</w:t>
                  </w:r>
                  <w:r>
                    <w:rPr>
                      <w:szCs w:val="21"/>
                    </w:rPr>
                    <w:t>。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widowControl/>
                    <w:jc w:val="center"/>
                    <w:rPr>
                      <w:b/>
                      <w:bCs/>
                      <w:szCs w:val="21"/>
                    </w:rPr>
                  </w:pPr>
                  <w:r>
                    <w:rPr>
                      <w:szCs w:val="21"/>
                    </w:rPr>
                    <w:t>依托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444" w:type="dxa"/>
                  <w:vMerge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736" w:type="dxa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食堂</w:t>
                  </w:r>
                </w:p>
              </w:tc>
              <w:tc>
                <w:tcPr>
                  <w:tcW w:w="6096" w:type="dxa"/>
                  <w:vAlign w:val="center"/>
                </w:tcPr>
                <w:p>
                  <w:pPr>
                    <w:rPr>
                      <w:b/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不新增劳动定员，员工不在项目内就餐，不单独设食堂。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/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444" w:type="dxa"/>
                  <w:vMerge w:val="restart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储运工程</w:t>
                  </w:r>
                </w:p>
              </w:tc>
              <w:tc>
                <w:tcPr>
                  <w:tcW w:w="736" w:type="dxa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原辅料堆放区</w:t>
                  </w:r>
                </w:p>
              </w:tc>
              <w:tc>
                <w:tcPr>
                  <w:tcW w:w="6096" w:type="dxa"/>
                  <w:vAlign w:val="center"/>
                </w:tcPr>
                <w:p>
                  <w:pPr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石粉</w:t>
                  </w:r>
                  <w:r>
                    <w:rPr>
                      <w:rFonts w:hint="eastAsia"/>
                      <w:bCs/>
                      <w:szCs w:val="21"/>
                    </w:rPr>
                    <w:t>和石子均</w:t>
                  </w:r>
                  <w:r>
                    <w:rPr>
                      <w:bCs/>
                      <w:szCs w:val="21"/>
                    </w:rPr>
                    <w:t>堆放在</w:t>
                  </w:r>
                  <w:r>
                    <w:rPr>
                      <w:rFonts w:hint="eastAsia"/>
                      <w:bCs/>
                      <w:szCs w:val="21"/>
                    </w:rPr>
                    <w:t>现有</w:t>
                  </w:r>
                  <w:r>
                    <w:rPr>
                      <w:bCs/>
                      <w:szCs w:val="21"/>
                    </w:rPr>
                    <w:t>厂房内</w:t>
                  </w:r>
                  <w:r>
                    <w:rPr>
                      <w:rFonts w:hint="eastAsia"/>
                      <w:bCs/>
                      <w:szCs w:val="21"/>
                    </w:rPr>
                    <w:t>西侧</w:t>
                  </w:r>
                  <w:r>
                    <w:rPr>
                      <w:bCs/>
                      <w:szCs w:val="21"/>
                    </w:rPr>
                    <w:t>。堆放区</w:t>
                  </w:r>
                  <w:r>
                    <w:rPr>
                      <w:rFonts w:hint="eastAsia"/>
                      <w:bCs/>
                      <w:szCs w:val="21"/>
                    </w:rPr>
                    <w:t>设置三面封闭式围挡及顶棚。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jc w:val="center"/>
                    <w:rPr>
                      <w:b/>
                      <w:bCs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依托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444" w:type="dxa"/>
                  <w:vMerge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736" w:type="dxa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储罐区</w:t>
                  </w:r>
                </w:p>
              </w:tc>
              <w:tc>
                <w:tcPr>
                  <w:tcW w:w="6096" w:type="dxa"/>
                  <w:vAlign w:val="center"/>
                </w:tcPr>
                <w:p>
                  <w:pPr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本生产线的原料水泥储存在水泥储罐内，新建厂房东侧设置1个水泥储罐，储罐高15m，容积100t。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新建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444" w:type="dxa"/>
                  <w:vMerge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736" w:type="dxa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料仓</w:t>
                  </w:r>
                </w:p>
              </w:tc>
              <w:tc>
                <w:tcPr>
                  <w:tcW w:w="6096" w:type="dxa"/>
                  <w:vAlign w:val="center"/>
                </w:tcPr>
                <w:p>
                  <w:pPr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设1座石粉料仓、3座石子料仓，均设有顶盖。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新建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444" w:type="dxa"/>
                  <w:vMerge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736" w:type="dxa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产品区</w:t>
                  </w:r>
                </w:p>
              </w:tc>
              <w:tc>
                <w:tcPr>
                  <w:tcW w:w="6096" w:type="dxa"/>
                  <w:vAlign w:val="center"/>
                </w:tcPr>
                <w:p>
                  <w:pPr>
                    <w:rPr>
                      <w:szCs w:val="21"/>
                    </w:rPr>
                  </w:pPr>
                  <w:r>
                    <w:rPr>
                      <w:szCs w:val="21"/>
                    </w:rPr>
                    <w:t>位于混合搅拌机的下方。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新建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444" w:type="dxa"/>
                  <w:vMerge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736" w:type="dxa"/>
                  <w:vAlign w:val="center"/>
                </w:tcPr>
                <w:p>
                  <w:pPr>
                    <w:tabs>
                      <w:tab w:val="left" w:pos="0"/>
                    </w:tabs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运输系统</w:t>
                  </w:r>
                </w:p>
              </w:tc>
              <w:tc>
                <w:tcPr>
                  <w:tcW w:w="6096" w:type="dxa"/>
                  <w:vAlign w:val="center"/>
                </w:tcPr>
                <w:p>
                  <w:pPr>
                    <w:tabs>
                      <w:tab w:val="left" w:pos="0"/>
                    </w:tabs>
                    <w:adjustRightInd w:val="0"/>
                    <w:snapToGrid w:val="0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水泥采用罐车运输，由螺旋输送机送入储罐内备用，经紧密机械传输带输送至混合搅拌机；石粉、石子采用装载机从</w:t>
                  </w:r>
                  <w:r>
                    <w:rPr>
                      <w:rFonts w:hint="eastAsia"/>
                      <w:bCs/>
                      <w:szCs w:val="21"/>
                    </w:rPr>
                    <w:t>现有厂房的</w:t>
                  </w:r>
                  <w:r>
                    <w:rPr>
                      <w:bCs/>
                      <w:szCs w:val="21"/>
                    </w:rPr>
                    <w:t>堆放区运送至各自料仓内，</w:t>
                  </w:r>
                  <w:r>
                    <w:rPr>
                      <w:rFonts w:hint="eastAsia"/>
                      <w:bCs/>
                      <w:szCs w:val="21"/>
                    </w:rPr>
                    <w:t>再</w:t>
                  </w:r>
                  <w:r>
                    <w:rPr>
                      <w:bCs/>
                      <w:szCs w:val="21"/>
                    </w:rPr>
                    <w:t>由皮带输送至混合搅拌机，皮带输送廊道全封闭。产品由封闭式清运车直接装运，送至施工工地。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新建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444" w:type="dxa"/>
                  <w:vAlign w:val="center"/>
                </w:tcPr>
                <w:p>
                  <w:pPr>
                    <w:snapToGrid w:val="0"/>
                    <w:spacing w:after="0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736" w:type="dxa"/>
                  <w:vAlign w:val="center"/>
                </w:tcPr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给水</w:t>
                  </w:r>
                </w:p>
              </w:tc>
              <w:tc>
                <w:tcPr>
                  <w:tcW w:w="6096" w:type="dxa"/>
                  <w:vAlign w:val="center"/>
                </w:tcPr>
                <w:p>
                  <w:pPr>
                    <w:snapToGrid w:val="0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项目用水依托现有村镇自来水管网提供。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依托</w:t>
                  </w:r>
                </w:p>
              </w:tc>
            </w:tr>
          </w:tbl>
          <w:p/>
        </w:tc>
      </w:tr>
    </w:tbl>
    <w:p>
      <w:pPr>
        <w:sectPr>
          <w:footerReference w:type="default" r:id="rId17"/>
          <w:type w:val="nextPage"/>
          <w:pgSz w:w="11906" w:h="16838"/>
          <w:pgMar w:top="1701" w:right="1531" w:bottom="1701" w:left="1531" w:header="851" w:footer="851" w:gutter="0"/>
          <w:pgNumType w:fmt="numberInDash" w:start="12"/>
          <w:cols w:num="1" w:space="720"/>
          <w:titlePg w:val="0"/>
          <w:docGrid w:linePitch="312" w:charSpace="0"/>
        </w:sectPr>
      </w:pPr>
    </w:p>
    <w:tbl>
      <w:tblPr>
        <w:tblStyle w:val="TableNormal"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"/>
        <w:gridCol w:w="8382"/>
      </w:tblGrid>
      <w:tr>
        <w:tblPrEx>
          <w:tblW w:w="0" w:type="auto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/>
          <w:jc w:val="center"/>
        </w:trPr>
        <w:tc>
          <w:tcPr>
            <w:tcW w:w="823" w:type="dxa"/>
            <w:vAlign w:val="center"/>
          </w:tcPr>
          <w:p/>
        </w:tc>
        <w:tc>
          <w:tcPr>
            <w:tcW w:w="8161" w:type="dxa"/>
          </w:tcPr>
          <w:tbl>
            <w:tblPr>
              <w:tblStyle w:val="TableNormal"/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44"/>
              <w:gridCol w:w="735"/>
              <w:gridCol w:w="6088"/>
              <w:gridCol w:w="889"/>
            </w:tblGrid>
            <w:tr>
              <w:tblPrEx>
                <w:tblW w:w="5000" w:type="pct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444" w:type="dxa"/>
                  <w:vMerge w:val="restart"/>
                  <w:vAlign w:val="center"/>
                </w:tcPr>
                <w:p>
                  <w:pPr>
                    <w:snapToGrid w:val="0"/>
                    <w:spacing w:before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公用</w:t>
                  </w:r>
                </w:p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工程</w:t>
                  </w:r>
                </w:p>
              </w:tc>
              <w:tc>
                <w:tcPr>
                  <w:tcW w:w="736" w:type="dxa"/>
                  <w:vAlign w:val="center"/>
                </w:tcPr>
                <w:p/>
              </w:tc>
              <w:tc>
                <w:tcPr>
                  <w:tcW w:w="6096" w:type="dxa"/>
                  <w:vAlign w:val="center"/>
                </w:tcPr>
                <w:p/>
              </w:tc>
              <w:tc>
                <w:tcPr>
                  <w:tcW w:w="891" w:type="dxa"/>
                  <w:vAlign w:val="center"/>
                </w:tcPr>
                <w:p/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8"/>
                <w:jc w:val="center"/>
              </w:trPr>
              <w:tc>
                <w:tcPr>
                  <w:tcW w:w="444" w:type="dxa"/>
                  <w:vMerge/>
                  <w:vAlign w:val="center"/>
                </w:tcPr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736" w:type="dxa"/>
                  <w:vMerge w:val="restart"/>
                  <w:vAlign w:val="center"/>
                </w:tcPr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排水</w:t>
                  </w:r>
                </w:p>
              </w:tc>
              <w:tc>
                <w:tcPr>
                  <w:tcW w:w="6096" w:type="dxa"/>
                  <w:vAlign w:val="center"/>
                </w:tcPr>
                <w:p>
                  <w:pPr>
                    <w:snapToGrid w:val="0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雨污分流，初期雨水</w:t>
                  </w:r>
                  <w:r>
                    <w:rPr>
                      <w:rFonts w:hint="eastAsia"/>
                      <w:szCs w:val="21"/>
                    </w:rPr>
                    <w:t>设置导流渠，经</w:t>
                  </w:r>
                  <w:r>
                    <w:rPr>
                      <w:szCs w:val="21"/>
                    </w:rPr>
                    <w:t>三级沉淀池（1座，110m</w:t>
                  </w:r>
                  <w:r>
                    <w:rPr>
                      <w:szCs w:val="21"/>
                      <w:vertAlign w:val="superscript"/>
                    </w:rPr>
                    <w:t>3</w:t>
                  </w:r>
                  <w:r>
                    <w:rPr>
                      <w:szCs w:val="21"/>
                    </w:rPr>
                    <w:t>）净化后进入集水池（1座，100m</w:t>
                  </w:r>
                  <w:r>
                    <w:rPr>
                      <w:szCs w:val="21"/>
                      <w:vertAlign w:val="superscript"/>
                    </w:rPr>
                    <w:t>3</w:t>
                  </w:r>
                  <w:r>
                    <w:rPr>
                      <w:szCs w:val="21"/>
                    </w:rPr>
                    <w:t>）</w:t>
                  </w:r>
                  <w:r>
                    <w:rPr>
                      <w:rFonts w:hint="eastAsia"/>
                      <w:szCs w:val="21"/>
                    </w:rPr>
                    <w:t>循环使用</w:t>
                  </w:r>
                  <w:r>
                    <w:rPr>
                      <w:szCs w:val="21"/>
                    </w:rPr>
                    <w:t>，用于进出厂车辆清洗和喷淋装置。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新建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8"/>
                <w:jc w:val="center"/>
              </w:trPr>
              <w:tc>
                <w:tcPr>
                  <w:tcW w:w="444" w:type="dxa"/>
                  <w:vMerge/>
                  <w:vAlign w:val="center"/>
                </w:tcPr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736" w:type="dxa"/>
                  <w:vMerge/>
                  <w:vAlign w:val="center"/>
                </w:tcPr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6096" w:type="dxa"/>
                  <w:vAlign w:val="center"/>
                </w:tcPr>
                <w:p>
                  <w:pPr>
                    <w:snapToGrid w:val="0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车辆清洗废水和搅拌机清洗废水经</w:t>
                  </w:r>
                  <w:r>
                    <w:rPr>
                      <w:szCs w:val="21"/>
                    </w:rPr>
                    <w:t>三级沉淀池（1座，110m</w:t>
                  </w:r>
                  <w:r>
                    <w:rPr>
                      <w:szCs w:val="21"/>
                      <w:vertAlign w:val="superscript"/>
                    </w:rPr>
                    <w:t>3</w:t>
                  </w:r>
                  <w:r>
                    <w:rPr>
                      <w:szCs w:val="21"/>
                    </w:rPr>
                    <w:t>）净化后进入集水池（1座，100m</w:t>
                  </w:r>
                  <w:r>
                    <w:rPr>
                      <w:szCs w:val="21"/>
                      <w:vertAlign w:val="superscript"/>
                    </w:rPr>
                    <w:t>3</w:t>
                  </w:r>
                  <w:r>
                    <w:rPr>
                      <w:szCs w:val="21"/>
                    </w:rPr>
                    <w:t>）</w:t>
                  </w:r>
                  <w:r>
                    <w:rPr>
                      <w:rFonts w:hint="eastAsia"/>
                      <w:szCs w:val="21"/>
                    </w:rPr>
                    <w:t>循环使用</w:t>
                  </w:r>
                  <w:r>
                    <w:rPr>
                      <w:szCs w:val="21"/>
                    </w:rPr>
                    <w:t>，用于进出厂车辆清洗和喷淋装置。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新建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444" w:type="dxa"/>
                  <w:vMerge/>
                  <w:vAlign w:val="center"/>
                </w:tcPr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736" w:type="dxa"/>
                  <w:vAlign w:val="center"/>
                </w:tcPr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供电</w:t>
                  </w:r>
                </w:p>
              </w:tc>
              <w:tc>
                <w:tcPr>
                  <w:tcW w:w="6096" w:type="dxa"/>
                  <w:vAlign w:val="center"/>
                </w:tcPr>
                <w:p>
                  <w:pPr>
                    <w:pStyle w:val="PlainText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  <w:szCs w:val="21"/>
                    </w:rPr>
                    <w:t>项目供电依托现有当地供电电网供给。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依托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444" w:type="dxa"/>
                  <w:vMerge/>
                  <w:vAlign w:val="center"/>
                </w:tcPr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736" w:type="dxa"/>
                  <w:vAlign w:val="center"/>
                </w:tcPr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供暖制冷</w:t>
                  </w:r>
                </w:p>
              </w:tc>
              <w:tc>
                <w:tcPr>
                  <w:tcW w:w="6096" w:type="dxa"/>
                  <w:vAlign w:val="center"/>
                </w:tcPr>
                <w:p>
                  <w:pPr>
                    <w:rPr>
                      <w:szCs w:val="21"/>
                    </w:rPr>
                  </w:pPr>
                  <w:r>
                    <w:rPr>
                      <w:szCs w:val="21"/>
                      <w:lang w:val="zh-CN"/>
                    </w:rPr>
                    <w:t>/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/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444" w:type="dxa"/>
                  <w:vMerge w:val="restart"/>
                  <w:vAlign w:val="center"/>
                </w:tcPr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环保工程</w:t>
                  </w:r>
                </w:p>
              </w:tc>
              <w:tc>
                <w:tcPr>
                  <w:tcW w:w="736" w:type="dxa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废气</w:t>
                  </w:r>
                </w:p>
              </w:tc>
              <w:tc>
                <w:tcPr>
                  <w:tcW w:w="6096" w:type="dxa"/>
                  <w:vAlign w:val="center"/>
                </w:tcPr>
                <w:p>
                  <w:pPr>
                    <w:rPr>
                      <w:szCs w:val="21"/>
                    </w:rPr>
                  </w:pPr>
                  <w:r>
                    <w:rPr>
                      <w:szCs w:val="21"/>
                    </w:rPr>
                    <w:t>原料堆存扬尘、原料装卸扬尘：厂房内道路硬化，</w:t>
                  </w:r>
                  <w:r>
                    <w:rPr>
                      <w:rFonts w:hint="eastAsia"/>
                      <w:szCs w:val="21"/>
                    </w:rPr>
                    <w:t>厂房顶部设置</w:t>
                  </w:r>
                  <w:r>
                    <w:rPr>
                      <w:szCs w:val="21"/>
                    </w:rPr>
                    <w:t>喷淋装置；封闭皮带输送廊道；水泥</w:t>
                  </w:r>
                  <w:r>
                    <w:rPr>
                      <w:rFonts w:hint="eastAsia"/>
                      <w:szCs w:val="21"/>
                    </w:rPr>
                    <w:t>输送</w:t>
                  </w:r>
                  <w:r>
                    <w:rPr>
                      <w:szCs w:val="21"/>
                    </w:rPr>
                    <w:t>粉尘经密闭管道进入</w:t>
                  </w:r>
                  <w:r>
                    <w:rPr>
                      <w:rFonts w:hint="eastAsia"/>
                      <w:szCs w:val="21"/>
                    </w:rPr>
                    <w:t>脉冲</w:t>
                  </w:r>
                  <w:r>
                    <w:rPr>
                      <w:szCs w:val="21"/>
                    </w:rPr>
                    <w:t>除尘器处理后在厂房内无组织排放；</w:t>
                  </w:r>
                  <w:r>
                    <w:rPr>
                      <w:rFonts w:hint="eastAsia"/>
                      <w:szCs w:val="21"/>
                    </w:rPr>
                    <w:t>落料粉尘由集气罩同混合搅拌粉尘一同进入</w:t>
                  </w:r>
                  <w:r>
                    <w:rPr>
                      <w:szCs w:val="21"/>
                    </w:rPr>
                    <w:t>布袋除尘器处理后经15m高排气筒</w:t>
                  </w:r>
                  <w:r>
                    <w:rPr>
                      <w:rFonts w:hint="eastAsia"/>
                      <w:szCs w:val="21"/>
                    </w:rPr>
                    <w:t>（D</w:t>
                  </w:r>
                  <w:r>
                    <w:rPr>
                      <w:szCs w:val="21"/>
                    </w:rPr>
                    <w:t>A002</w:t>
                  </w:r>
                  <w:r>
                    <w:rPr>
                      <w:rFonts w:hint="eastAsia"/>
                      <w:szCs w:val="21"/>
                    </w:rPr>
                    <w:t>）</w:t>
                  </w:r>
                  <w:r>
                    <w:rPr>
                      <w:szCs w:val="21"/>
                    </w:rPr>
                    <w:t>排放</w:t>
                  </w:r>
                  <w:r>
                    <w:rPr>
                      <w:rFonts w:hint="eastAsia"/>
                      <w:szCs w:val="21"/>
                    </w:rPr>
                    <w:t>；</w:t>
                  </w:r>
                  <w:r>
                    <w:rPr>
                      <w:szCs w:val="21"/>
                    </w:rPr>
                    <w:t>混合搅拌粉尘由</w:t>
                  </w:r>
                  <w:r>
                    <w:rPr>
                      <w:rFonts w:hint="eastAsia"/>
                      <w:szCs w:val="21"/>
                    </w:rPr>
                    <w:t>密闭管道进入</w:t>
                  </w:r>
                  <w:r>
                    <w:rPr>
                      <w:szCs w:val="21"/>
                    </w:rPr>
                    <w:t>布袋除尘器处理后经15m高排气筒</w:t>
                  </w:r>
                  <w:r>
                    <w:rPr>
                      <w:rFonts w:hint="eastAsia"/>
                      <w:szCs w:val="21"/>
                    </w:rPr>
                    <w:t>（D</w:t>
                  </w:r>
                  <w:r>
                    <w:rPr>
                      <w:szCs w:val="21"/>
                    </w:rPr>
                    <w:t>A002</w:t>
                  </w:r>
                  <w:r>
                    <w:rPr>
                      <w:rFonts w:hint="eastAsia"/>
                      <w:szCs w:val="21"/>
                    </w:rPr>
                    <w:t>）</w:t>
                  </w:r>
                  <w:r>
                    <w:rPr>
                      <w:szCs w:val="21"/>
                    </w:rPr>
                    <w:t>排放；道路扬尘：厂区道路硬化、车辆减速、厂内运输道路定期清扫、洒水抑尘。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新建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/>
                <w:jc w:val="center"/>
              </w:trPr>
              <w:tc>
                <w:tcPr>
                  <w:tcW w:w="444" w:type="dxa"/>
                  <w:vMerge/>
                  <w:vAlign w:val="center"/>
                </w:tcPr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736" w:type="dxa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废水</w:t>
                  </w:r>
                </w:p>
              </w:tc>
              <w:tc>
                <w:tcPr>
                  <w:tcW w:w="6096" w:type="dxa"/>
                  <w:vAlign w:val="center"/>
                </w:tcPr>
                <w:p>
                  <w:pPr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车辆清洗废水和搅拌机清洗废水经三级沉淀池（110m</w:t>
                  </w:r>
                  <w:r>
                    <w:rPr>
                      <w:rFonts w:hint="eastAsia"/>
                      <w:szCs w:val="21"/>
                      <w:vertAlign w:val="superscript"/>
                    </w:rPr>
                    <w:t>3</w:t>
                  </w:r>
                  <w:r>
                    <w:rPr>
                      <w:rFonts w:hint="eastAsia"/>
                      <w:szCs w:val="21"/>
                    </w:rPr>
                    <w:t>）净化后，进入集水池（100m</w:t>
                  </w:r>
                  <w:r>
                    <w:rPr>
                      <w:rFonts w:hint="eastAsia"/>
                      <w:szCs w:val="21"/>
                      <w:vertAlign w:val="superscript"/>
                    </w:rPr>
                    <w:t>3</w:t>
                  </w:r>
                  <w:r>
                    <w:rPr>
                      <w:rFonts w:hint="eastAsia"/>
                      <w:szCs w:val="21"/>
                    </w:rPr>
                    <w:t>）全部循环使用。不新增生活污水。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新建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444" w:type="dxa"/>
                  <w:vMerge/>
                  <w:vAlign w:val="center"/>
                </w:tcPr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736" w:type="dxa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噪声</w:t>
                  </w:r>
                </w:p>
              </w:tc>
              <w:tc>
                <w:tcPr>
                  <w:tcW w:w="6096" w:type="dxa"/>
                  <w:vAlign w:val="center"/>
                </w:tcPr>
                <w:p>
                  <w:pPr>
                    <w:jc w:val="left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优先选用低噪声生产设备，</w:t>
                  </w:r>
                  <w:r>
                    <w:rPr>
                      <w:szCs w:val="21"/>
                      <w:lang w:val="zh-CN"/>
                    </w:rPr>
                    <w:t>采取基础减振、厂房隔声等措施进行降噪</w:t>
                  </w:r>
                  <w:r>
                    <w:rPr>
                      <w:szCs w:val="21"/>
                    </w:rPr>
                    <w:t>。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新建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8"/>
                <w:jc w:val="center"/>
              </w:trPr>
              <w:tc>
                <w:tcPr>
                  <w:tcW w:w="444" w:type="dxa"/>
                  <w:vMerge/>
                  <w:vAlign w:val="center"/>
                </w:tcPr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736" w:type="dxa"/>
                  <w:vMerge w:val="restart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固体废物</w:t>
                  </w:r>
                </w:p>
              </w:tc>
              <w:tc>
                <w:tcPr>
                  <w:tcW w:w="6096" w:type="dxa"/>
                </w:tcPr>
                <w:p>
                  <w:pPr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</w:rPr>
                    <w:t>除尘灰：定期清理，作为原料回用于生产。沉淀池底泥：定期清理，在一般固废暂存间晾干后运至环保部门指定地点处置。一般固废暂存间位于现有厂房东北侧，建筑面积20m</w:t>
                  </w:r>
                  <w:r>
                    <w:rPr>
                      <w:rFonts w:hint="eastAsia"/>
                      <w:vertAlign w:val="superscript"/>
                    </w:rPr>
                    <w:t>2</w:t>
                  </w:r>
                  <w:r>
                    <w:rPr>
                      <w:rFonts w:hint="eastAsia"/>
                    </w:rPr>
                    <w:t>。不新增生活垃圾。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新建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8"/>
                <w:jc w:val="center"/>
              </w:trPr>
              <w:tc>
                <w:tcPr>
                  <w:tcW w:w="444" w:type="dxa"/>
                  <w:vMerge/>
                  <w:vAlign w:val="center"/>
                </w:tcPr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736" w:type="dxa"/>
                  <w:vMerge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6096" w:type="dxa"/>
                </w:tcPr>
                <w:p>
                  <w:pPr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</w:rPr>
                    <w:t>危险废物：废机油、废机油桶及含油废抹布、手套用专用容器分类收集后，暂存于危废暂存间内，定期委托有资质的第三方处置。危废暂存间已建，位于现有厂房东北侧，建筑面积12m</w:t>
                  </w:r>
                  <w:r>
                    <w:rPr>
                      <w:rFonts w:hint="eastAsia"/>
                      <w:vertAlign w:val="superscript"/>
                    </w:rPr>
                    <w:t>2</w:t>
                  </w:r>
                  <w:r>
                    <w:rPr>
                      <w:rFonts w:hint="eastAsia"/>
                    </w:rPr>
                    <w:t>。</w:t>
                  </w:r>
                </w:p>
              </w:tc>
              <w:tc>
                <w:tcPr>
                  <w:tcW w:w="891" w:type="dxa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依托</w:t>
                  </w:r>
                </w:p>
              </w:tc>
            </w:tr>
          </w:tbl>
          <w:p>
            <w:pPr>
              <w:pStyle w:val="13"/>
              <w:widowControl/>
              <w:adjustRightInd/>
              <w:spacing w:before="120" w:beforeLines="50" w:line="360" w:lineRule="auto"/>
              <w:ind w:firstLine="480" w:firstLineChars="200"/>
              <w:rPr>
                <w:rFonts w:ascii="Times New Roman" w:hint="default"/>
                <w:b/>
                <w:kern w:val="2"/>
                <w:szCs w:val="24"/>
              </w:rPr>
            </w:pPr>
            <w:r>
              <w:rPr>
                <w:rFonts w:ascii="Times New Roman" w:hint="default"/>
                <w:b/>
                <w:kern w:val="2"/>
                <w:szCs w:val="24"/>
              </w:rPr>
              <w:t>三、产品方案</w:t>
            </w:r>
          </w:p>
          <w:p>
            <w:pPr>
              <w:pStyle w:val="13"/>
              <w:widowControl/>
              <w:adjustRightInd/>
              <w:spacing w:line="360" w:lineRule="auto"/>
              <w:ind w:firstLine="480" w:firstLineChars="200"/>
              <w:rPr>
                <w:rFonts w:ascii="Times New Roman" w:hint="default"/>
                <w:b/>
                <w:kern w:val="2"/>
                <w:szCs w:val="24"/>
              </w:rPr>
            </w:pPr>
            <w:r>
              <w:rPr>
                <w:rFonts w:ascii="Times New Roman" w:hint="default"/>
                <w:szCs w:val="24"/>
              </w:rPr>
              <w:t>项目主要产</w:t>
            </w:r>
            <w:r>
              <w:rPr>
                <w:rFonts w:ascii="Times New Roman" w:hint="default"/>
                <w:bCs/>
                <w:kern w:val="2"/>
                <w:szCs w:val="24"/>
              </w:rPr>
              <w:t>品为水稳层混合冷拌料，产品及其生产规模见表2-2。</w:t>
            </w:r>
          </w:p>
          <w:p>
            <w:pPr>
              <w:tabs>
                <w:tab w:val="left" w:pos="7620"/>
              </w:tabs>
              <w:spacing w:after="120" w:afterLines="50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表2-2    项目主要产品及生产规模一览表</w:t>
            </w:r>
          </w:p>
          <w:tbl>
            <w:tblPr>
              <w:tblStyle w:val="TableNormal"/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38"/>
              <w:gridCol w:w="2210"/>
              <w:gridCol w:w="1665"/>
              <w:gridCol w:w="1357"/>
              <w:gridCol w:w="1686"/>
            </w:tblGrid>
            <w:tr>
              <w:tblPrEx>
                <w:tblW w:w="5000" w:type="pct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759" w:type="pct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序号</w:t>
                  </w:r>
                </w:p>
              </w:tc>
              <w:tc>
                <w:tcPr>
                  <w:tcW w:w="1355" w:type="pct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产品名称</w:t>
                  </w:r>
                </w:p>
              </w:tc>
              <w:tc>
                <w:tcPr>
                  <w:tcW w:w="1021" w:type="pct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单位</w:t>
                  </w:r>
                </w:p>
              </w:tc>
              <w:tc>
                <w:tcPr>
                  <w:tcW w:w="832" w:type="pct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年产量</w:t>
                  </w:r>
                </w:p>
              </w:tc>
              <w:tc>
                <w:tcPr>
                  <w:tcW w:w="1034" w:type="pct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备注</w:t>
                  </w:r>
                </w:p>
              </w:tc>
            </w:tr>
            <w:tr>
              <w:tblPrEx>
                <w:tblW w:w="5000" w:type="pct"/>
                <w:jc w:val="cente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/>
                <w:jc w:val="center"/>
              </w:trPr>
              <w:tc>
                <w:tcPr>
                  <w:tcW w:w="759" w:type="pct"/>
                  <w:vAlign w:val="center"/>
                </w:tcPr>
                <w:p>
                  <w:pPr>
                    <w:pStyle w:val="14"/>
                    <w:spacing w:line="240" w:lineRule="auto"/>
                    <w:rPr>
                      <w:rFonts w:eastAsia="宋体"/>
                      <w:szCs w:val="21"/>
                    </w:rPr>
                  </w:pPr>
                  <w:r>
                    <w:rPr>
                      <w:rFonts w:eastAsia="宋体"/>
                      <w:szCs w:val="21"/>
                    </w:rPr>
                    <w:t>1</w:t>
                  </w:r>
                </w:p>
              </w:tc>
              <w:tc>
                <w:tcPr>
                  <w:tcW w:w="1355" w:type="pct"/>
                  <w:vAlign w:val="center"/>
                </w:tcPr>
                <w:p>
                  <w:pPr>
                    <w:pStyle w:val="14"/>
                    <w:spacing w:line="240" w:lineRule="auto"/>
                    <w:rPr>
                      <w:rFonts w:eastAsia="宋体"/>
                      <w:szCs w:val="21"/>
                    </w:rPr>
                  </w:pPr>
                  <w:r>
                    <w:rPr>
                      <w:rFonts w:eastAsia="宋体"/>
                      <w:szCs w:val="21"/>
                    </w:rPr>
                    <w:t>水稳层混合冷拌料</w:t>
                  </w:r>
                </w:p>
              </w:tc>
              <w:tc>
                <w:tcPr>
                  <w:tcW w:w="1021" w:type="pct"/>
                  <w:vAlign w:val="center"/>
                </w:tcPr>
                <w:p>
                  <w:pPr>
                    <w:pStyle w:val="14"/>
                    <w:spacing w:line="240" w:lineRule="auto"/>
                    <w:rPr>
                      <w:rFonts w:eastAsia="宋体"/>
                      <w:szCs w:val="21"/>
                    </w:rPr>
                  </w:pPr>
                  <w:r>
                    <w:rPr>
                      <w:rFonts w:eastAsia="宋体"/>
                      <w:szCs w:val="21"/>
                    </w:rPr>
                    <w:t>吨</w:t>
                  </w:r>
                </w:p>
              </w:tc>
              <w:tc>
                <w:tcPr>
                  <w:tcW w:w="832" w:type="pct"/>
                  <w:vAlign w:val="center"/>
                </w:tcPr>
                <w:p>
                  <w:pPr>
                    <w:pStyle w:val="14"/>
                    <w:spacing w:line="240" w:lineRule="auto"/>
                    <w:rPr>
                      <w:rFonts w:eastAsia="宋体"/>
                      <w:szCs w:val="21"/>
                    </w:rPr>
                  </w:pPr>
                  <w:r>
                    <w:rPr>
                      <w:rFonts w:eastAsia="宋体"/>
                      <w:szCs w:val="21"/>
                    </w:rPr>
                    <w:t>600000</w:t>
                  </w:r>
                </w:p>
              </w:tc>
              <w:tc>
                <w:tcPr>
                  <w:tcW w:w="1034" w:type="pct"/>
                  <w:vAlign w:val="center"/>
                </w:tcPr>
                <w:p>
                  <w:pPr>
                    <w:pStyle w:val="14"/>
                    <w:spacing w:line="240" w:lineRule="auto"/>
                    <w:rPr>
                      <w:rFonts w:eastAsia="宋体"/>
                      <w:szCs w:val="21"/>
                    </w:rPr>
                  </w:pPr>
                  <w:r>
                    <w:rPr>
                      <w:rFonts w:eastAsia="宋体" w:hint="eastAsia"/>
                      <w:szCs w:val="21"/>
                    </w:rPr>
                    <w:t>用于基础设施工程</w:t>
                  </w:r>
                </w:p>
              </w:tc>
            </w:tr>
          </w:tbl>
          <w:p>
            <w:pPr>
              <w:pStyle w:val="13"/>
              <w:widowControl/>
              <w:adjustRightInd/>
              <w:spacing w:before="120" w:beforeLines="50" w:line="360" w:lineRule="auto"/>
              <w:ind w:firstLine="480" w:firstLineChars="200"/>
              <w:rPr>
                <w:rFonts w:ascii="Times New Roman" w:hint="default"/>
                <w:b/>
                <w:kern w:val="2"/>
                <w:szCs w:val="24"/>
              </w:rPr>
            </w:pPr>
            <w:r>
              <w:rPr>
                <w:rFonts w:ascii="Times New Roman" w:hint="default"/>
                <w:b/>
                <w:kern w:val="2"/>
                <w:szCs w:val="24"/>
              </w:rPr>
              <w:t>四、主要原辅材料消耗</w:t>
            </w:r>
          </w:p>
        </w:tc>
      </w:tr>
    </w:tbl>
    <w:p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https://d.book118.com/136243242243010103</w:t>
        </w:r>
      </w:hyperlink>
    </w:p>
    <w:p/>
    <w:sectPr>
      <w:footerReference w:type="default" r:id="rId19"/>
      <w:type w:val="nextPage"/>
      <w:pgSz w:w="11906" w:h="16838"/>
      <w:pgMar w:top="1701" w:right="1531" w:bottom="1701" w:left="1531" w:header="851" w:footer="851" w:gutter="0"/>
      <w:pgNumType w:fmt="numberInDash" w:start="13"/>
      <w:cols w:num="1" w:space="720"/>
      <w:titlePg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1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2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PageNumber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instrText xml:space="preserve">PAGE  </w:instrTex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t>- 1 -</w: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PageNumber"/>
                              <w:rFonts w:ascii="宋体" w:hAnsi="宋体" w:hint="eastAsia"/>
                              <w:sz w:val="20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49" o:spid="_x0000_s2049" type="#_x0000_t202" style="width:1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Style w:val="PageNumber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PageNumber"/>
                        <w:szCs w:val="18"/>
                      </w:rPr>
                      <w:fldChar w:fldCharType="begin"/>
                    </w:r>
                    <w:r>
                      <w:rPr>
                        <w:rStyle w:val="PageNumber"/>
                        <w:szCs w:val="18"/>
                      </w:rPr>
                      <w:instrText xml:space="preserve">PAGE  </w:instrText>
                    </w:r>
                    <w:r>
                      <w:rPr>
                        <w:rStyle w:val="PageNumber"/>
                        <w:szCs w:val="18"/>
                      </w:rPr>
                      <w:fldChar w:fldCharType="separate"/>
                    </w:r>
                    <w:r>
                      <w:rPr>
                        <w:rStyle w:val="PageNumber"/>
                        <w:szCs w:val="18"/>
                      </w:rPr>
                      <w:t>- 1 -</w:t>
                    </w:r>
                    <w:r>
                      <w:rPr>
                        <w:rStyle w:val="PageNumber"/>
                        <w:szCs w:val="18"/>
                      </w:rPr>
                      <w:fldChar w:fldCharType="end"/>
                    </w:r>
                    <w:r>
                      <w:rPr>
                        <w:rStyle w:val="PageNumber"/>
                        <w:rFonts w:ascii="宋体" w:hAnsi="宋体" w:hint="eastAsia"/>
                        <w:sz w:val="20"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  <w:jc w:val="cen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316913707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PageNumber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instrText xml:space="preserve">PAGE  </w:instrTex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t>- 2 -</w: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PageNumber"/>
                              <w:rFonts w:ascii="宋体" w:hAnsi="宋体" w:hint="eastAsia"/>
                              <w:sz w:val="20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49" o:spid="_x0000_s2050" type="#_x0000_t202" style="width:1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Style w:val="PageNumber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PageNumber"/>
                        <w:szCs w:val="18"/>
                      </w:rPr>
                      <w:fldChar w:fldCharType="begin"/>
                    </w:r>
                    <w:r>
                      <w:rPr>
                        <w:rStyle w:val="PageNumber"/>
                        <w:szCs w:val="18"/>
                      </w:rPr>
                      <w:instrText xml:space="preserve">PAGE  </w:instrText>
                    </w:r>
                    <w:r>
                      <w:rPr>
                        <w:rStyle w:val="PageNumber"/>
                        <w:szCs w:val="18"/>
                      </w:rPr>
                      <w:fldChar w:fldCharType="separate"/>
                    </w:r>
                    <w:r>
                      <w:rPr>
                        <w:rStyle w:val="PageNumber"/>
                        <w:szCs w:val="18"/>
                      </w:rPr>
                      <w:t>- 2 -</w:t>
                    </w:r>
                    <w:r>
                      <w:rPr>
                        <w:rStyle w:val="PageNumber"/>
                        <w:szCs w:val="18"/>
                      </w:rPr>
                      <w:fldChar w:fldCharType="end"/>
                    </w:r>
                    <w:r>
                      <w:rPr>
                        <w:rStyle w:val="PageNumber"/>
                        <w:rFonts w:ascii="宋体" w:hAnsi="宋体" w:hint="eastAsia"/>
                        <w:sz w:val="20"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  <w:jc w:val="center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1937148328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PageNumber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instrText xml:space="preserve">PAGE  </w:instrTex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t>- 3 -</w: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PageNumber"/>
                              <w:rFonts w:ascii="宋体" w:hAnsi="宋体" w:hint="eastAsia"/>
                              <w:sz w:val="20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49" o:spid="_x0000_s2051" type="#_x0000_t202" style="width:1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Style w:val="PageNumber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PageNumber"/>
                        <w:szCs w:val="18"/>
                      </w:rPr>
                      <w:fldChar w:fldCharType="begin"/>
                    </w:r>
                    <w:r>
                      <w:rPr>
                        <w:rStyle w:val="PageNumber"/>
                        <w:szCs w:val="18"/>
                      </w:rPr>
                      <w:instrText xml:space="preserve">PAGE  </w:instrText>
                    </w:r>
                    <w:r>
                      <w:rPr>
                        <w:rStyle w:val="PageNumber"/>
                        <w:szCs w:val="18"/>
                      </w:rPr>
                      <w:fldChar w:fldCharType="separate"/>
                    </w:r>
                    <w:r>
                      <w:rPr>
                        <w:rStyle w:val="PageNumber"/>
                        <w:szCs w:val="18"/>
                      </w:rPr>
                      <w:t>- 3 -</w:t>
                    </w:r>
                    <w:r>
                      <w:rPr>
                        <w:rStyle w:val="PageNumber"/>
                        <w:szCs w:val="18"/>
                      </w:rPr>
                      <w:fldChar w:fldCharType="end"/>
                    </w:r>
                    <w:r>
                      <w:rPr>
                        <w:rStyle w:val="PageNumber"/>
                        <w:rFonts w:ascii="宋体" w:hAnsi="宋体" w:hint="eastAsia"/>
                        <w:sz w:val="20"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  <w:jc w:val="center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1659595129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PageNumber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instrText xml:space="preserve">PAGE  </w:instrTex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t>- 5 -</w: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PageNumber"/>
                              <w:rFonts w:ascii="宋体" w:hAnsi="宋体" w:hint="eastAsia"/>
                              <w:sz w:val="20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49" o:spid="_x0000_s2052" type="#_x0000_t202" style="width:1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Style w:val="PageNumber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PageNumber"/>
                        <w:szCs w:val="18"/>
                      </w:rPr>
                      <w:fldChar w:fldCharType="begin"/>
                    </w:r>
                    <w:r>
                      <w:rPr>
                        <w:rStyle w:val="PageNumber"/>
                        <w:szCs w:val="18"/>
                      </w:rPr>
                      <w:instrText xml:space="preserve">PAGE  </w:instrText>
                    </w:r>
                    <w:r>
                      <w:rPr>
                        <w:rStyle w:val="PageNumber"/>
                        <w:szCs w:val="18"/>
                      </w:rPr>
                      <w:fldChar w:fldCharType="separate"/>
                    </w:r>
                    <w:r>
                      <w:rPr>
                        <w:rStyle w:val="PageNumber"/>
                        <w:szCs w:val="18"/>
                      </w:rPr>
                      <w:t>- 5 -</w:t>
                    </w:r>
                    <w:r>
                      <w:rPr>
                        <w:rStyle w:val="PageNumber"/>
                        <w:szCs w:val="18"/>
                      </w:rPr>
                      <w:fldChar w:fldCharType="end"/>
                    </w:r>
                    <w:r>
                      <w:rPr>
                        <w:rStyle w:val="PageNumber"/>
                        <w:rFonts w:ascii="宋体" w:hAnsi="宋体" w:hint="eastAsia"/>
                        <w:sz w:val="20"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  <w:jc w:val="center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261671656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PageNumber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instrText xml:space="preserve">PAGE  </w:instrTex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t>- 5 -</w: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PageNumber"/>
                              <w:rFonts w:ascii="宋体" w:hAnsi="宋体" w:hint="eastAsia"/>
                              <w:sz w:val="20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49" o:spid="_x0000_s2053" type="#_x0000_t202" style="width:1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Style w:val="PageNumber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PageNumber"/>
                        <w:szCs w:val="18"/>
                      </w:rPr>
                      <w:fldChar w:fldCharType="begin"/>
                    </w:r>
                    <w:r>
                      <w:rPr>
                        <w:rStyle w:val="PageNumber"/>
                        <w:szCs w:val="18"/>
                      </w:rPr>
                      <w:instrText xml:space="preserve">PAGE  </w:instrText>
                    </w:r>
                    <w:r>
                      <w:rPr>
                        <w:rStyle w:val="PageNumber"/>
                        <w:szCs w:val="18"/>
                      </w:rPr>
                      <w:fldChar w:fldCharType="separate"/>
                    </w:r>
                    <w:r>
                      <w:rPr>
                        <w:rStyle w:val="PageNumber"/>
                        <w:szCs w:val="18"/>
                      </w:rPr>
                      <w:t>- 5 -</w:t>
                    </w:r>
                    <w:r>
                      <w:rPr>
                        <w:rStyle w:val="PageNumber"/>
                        <w:szCs w:val="18"/>
                      </w:rPr>
                      <w:fldChar w:fldCharType="end"/>
                    </w:r>
                    <w:r>
                      <w:rPr>
                        <w:rStyle w:val="PageNumber"/>
                        <w:rFonts w:ascii="宋体" w:hAnsi="宋体" w:hint="eastAsia"/>
                        <w:sz w:val="20"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  <w:jc w:val="center"/>
    </w:pPr>
    <w: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2070346621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PageNumber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instrText xml:space="preserve">PAGE  </w:instrTex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t>- 6 -</w: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PageNumber"/>
                              <w:rFonts w:ascii="宋体" w:hAnsi="宋体" w:hint="eastAsia"/>
                              <w:sz w:val="20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49" o:spid="_x0000_s2054" type="#_x0000_t202" style="width:1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Style w:val="PageNumber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PageNumber"/>
                        <w:szCs w:val="18"/>
                      </w:rPr>
                      <w:fldChar w:fldCharType="begin"/>
                    </w:r>
                    <w:r>
                      <w:rPr>
                        <w:rStyle w:val="PageNumber"/>
                        <w:szCs w:val="18"/>
                      </w:rPr>
                      <w:instrText xml:space="preserve">PAGE  </w:instrText>
                    </w:r>
                    <w:r>
                      <w:rPr>
                        <w:rStyle w:val="PageNumber"/>
                        <w:szCs w:val="18"/>
                      </w:rPr>
                      <w:fldChar w:fldCharType="separate"/>
                    </w:r>
                    <w:r>
                      <w:rPr>
                        <w:rStyle w:val="PageNumber"/>
                        <w:szCs w:val="18"/>
                      </w:rPr>
                      <w:t>- 6 -</w:t>
                    </w:r>
                    <w:r>
                      <w:rPr>
                        <w:rStyle w:val="PageNumber"/>
                        <w:szCs w:val="18"/>
                      </w:rPr>
                      <w:fldChar w:fldCharType="end"/>
                    </w:r>
                    <w:r>
                      <w:rPr>
                        <w:rStyle w:val="PageNumber"/>
                        <w:rFonts w:ascii="宋体" w:hAnsi="宋体" w:hint="eastAsia"/>
                        <w:sz w:val="20"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  <w:jc w:val="center"/>
    </w:pP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861127667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PageNumber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instrText xml:space="preserve">PAGE  </w:instrTex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t>- 7 -</w: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PageNumber"/>
                              <w:rFonts w:ascii="宋体" w:hAnsi="宋体" w:hint="eastAsia"/>
                              <w:sz w:val="20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49" o:spid="_x0000_s2055" type="#_x0000_t202" style="width:1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Style w:val="PageNumber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PageNumber"/>
                        <w:szCs w:val="18"/>
                      </w:rPr>
                      <w:fldChar w:fldCharType="begin"/>
                    </w:r>
                    <w:r>
                      <w:rPr>
                        <w:rStyle w:val="PageNumber"/>
                        <w:szCs w:val="18"/>
                      </w:rPr>
                      <w:instrText xml:space="preserve">PAGE  </w:instrText>
                    </w:r>
                    <w:r>
                      <w:rPr>
                        <w:rStyle w:val="PageNumber"/>
                        <w:szCs w:val="18"/>
                      </w:rPr>
                      <w:fldChar w:fldCharType="separate"/>
                    </w:r>
                    <w:r>
                      <w:rPr>
                        <w:rStyle w:val="PageNumber"/>
                        <w:szCs w:val="18"/>
                      </w:rPr>
                      <w:t>- 7 -</w:t>
                    </w:r>
                    <w:r>
                      <w:rPr>
                        <w:rStyle w:val="PageNumber"/>
                        <w:szCs w:val="18"/>
                      </w:rPr>
                      <w:fldChar w:fldCharType="end"/>
                    </w:r>
                    <w:r>
                      <w:rPr>
                        <w:rStyle w:val="PageNumber"/>
                        <w:rFonts w:ascii="宋体" w:hAnsi="宋体" w:hint="eastAsia"/>
                        <w:sz w:val="20"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  <w:jc w:val="center"/>
    </w:pPr>
    <w: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654475686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PageNumber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instrText xml:space="preserve">PAGE  </w:instrTex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t>- 8 -</w: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PageNumber"/>
                              <w:rFonts w:ascii="宋体" w:hAnsi="宋体" w:hint="eastAsia"/>
                              <w:sz w:val="20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49" o:spid="_x0000_s2056" type="#_x0000_t202" style="width:1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Style w:val="PageNumber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PageNumber"/>
                        <w:szCs w:val="18"/>
                      </w:rPr>
                      <w:fldChar w:fldCharType="begin"/>
                    </w:r>
                    <w:r>
                      <w:rPr>
                        <w:rStyle w:val="PageNumber"/>
                        <w:szCs w:val="18"/>
                      </w:rPr>
                      <w:instrText xml:space="preserve">PAGE  </w:instrText>
                    </w:r>
                    <w:r>
                      <w:rPr>
                        <w:rStyle w:val="PageNumber"/>
                        <w:szCs w:val="18"/>
                      </w:rPr>
                      <w:fldChar w:fldCharType="separate"/>
                    </w:r>
                    <w:r>
                      <w:rPr>
                        <w:rStyle w:val="PageNumber"/>
                        <w:szCs w:val="18"/>
                      </w:rPr>
                      <w:t>- 8 -</w:t>
                    </w:r>
                    <w:r>
                      <w:rPr>
                        <w:rStyle w:val="PageNumber"/>
                        <w:szCs w:val="18"/>
                      </w:rPr>
                      <w:fldChar w:fldCharType="end"/>
                    </w:r>
                    <w:r>
                      <w:rPr>
                        <w:rStyle w:val="PageNumber"/>
                        <w:rFonts w:ascii="宋体" w:hAnsi="宋体" w:hint="eastAsia"/>
                        <w:sz w:val="20"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  <w:jc w:val="center"/>
    </w:pPr>
    <w: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668033087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PageNumber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instrText xml:space="preserve">PAGE  </w:instrTex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t>- 10 -</w: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PageNumber"/>
                              <w:rFonts w:ascii="宋体" w:hAnsi="宋体" w:hint="eastAsia"/>
                              <w:sz w:val="20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49" o:spid="_x0000_s2057" type="#_x0000_t202" style="width:1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Style w:val="PageNumber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PageNumber"/>
                        <w:szCs w:val="18"/>
                      </w:rPr>
                      <w:fldChar w:fldCharType="begin"/>
                    </w:r>
                    <w:r>
                      <w:rPr>
                        <w:rStyle w:val="PageNumber"/>
                        <w:szCs w:val="18"/>
                      </w:rPr>
                      <w:instrText xml:space="preserve">PAGE  </w:instrText>
                    </w:r>
                    <w:r>
                      <w:rPr>
                        <w:rStyle w:val="PageNumber"/>
                        <w:szCs w:val="18"/>
                      </w:rPr>
                      <w:fldChar w:fldCharType="separate"/>
                    </w:r>
                    <w:r>
                      <w:rPr>
                        <w:rStyle w:val="PageNumber"/>
                        <w:szCs w:val="18"/>
                      </w:rPr>
                      <w:t>- 10 -</w:t>
                    </w:r>
                    <w:r>
                      <w:rPr>
                        <w:rStyle w:val="PageNumber"/>
                        <w:szCs w:val="18"/>
                      </w:rPr>
                      <w:fldChar w:fldCharType="end"/>
                    </w:r>
                    <w:r>
                      <w:rPr>
                        <w:rStyle w:val="PageNumber"/>
                        <w:rFonts w:ascii="宋体" w:hAnsi="宋体" w:hint="eastAsia"/>
                        <w:sz w:val="20"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  <w:jc w:val="center"/>
    </w:pPr>
    <w: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1022959126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PageNumber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instrText xml:space="preserve">PAGE  </w:instrTex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t>- 10 -</w: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PageNumber"/>
                              <w:rFonts w:ascii="宋体" w:hAnsi="宋体" w:hint="eastAsia"/>
                              <w:sz w:val="20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49" o:spid="_x0000_s2058" type="#_x0000_t202" style="width:1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Style w:val="PageNumber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PageNumber"/>
                        <w:szCs w:val="18"/>
                      </w:rPr>
                      <w:fldChar w:fldCharType="begin"/>
                    </w:r>
                    <w:r>
                      <w:rPr>
                        <w:rStyle w:val="PageNumber"/>
                        <w:szCs w:val="18"/>
                      </w:rPr>
                      <w:instrText xml:space="preserve">PAGE  </w:instrText>
                    </w:r>
                    <w:r>
                      <w:rPr>
                        <w:rStyle w:val="PageNumber"/>
                        <w:szCs w:val="18"/>
                      </w:rPr>
                      <w:fldChar w:fldCharType="separate"/>
                    </w:r>
                    <w:r>
                      <w:rPr>
                        <w:rStyle w:val="PageNumber"/>
                        <w:szCs w:val="18"/>
                      </w:rPr>
                      <w:t>- 10 -</w:t>
                    </w:r>
                    <w:r>
                      <w:rPr>
                        <w:rStyle w:val="PageNumber"/>
                        <w:szCs w:val="18"/>
                      </w:rPr>
                      <w:fldChar w:fldCharType="end"/>
                    </w:r>
                    <w:r>
                      <w:rPr>
                        <w:rStyle w:val="PageNumber"/>
                        <w:rFonts w:ascii="宋体" w:hAnsi="宋体" w:hint="eastAsia"/>
                        <w:sz w:val="20"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  <w:jc w:val="center"/>
    </w:pPr>
    <w: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383837826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PageNumber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instrText xml:space="preserve">PAGE  </w:instrTex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t>- 12 -</w: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PageNumber"/>
                              <w:rFonts w:ascii="宋体" w:hAnsi="宋体" w:hint="eastAsia"/>
                              <w:sz w:val="20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49" o:spid="_x0000_s2059" type="#_x0000_t202" style="width:1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Style w:val="PageNumber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PageNumber"/>
                        <w:szCs w:val="18"/>
                      </w:rPr>
                      <w:fldChar w:fldCharType="begin"/>
                    </w:r>
                    <w:r>
                      <w:rPr>
                        <w:rStyle w:val="PageNumber"/>
                        <w:szCs w:val="18"/>
                      </w:rPr>
                      <w:instrText xml:space="preserve">PAGE  </w:instrText>
                    </w:r>
                    <w:r>
                      <w:rPr>
                        <w:rStyle w:val="PageNumber"/>
                        <w:szCs w:val="18"/>
                      </w:rPr>
                      <w:fldChar w:fldCharType="separate"/>
                    </w:r>
                    <w:r>
                      <w:rPr>
                        <w:rStyle w:val="PageNumber"/>
                        <w:szCs w:val="18"/>
                      </w:rPr>
                      <w:t>- 12 -</w:t>
                    </w:r>
                    <w:r>
                      <w:rPr>
                        <w:rStyle w:val="PageNumber"/>
                        <w:szCs w:val="18"/>
                      </w:rPr>
                      <w:fldChar w:fldCharType="end"/>
                    </w:r>
                    <w:r>
                      <w:rPr>
                        <w:rStyle w:val="PageNumber"/>
                        <w:rFonts w:ascii="宋体" w:hAnsi="宋体" w:hint="eastAsia"/>
                        <w:sz w:val="20"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  <w:jc w:val="center"/>
    </w:pPr>
    <w: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1052812523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PageNumber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instrText xml:space="preserve">PAGE  </w:instrTex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t>- 12 -</w: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PageNumber"/>
                              <w:rFonts w:ascii="宋体" w:hAnsi="宋体" w:hint="eastAsia"/>
                              <w:sz w:val="20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49" o:spid="_x0000_s2060" type="#_x0000_t202" style="width:1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Style w:val="PageNumber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PageNumber"/>
                        <w:szCs w:val="18"/>
                      </w:rPr>
                      <w:fldChar w:fldCharType="begin"/>
                    </w:r>
                    <w:r>
                      <w:rPr>
                        <w:rStyle w:val="PageNumber"/>
                        <w:szCs w:val="18"/>
                      </w:rPr>
                      <w:instrText xml:space="preserve">PAGE  </w:instrText>
                    </w:r>
                    <w:r>
                      <w:rPr>
                        <w:rStyle w:val="PageNumber"/>
                        <w:szCs w:val="18"/>
                      </w:rPr>
                      <w:fldChar w:fldCharType="separate"/>
                    </w:r>
                    <w:r>
                      <w:rPr>
                        <w:rStyle w:val="PageNumber"/>
                        <w:szCs w:val="18"/>
                      </w:rPr>
                      <w:t>- 12 -</w:t>
                    </w:r>
                    <w:r>
                      <w:rPr>
                        <w:rStyle w:val="PageNumber"/>
                        <w:szCs w:val="18"/>
                      </w:rPr>
                      <w:fldChar w:fldCharType="end"/>
                    </w:r>
                    <w:r>
                      <w:rPr>
                        <w:rStyle w:val="PageNumber"/>
                        <w:rFonts w:ascii="宋体" w:hAnsi="宋体" w:hint="eastAsia"/>
                        <w:sz w:val="20"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  <w:jc w:val="center"/>
    </w:pPr>
    <w: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1176722173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PageNumber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instrText xml:space="preserve">PAGE  </w:instrTex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t>- 14 -</w:t>
                          </w:r>
                          <w:r>
                            <w:rPr>
                              <w:rStyle w:val="PageNumber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PageNumber"/>
                              <w:rFonts w:ascii="宋体" w:hAnsi="宋体" w:hint="eastAsia"/>
                              <w:sz w:val="20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49" o:spid="_x0000_s2061" type="#_x0000_t202" style="width:1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Style w:val="PageNumber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PageNumber"/>
                        <w:szCs w:val="18"/>
                      </w:rPr>
                      <w:fldChar w:fldCharType="begin"/>
                    </w:r>
                    <w:r>
                      <w:rPr>
                        <w:rStyle w:val="PageNumber"/>
                        <w:szCs w:val="18"/>
                      </w:rPr>
                      <w:instrText xml:space="preserve">PAGE  </w:instrText>
                    </w:r>
                    <w:r>
                      <w:rPr>
                        <w:rStyle w:val="PageNumber"/>
                        <w:szCs w:val="18"/>
                      </w:rPr>
                      <w:fldChar w:fldCharType="separate"/>
                    </w:r>
                    <w:r>
                      <w:rPr>
                        <w:rStyle w:val="PageNumber"/>
                        <w:szCs w:val="18"/>
                      </w:rPr>
                      <w:t>- 14 -</w:t>
                    </w:r>
                    <w:r>
                      <w:rPr>
                        <w:rStyle w:val="PageNumber"/>
                        <w:szCs w:val="18"/>
                      </w:rPr>
                      <w:fldChar w:fldCharType="end"/>
                    </w:r>
                    <w:r>
                      <w:rPr>
                        <w:rStyle w:val="PageNumber"/>
                        <w:rFonts w:ascii="宋体" w:hAnsi="宋体" w:hint="eastAsia"/>
                        <w:sz w:val="20"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EC6F13BE"/>
    <w:multiLevelType w:val="singleLevel"/>
    <w:tmpl w:val="EC6F13BE"/>
    <w:lvl w:ilvl="0">
      <w:start w:val="1"/>
      <w:numFmt w:val="bullet"/>
      <w:pStyle w:val="ListBullet5"/>
      <w:lvlText w:val=""/>
      <w:lvlJc w:val="left"/>
      <w:pPr>
        <w:tabs>
          <w:tab w:val="left" w:pos="2127"/>
        </w:tabs>
        <w:ind w:left="212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ocumentProtection w:edit="trackedChanges" w:enforcement="0"/>
  <w:defaultTabStop w:val="420"/>
  <w:doNotHyphenateCaps/>
  <w:drawingGridVerticalSpacing w:val="156"/>
  <w:noPunctuationKerning/>
  <w:characterSpacingControl w:val="compressPunctuation"/>
  <w:doNotEmbedSmartTags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E24"/>
    <w:rsid w:val="000025FC"/>
    <w:rsid w:val="000026EE"/>
    <w:rsid w:val="00002D0B"/>
    <w:rsid w:val="000040E1"/>
    <w:rsid w:val="000056F6"/>
    <w:rsid w:val="0000606D"/>
    <w:rsid w:val="000060B3"/>
    <w:rsid w:val="0000655C"/>
    <w:rsid w:val="00006650"/>
    <w:rsid w:val="00006807"/>
    <w:rsid w:val="00007A96"/>
    <w:rsid w:val="00011BB6"/>
    <w:rsid w:val="0001254F"/>
    <w:rsid w:val="0001271E"/>
    <w:rsid w:val="0001279D"/>
    <w:rsid w:val="00012B66"/>
    <w:rsid w:val="00014B72"/>
    <w:rsid w:val="00015477"/>
    <w:rsid w:val="0001625E"/>
    <w:rsid w:val="00016E45"/>
    <w:rsid w:val="00017BB0"/>
    <w:rsid w:val="00020287"/>
    <w:rsid w:val="000202B6"/>
    <w:rsid w:val="000208E0"/>
    <w:rsid w:val="000210E4"/>
    <w:rsid w:val="00021241"/>
    <w:rsid w:val="0002414A"/>
    <w:rsid w:val="000244D6"/>
    <w:rsid w:val="00025BC4"/>
    <w:rsid w:val="00026B72"/>
    <w:rsid w:val="00027D03"/>
    <w:rsid w:val="000313E9"/>
    <w:rsid w:val="0003180E"/>
    <w:rsid w:val="00031892"/>
    <w:rsid w:val="0003246F"/>
    <w:rsid w:val="0003251E"/>
    <w:rsid w:val="000327F5"/>
    <w:rsid w:val="000333C5"/>
    <w:rsid w:val="0003413A"/>
    <w:rsid w:val="0003688F"/>
    <w:rsid w:val="000376A3"/>
    <w:rsid w:val="0004106F"/>
    <w:rsid w:val="000423AC"/>
    <w:rsid w:val="0004364B"/>
    <w:rsid w:val="000444DF"/>
    <w:rsid w:val="0004581E"/>
    <w:rsid w:val="00045F50"/>
    <w:rsid w:val="00046210"/>
    <w:rsid w:val="000466FE"/>
    <w:rsid w:val="00050EC3"/>
    <w:rsid w:val="000514E2"/>
    <w:rsid w:val="00051934"/>
    <w:rsid w:val="00052234"/>
    <w:rsid w:val="00055419"/>
    <w:rsid w:val="00055CFB"/>
    <w:rsid w:val="00055E24"/>
    <w:rsid w:val="00060D80"/>
    <w:rsid w:val="00061123"/>
    <w:rsid w:val="00061B1F"/>
    <w:rsid w:val="000626F6"/>
    <w:rsid w:val="0006371A"/>
    <w:rsid w:val="00063F8C"/>
    <w:rsid w:val="00064012"/>
    <w:rsid w:val="00064A3D"/>
    <w:rsid w:val="00065113"/>
    <w:rsid w:val="00066BB6"/>
    <w:rsid w:val="00066CE2"/>
    <w:rsid w:val="00070211"/>
    <w:rsid w:val="000721D8"/>
    <w:rsid w:val="00072A05"/>
    <w:rsid w:val="00073094"/>
    <w:rsid w:val="000732D4"/>
    <w:rsid w:val="0007334C"/>
    <w:rsid w:val="000733C4"/>
    <w:rsid w:val="00074783"/>
    <w:rsid w:val="00074EB0"/>
    <w:rsid w:val="00075FE6"/>
    <w:rsid w:val="0007624E"/>
    <w:rsid w:val="0007686F"/>
    <w:rsid w:val="00077883"/>
    <w:rsid w:val="0008070B"/>
    <w:rsid w:val="0008084E"/>
    <w:rsid w:val="000810AC"/>
    <w:rsid w:val="00081388"/>
    <w:rsid w:val="00081423"/>
    <w:rsid w:val="00081A02"/>
    <w:rsid w:val="00081AC9"/>
    <w:rsid w:val="00082231"/>
    <w:rsid w:val="000833B6"/>
    <w:rsid w:val="00083A5F"/>
    <w:rsid w:val="00083CC8"/>
    <w:rsid w:val="00085BD2"/>
    <w:rsid w:val="000877B4"/>
    <w:rsid w:val="0008788E"/>
    <w:rsid w:val="00091559"/>
    <w:rsid w:val="00091B57"/>
    <w:rsid w:val="00092B57"/>
    <w:rsid w:val="00092D35"/>
    <w:rsid w:val="00092D38"/>
    <w:rsid w:val="0009318F"/>
    <w:rsid w:val="0009377B"/>
    <w:rsid w:val="00093B26"/>
    <w:rsid w:val="00093C87"/>
    <w:rsid w:val="000940E0"/>
    <w:rsid w:val="0009417B"/>
    <w:rsid w:val="00094629"/>
    <w:rsid w:val="00094E81"/>
    <w:rsid w:val="00094FEF"/>
    <w:rsid w:val="00095030"/>
    <w:rsid w:val="00095631"/>
    <w:rsid w:val="00095CBA"/>
    <w:rsid w:val="00096133"/>
    <w:rsid w:val="000968A0"/>
    <w:rsid w:val="000A1CD5"/>
    <w:rsid w:val="000A1DF0"/>
    <w:rsid w:val="000A1EC9"/>
    <w:rsid w:val="000A20C9"/>
    <w:rsid w:val="000A224B"/>
    <w:rsid w:val="000A2321"/>
    <w:rsid w:val="000A2C2B"/>
    <w:rsid w:val="000A3CE1"/>
    <w:rsid w:val="000A4573"/>
    <w:rsid w:val="000A53EE"/>
    <w:rsid w:val="000A55A7"/>
    <w:rsid w:val="000A5A73"/>
    <w:rsid w:val="000A6BAF"/>
    <w:rsid w:val="000B0169"/>
    <w:rsid w:val="000B058F"/>
    <w:rsid w:val="000B1117"/>
    <w:rsid w:val="000B12B5"/>
    <w:rsid w:val="000B29C4"/>
    <w:rsid w:val="000B2CBB"/>
    <w:rsid w:val="000B3B21"/>
    <w:rsid w:val="000B3FAE"/>
    <w:rsid w:val="000B4467"/>
    <w:rsid w:val="000B4DB9"/>
    <w:rsid w:val="000B5243"/>
    <w:rsid w:val="000B557B"/>
    <w:rsid w:val="000B559E"/>
    <w:rsid w:val="000B5DAB"/>
    <w:rsid w:val="000B61BA"/>
    <w:rsid w:val="000C016F"/>
    <w:rsid w:val="000C03D7"/>
    <w:rsid w:val="000C07EE"/>
    <w:rsid w:val="000C09AC"/>
    <w:rsid w:val="000C1CF0"/>
    <w:rsid w:val="000C1DF2"/>
    <w:rsid w:val="000C431B"/>
    <w:rsid w:val="000C55B4"/>
    <w:rsid w:val="000C767F"/>
    <w:rsid w:val="000D035B"/>
    <w:rsid w:val="000D0A7F"/>
    <w:rsid w:val="000D11EE"/>
    <w:rsid w:val="000D12E3"/>
    <w:rsid w:val="000D1713"/>
    <w:rsid w:val="000D381D"/>
    <w:rsid w:val="000D388D"/>
    <w:rsid w:val="000D4CA2"/>
    <w:rsid w:val="000D5A44"/>
    <w:rsid w:val="000D6F73"/>
    <w:rsid w:val="000E1043"/>
    <w:rsid w:val="000E147A"/>
    <w:rsid w:val="000E2491"/>
    <w:rsid w:val="000E30B6"/>
    <w:rsid w:val="000E3886"/>
    <w:rsid w:val="000E3C0B"/>
    <w:rsid w:val="000E3ED2"/>
    <w:rsid w:val="000E49E4"/>
    <w:rsid w:val="000E4E7C"/>
    <w:rsid w:val="000E57DA"/>
    <w:rsid w:val="000E675B"/>
    <w:rsid w:val="000F132F"/>
    <w:rsid w:val="000F3880"/>
    <w:rsid w:val="000F3BE7"/>
    <w:rsid w:val="000F3C56"/>
    <w:rsid w:val="000F403B"/>
    <w:rsid w:val="000F43CD"/>
    <w:rsid w:val="000F52FE"/>
    <w:rsid w:val="000F613A"/>
    <w:rsid w:val="000F6364"/>
    <w:rsid w:val="000F6461"/>
    <w:rsid w:val="000F6468"/>
    <w:rsid w:val="000F6A98"/>
    <w:rsid w:val="000F729D"/>
    <w:rsid w:val="000F7771"/>
    <w:rsid w:val="00100290"/>
    <w:rsid w:val="00101497"/>
    <w:rsid w:val="00102A7C"/>
    <w:rsid w:val="00103252"/>
    <w:rsid w:val="0010330E"/>
    <w:rsid w:val="00103B57"/>
    <w:rsid w:val="00103CBA"/>
    <w:rsid w:val="00103EDA"/>
    <w:rsid w:val="00104105"/>
    <w:rsid w:val="00104BEB"/>
    <w:rsid w:val="00104FA6"/>
    <w:rsid w:val="00106088"/>
    <w:rsid w:val="00107959"/>
    <w:rsid w:val="00110771"/>
    <w:rsid w:val="00110C45"/>
    <w:rsid w:val="00112263"/>
    <w:rsid w:val="001123FC"/>
    <w:rsid w:val="00113531"/>
    <w:rsid w:val="0011385C"/>
    <w:rsid w:val="0011489C"/>
    <w:rsid w:val="001158E5"/>
    <w:rsid w:val="0011785D"/>
    <w:rsid w:val="001178C4"/>
    <w:rsid w:val="00117D96"/>
    <w:rsid w:val="001200CA"/>
    <w:rsid w:val="00120685"/>
    <w:rsid w:val="001206B6"/>
    <w:rsid w:val="00121B19"/>
    <w:rsid w:val="001229CC"/>
    <w:rsid w:val="00122A65"/>
    <w:rsid w:val="001237ED"/>
    <w:rsid w:val="00123D2B"/>
    <w:rsid w:val="00124115"/>
    <w:rsid w:val="00124612"/>
    <w:rsid w:val="00124ED5"/>
    <w:rsid w:val="00125242"/>
    <w:rsid w:val="00125E5F"/>
    <w:rsid w:val="00126722"/>
    <w:rsid w:val="001275EC"/>
    <w:rsid w:val="0013009D"/>
    <w:rsid w:val="00131F42"/>
    <w:rsid w:val="00132D97"/>
    <w:rsid w:val="0013496B"/>
    <w:rsid w:val="001357F1"/>
    <w:rsid w:val="00135A20"/>
    <w:rsid w:val="00136797"/>
    <w:rsid w:val="0013690E"/>
    <w:rsid w:val="00137144"/>
    <w:rsid w:val="0013750C"/>
    <w:rsid w:val="00137F96"/>
    <w:rsid w:val="00140928"/>
    <w:rsid w:val="00140F6B"/>
    <w:rsid w:val="00140FA8"/>
    <w:rsid w:val="00141F19"/>
    <w:rsid w:val="00142FEB"/>
    <w:rsid w:val="00143A2D"/>
    <w:rsid w:val="00143C16"/>
    <w:rsid w:val="00145A41"/>
    <w:rsid w:val="00145E9E"/>
    <w:rsid w:val="0014651D"/>
    <w:rsid w:val="00146F96"/>
    <w:rsid w:val="001503C2"/>
    <w:rsid w:val="0015047B"/>
    <w:rsid w:val="0015063A"/>
    <w:rsid w:val="001506A3"/>
    <w:rsid w:val="001506F7"/>
    <w:rsid w:val="00150BDF"/>
    <w:rsid w:val="00151675"/>
    <w:rsid w:val="001525FC"/>
    <w:rsid w:val="0015264B"/>
    <w:rsid w:val="00153053"/>
    <w:rsid w:val="00153300"/>
    <w:rsid w:val="0015407E"/>
    <w:rsid w:val="00154AB3"/>
    <w:rsid w:val="00154CA1"/>
    <w:rsid w:val="001557F1"/>
    <w:rsid w:val="00156363"/>
    <w:rsid w:val="00156518"/>
    <w:rsid w:val="00157435"/>
    <w:rsid w:val="00157606"/>
    <w:rsid w:val="00160269"/>
    <w:rsid w:val="00160F53"/>
    <w:rsid w:val="001622A1"/>
    <w:rsid w:val="00163F5F"/>
    <w:rsid w:val="00163FE4"/>
    <w:rsid w:val="00164028"/>
    <w:rsid w:val="0016481D"/>
    <w:rsid w:val="0016485E"/>
    <w:rsid w:val="00165737"/>
    <w:rsid w:val="00165AD8"/>
    <w:rsid w:val="00166608"/>
    <w:rsid w:val="00166724"/>
    <w:rsid w:val="00166A54"/>
    <w:rsid w:val="001708F5"/>
    <w:rsid w:val="00170DE1"/>
    <w:rsid w:val="00171939"/>
    <w:rsid w:val="0017224C"/>
    <w:rsid w:val="00172A27"/>
    <w:rsid w:val="00173A6A"/>
    <w:rsid w:val="00174FD1"/>
    <w:rsid w:val="0017504D"/>
    <w:rsid w:val="0017671A"/>
    <w:rsid w:val="00176B6E"/>
    <w:rsid w:val="00177422"/>
    <w:rsid w:val="001779C0"/>
    <w:rsid w:val="00180B3B"/>
    <w:rsid w:val="00180F77"/>
    <w:rsid w:val="00183D83"/>
    <w:rsid w:val="00183F32"/>
    <w:rsid w:val="00184590"/>
    <w:rsid w:val="001854B8"/>
    <w:rsid w:val="0018563D"/>
    <w:rsid w:val="001856FF"/>
    <w:rsid w:val="00185788"/>
    <w:rsid w:val="00185B70"/>
    <w:rsid w:val="00186014"/>
    <w:rsid w:val="00186324"/>
    <w:rsid w:val="00186517"/>
    <w:rsid w:val="00186578"/>
    <w:rsid w:val="001870D1"/>
    <w:rsid w:val="0018780F"/>
    <w:rsid w:val="0018781E"/>
    <w:rsid w:val="00190533"/>
    <w:rsid w:val="00190570"/>
    <w:rsid w:val="00190EA1"/>
    <w:rsid w:val="0019130C"/>
    <w:rsid w:val="001915CE"/>
    <w:rsid w:val="00191646"/>
    <w:rsid w:val="00192558"/>
    <w:rsid w:val="0019262D"/>
    <w:rsid w:val="001937B8"/>
    <w:rsid w:val="001945D3"/>
    <w:rsid w:val="00194BEA"/>
    <w:rsid w:val="00195CE6"/>
    <w:rsid w:val="0019672B"/>
    <w:rsid w:val="00196FD2"/>
    <w:rsid w:val="00197409"/>
    <w:rsid w:val="001A0081"/>
    <w:rsid w:val="001A08F4"/>
    <w:rsid w:val="001A0B30"/>
    <w:rsid w:val="001A1B35"/>
    <w:rsid w:val="001A2BE4"/>
    <w:rsid w:val="001A3440"/>
    <w:rsid w:val="001A352E"/>
    <w:rsid w:val="001A36C0"/>
    <w:rsid w:val="001A4103"/>
    <w:rsid w:val="001A48A2"/>
    <w:rsid w:val="001A4A76"/>
    <w:rsid w:val="001A4BD5"/>
    <w:rsid w:val="001A4D4E"/>
    <w:rsid w:val="001A524B"/>
    <w:rsid w:val="001A6485"/>
    <w:rsid w:val="001A6E83"/>
    <w:rsid w:val="001A6F61"/>
    <w:rsid w:val="001A70E3"/>
    <w:rsid w:val="001A7292"/>
    <w:rsid w:val="001A7DA4"/>
    <w:rsid w:val="001B2754"/>
    <w:rsid w:val="001B2ADA"/>
    <w:rsid w:val="001B2B52"/>
    <w:rsid w:val="001B3546"/>
    <w:rsid w:val="001B3562"/>
    <w:rsid w:val="001B3D77"/>
    <w:rsid w:val="001B4015"/>
    <w:rsid w:val="001B4047"/>
    <w:rsid w:val="001B4A58"/>
    <w:rsid w:val="001B4E2B"/>
    <w:rsid w:val="001B62C7"/>
    <w:rsid w:val="001B690D"/>
    <w:rsid w:val="001B72B8"/>
    <w:rsid w:val="001B7494"/>
    <w:rsid w:val="001C1559"/>
    <w:rsid w:val="001C1EFA"/>
    <w:rsid w:val="001C222C"/>
    <w:rsid w:val="001C2484"/>
    <w:rsid w:val="001C2619"/>
    <w:rsid w:val="001C30E5"/>
    <w:rsid w:val="001C318A"/>
    <w:rsid w:val="001C5A8D"/>
    <w:rsid w:val="001C654B"/>
    <w:rsid w:val="001C6587"/>
    <w:rsid w:val="001C69B3"/>
    <w:rsid w:val="001C6AE2"/>
    <w:rsid w:val="001C7F83"/>
    <w:rsid w:val="001D005F"/>
    <w:rsid w:val="001D00F6"/>
    <w:rsid w:val="001D03EF"/>
    <w:rsid w:val="001D0F01"/>
    <w:rsid w:val="001D1084"/>
    <w:rsid w:val="001D195E"/>
    <w:rsid w:val="001D1F9F"/>
    <w:rsid w:val="001D2A57"/>
    <w:rsid w:val="001D387C"/>
    <w:rsid w:val="001D38AD"/>
    <w:rsid w:val="001D3CAD"/>
    <w:rsid w:val="001D3D1D"/>
    <w:rsid w:val="001D3D30"/>
    <w:rsid w:val="001D4122"/>
    <w:rsid w:val="001D4472"/>
    <w:rsid w:val="001D44AF"/>
    <w:rsid w:val="001D5595"/>
    <w:rsid w:val="001D59DD"/>
    <w:rsid w:val="001D66C2"/>
    <w:rsid w:val="001D67F0"/>
    <w:rsid w:val="001D7529"/>
    <w:rsid w:val="001D7616"/>
    <w:rsid w:val="001D7874"/>
    <w:rsid w:val="001D7F22"/>
    <w:rsid w:val="001E11DF"/>
    <w:rsid w:val="001E181D"/>
    <w:rsid w:val="001E2ABB"/>
    <w:rsid w:val="001E33AD"/>
    <w:rsid w:val="001E391D"/>
    <w:rsid w:val="001E3C81"/>
    <w:rsid w:val="001E416C"/>
    <w:rsid w:val="001E4774"/>
    <w:rsid w:val="001E58A0"/>
    <w:rsid w:val="001E6E25"/>
    <w:rsid w:val="001E76A9"/>
    <w:rsid w:val="001E7874"/>
    <w:rsid w:val="001F0D88"/>
    <w:rsid w:val="001F0F17"/>
    <w:rsid w:val="001F1109"/>
    <w:rsid w:val="001F3347"/>
    <w:rsid w:val="001F3516"/>
    <w:rsid w:val="001F40BE"/>
    <w:rsid w:val="001F599E"/>
    <w:rsid w:val="001F5E8A"/>
    <w:rsid w:val="001F6785"/>
    <w:rsid w:val="001F69E4"/>
    <w:rsid w:val="001F70D8"/>
    <w:rsid w:val="001F79B9"/>
    <w:rsid w:val="001F7BE9"/>
    <w:rsid w:val="001F7BFA"/>
    <w:rsid w:val="001F7C97"/>
    <w:rsid w:val="002019EF"/>
    <w:rsid w:val="00201F42"/>
    <w:rsid w:val="002021A7"/>
    <w:rsid w:val="002025FD"/>
    <w:rsid w:val="00202C7A"/>
    <w:rsid w:val="00202C97"/>
    <w:rsid w:val="00203343"/>
    <w:rsid w:val="00203AB7"/>
    <w:rsid w:val="00203E24"/>
    <w:rsid w:val="00204A71"/>
    <w:rsid w:val="00207A70"/>
    <w:rsid w:val="00207F17"/>
    <w:rsid w:val="00210A13"/>
    <w:rsid w:val="00211B1B"/>
    <w:rsid w:val="00212402"/>
    <w:rsid w:val="002125B4"/>
    <w:rsid w:val="002155B8"/>
    <w:rsid w:val="0021614E"/>
    <w:rsid w:val="00216866"/>
    <w:rsid w:val="002200E8"/>
    <w:rsid w:val="002218C5"/>
    <w:rsid w:val="00221ECC"/>
    <w:rsid w:val="00222843"/>
    <w:rsid w:val="00223DFC"/>
    <w:rsid w:val="00224564"/>
    <w:rsid w:val="002246EE"/>
    <w:rsid w:val="00224839"/>
    <w:rsid w:val="002249B2"/>
    <w:rsid w:val="00224B91"/>
    <w:rsid w:val="00224DA0"/>
    <w:rsid w:val="00225A23"/>
    <w:rsid w:val="00226574"/>
    <w:rsid w:val="002276CE"/>
    <w:rsid w:val="002278EC"/>
    <w:rsid w:val="00227DE2"/>
    <w:rsid w:val="0023018E"/>
    <w:rsid w:val="002303EA"/>
    <w:rsid w:val="002318BD"/>
    <w:rsid w:val="00231901"/>
    <w:rsid w:val="0023280E"/>
    <w:rsid w:val="00232C93"/>
    <w:rsid w:val="00234B9F"/>
    <w:rsid w:val="00234BD6"/>
    <w:rsid w:val="00235911"/>
    <w:rsid w:val="00235DFE"/>
    <w:rsid w:val="002363F4"/>
    <w:rsid w:val="00236464"/>
    <w:rsid w:val="002377D1"/>
    <w:rsid w:val="00237F23"/>
    <w:rsid w:val="0024075F"/>
    <w:rsid w:val="00241230"/>
    <w:rsid w:val="00241FAB"/>
    <w:rsid w:val="00242349"/>
    <w:rsid w:val="00243074"/>
    <w:rsid w:val="002437B0"/>
    <w:rsid w:val="0024433B"/>
    <w:rsid w:val="00244E17"/>
    <w:rsid w:val="002452CD"/>
    <w:rsid w:val="0024619F"/>
    <w:rsid w:val="002465AA"/>
    <w:rsid w:val="002466DF"/>
    <w:rsid w:val="00247050"/>
    <w:rsid w:val="00247A80"/>
    <w:rsid w:val="00247ABF"/>
    <w:rsid w:val="0025000C"/>
    <w:rsid w:val="002506BC"/>
    <w:rsid w:val="00251009"/>
    <w:rsid w:val="0025134B"/>
    <w:rsid w:val="00252525"/>
    <w:rsid w:val="00252CCE"/>
    <w:rsid w:val="00252E3B"/>
    <w:rsid w:val="00254345"/>
    <w:rsid w:val="00254799"/>
    <w:rsid w:val="00254BA5"/>
    <w:rsid w:val="00254C47"/>
    <w:rsid w:val="00254CE3"/>
    <w:rsid w:val="00255114"/>
    <w:rsid w:val="00255C2F"/>
    <w:rsid w:val="00255EA6"/>
    <w:rsid w:val="00256128"/>
    <w:rsid w:val="00257FB6"/>
    <w:rsid w:val="00260449"/>
    <w:rsid w:val="002611AD"/>
    <w:rsid w:val="0026169C"/>
    <w:rsid w:val="00261ECA"/>
    <w:rsid w:val="00262A69"/>
    <w:rsid w:val="00262A98"/>
    <w:rsid w:val="0026303E"/>
    <w:rsid w:val="00263916"/>
    <w:rsid w:val="002642E3"/>
    <w:rsid w:val="00264557"/>
    <w:rsid w:val="00264A2B"/>
    <w:rsid w:val="002672F0"/>
    <w:rsid w:val="00270989"/>
    <w:rsid w:val="002725CE"/>
    <w:rsid w:val="00273A4B"/>
    <w:rsid w:val="00273E04"/>
    <w:rsid w:val="00274560"/>
    <w:rsid w:val="00276542"/>
    <w:rsid w:val="00276799"/>
    <w:rsid w:val="00276C93"/>
    <w:rsid w:val="00277DE8"/>
    <w:rsid w:val="00280311"/>
    <w:rsid w:val="0028057F"/>
    <w:rsid w:val="002805AB"/>
    <w:rsid w:val="0028129F"/>
    <w:rsid w:val="00281A8E"/>
    <w:rsid w:val="00282EDD"/>
    <w:rsid w:val="00283683"/>
    <w:rsid w:val="00284204"/>
    <w:rsid w:val="00284FC4"/>
    <w:rsid w:val="00285917"/>
    <w:rsid w:val="00285F1C"/>
    <w:rsid w:val="00286C31"/>
    <w:rsid w:val="00287BEB"/>
    <w:rsid w:val="00287DA0"/>
    <w:rsid w:val="002906B3"/>
    <w:rsid w:val="00290C75"/>
    <w:rsid w:val="00291773"/>
    <w:rsid w:val="00291A8D"/>
    <w:rsid w:val="00293A8D"/>
    <w:rsid w:val="00294EF1"/>
    <w:rsid w:val="0029590C"/>
    <w:rsid w:val="00295923"/>
    <w:rsid w:val="002962AA"/>
    <w:rsid w:val="00296525"/>
    <w:rsid w:val="002A0FB1"/>
    <w:rsid w:val="002A168C"/>
    <w:rsid w:val="002A1D3F"/>
    <w:rsid w:val="002A2379"/>
    <w:rsid w:val="002A313A"/>
    <w:rsid w:val="002A3DC7"/>
    <w:rsid w:val="002A3E1D"/>
    <w:rsid w:val="002A5036"/>
    <w:rsid w:val="002A5C1F"/>
    <w:rsid w:val="002B10DF"/>
    <w:rsid w:val="002B1FE1"/>
    <w:rsid w:val="002B26B8"/>
    <w:rsid w:val="002B2D8F"/>
    <w:rsid w:val="002B2ECB"/>
    <w:rsid w:val="002B49E2"/>
    <w:rsid w:val="002B4C53"/>
    <w:rsid w:val="002B5C5E"/>
    <w:rsid w:val="002B5DA6"/>
    <w:rsid w:val="002B675E"/>
    <w:rsid w:val="002B6B79"/>
    <w:rsid w:val="002B6CD8"/>
    <w:rsid w:val="002B720A"/>
    <w:rsid w:val="002B770B"/>
    <w:rsid w:val="002B7B00"/>
    <w:rsid w:val="002B7C44"/>
    <w:rsid w:val="002B7DF3"/>
    <w:rsid w:val="002C03AC"/>
    <w:rsid w:val="002C0428"/>
    <w:rsid w:val="002C04BC"/>
    <w:rsid w:val="002C2B17"/>
    <w:rsid w:val="002C3265"/>
    <w:rsid w:val="002C3521"/>
    <w:rsid w:val="002C395E"/>
    <w:rsid w:val="002C3CE6"/>
    <w:rsid w:val="002C4581"/>
    <w:rsid w:val="002C4E39"/>
    <w:rsid w:val="002C552E"/>
    <w:rsid w:val="002C56E1"/>
    <w:rsid w:val="002C6A6B"/>
    <w:rsid w:val="002C7256"/>
    <w:rsid w:val="002C7A52"/>
    <w:rsid w:val="002C7E35"/>
    <w:rsid w:val="002D31C4"/>
    <w:rsid w:val="002D3DD0"/>
    <w:rsid w:val="002D4F3F"/>
    <w:rsid w:val="002D5250"/>
    <w:rsid w:val="002D55AC"/>
    <w:rsid w:val="002D6283"/>
    <w:rsid w:val="002D6679"/>
    <w:rsid w:val="002E04AF"/>
    <w:rsid w:val="002E0C3E"/>
    <w:rsid w:val="002E10DA"/>
    <w:rsid w:val="002E1F3A"/>
    <w:rsid w:val="002E204E"/>
    <w:rsid w:val="002E298A"/>
    <w:rsid w:val="002E3948"/>
    <w:rsid w:val="002E3981"/>
    <w:rsid w:val="002E6262"/>
    <w:rsid w:val="002E65AF"/>
    <w:rsid w:val="002E6CF7"/>
    <w:rsid w:val="002E78C5"/>
    <w:rsid w:val="002E7AFB"/>
    <w:rsid w:val="002E7F95"/>
    <w:rsid w:val="002F1999"/>
    <w:rsid w:val="002F1EB8"/>
    <w:rsid w:val="002F20E8"/>
    <w:rsid w:val="002F2464"/>
    <w:rsid w:val="002F418C"/>
    <w:rsid w:val="002F4597"/>
    <w:rsid w:val="002F5BED"/>
    <w:rsid w:val="002F7179"/>
    <w:rsid w:val="0030029F"/>
    <w:rsid w:val="00300802"/>
    <w:rsid w:val="00300C23"/>
    <w:rsid w:val="003016A3"/>
    <w:rsid w:val="00301978"/>
    <w:rsid w:val="003021D1"/>
    <w:rsid w:val="00302425"/>
    <w:rsid w:val="003025AF"/>
    <w:rsid w:val="0030287C"/>
    <w:rsid w:val="0030327E"/>
    <w:rsid w:val="0030332C"/>
    <w:rsid w:val="0030474E"/>
    <w:rsid w:val="00304C67"/>
    <w:rsid w:val="003051C2"/>
    <w:rsid w:val="00305652"/>
    <w:rsid w:val="00305917"/>
    <w:rsid w:val="00305E00"/>
    <w:rsid w:val="003071C8"/>
    <w:rsid w:val="00307C95"/>
    <w:rsid w:val="0031029C"/>
    <w:rsid w:val="00310548"/>
    <w:rsid w:val="0031096D"/>
    <w:rsid w:val="003115D5"/>
    <w:rsid w:val="00312296"/>
    <w:rsid w:val="003126AC"/>
    <w:rsid w:val="00313638"/>
    <w:rsid w:val="003144B0"/>
    <w:rsid w:val="00314649"/>
    <w:rsid w:val="00314759"/>
    <w:rsid w:val="00314F0E"/>
    <w:rsid w:val="00315401"/>
    <w:rsid w:val="0031588B"/>
    <w:rsid w:val="003158FA"/>
    <w:rsid w:val="00315DE7"/>
    <w:rsid w:val="00315F95"/>
    <w:rsid w:val="00316131"/>
    <w:rsid w:val="00316EB0"/>
    <w:rsid w:val="00317D48"/>
    <w:rsid w:val="0032172F"/>
    <w:rsid w:val="0032192C"/>
    <w:rsid w:val="00321D8E"/>
    <w:rsid w:val="00322148"/>
    <w:rsid w:val="0032268D"/>
    <w:rsid w:val="003228F8"/>
    <w:rsid w:val="003247DB"/>
    <w:rsid w:val="00325429"/>
    <w:rsid w:val="00325928"/>
    <w:rsid w:val="003262BE"/>
    <w:rsid w:val="00326B10"/>
    <w:rsid w:val="003270C1"/>
    <w:rsid w:val="00327697"/>
    <w:rsid w:val="00327BFF"/>
    <w:rsid w:val="00330E87"/>
    <w:rsid w:val="003315EB"/>
    <w:rsid w:val="00331DDB"/>
    <w:rsid w:val="00332863"/>
    <w:rsid w:val="00333A59"/>
    <w:rsid w:val="00333BC7"/>
    <w:rsid w:val="00333EB5"/>
    <w:rsid w:val="003344BA"/>
    <w:rsid w:val="003347D4"/>
    <w:rsid w:val="00334B9B"/>
    <w:rsid w:val="00334F55"/>
    <w:rsid w:val="003353A8"/>
    <w:rsid w:val="00335D80"/>
    <w:rsid w:val="00335FFD"/>
    <w:rsid w:val="00336191"/>
    <w:rsid w:val="00336749"/>
    <w:rsid w:val="0033684D"/>
    <w:rsid w:val="0033743E"/>
    <w:rsid w:val="0033765F"/>
    <w:rsid w:val="00337AA6"/>
    <w:rsid w:val="00337B42"/>
    <w:rsid w:val="003407A3"/>
    <w:rsid w:val="00341B42"/>
    <w:rsid w:val="0034287B"/>
    <w:rsid w:val="0034308B"/>
    <w:rsid w:val="0034348F"/>
    <w:rsid w:val="00343A8F"/>
    <w:rsid w:val="00346B9A"/>
    <w:rsid w:val="00350111"/>
    <w:rsid w:val="00350214"/>
    <w:rsid w:val="003529A9"/>
    <w:rsid w:val="003530B9"/>
    <w:rsid w:val="00356653"/>
    <w:rsid w:val="0035683A"/>
    <w:rsid w:val="0035743F"/>
    <w:rsid w:val="00357BE2"/>
    <w:rsid w:val="00357E3E"/>
    <w:rsid w:val="0036064A"/>
    <w:rsid w:val="00360B1F"/>
    <w:rsid w:val="00360BED"/>
    <w:rsid w:val="00361442"/>
    <w:rsid w:val="0036170C"/>
    <w:rsid w:val="00361FD8"/>
    <w:rsid w:val="00362D9F"/>
    <w:rsid w:val="00363B18"/>
    <w:rsid w:val="00364EB4"/>
    <w:rsid w:val="003657E8"/>
    <w:rsid w:val="00365FC8"/>
    <w:rsid w:val="0036639F"/>
    <w:rsid w:val="00366792"/>
    <w:rsid w:val="00366E0F"/>
    <w:rsid w:val="00367065"/>
    <w:rsid w:val="003704D9"/>
    <w:rsid w:val="00371113"/>
    <w:rsid w:val="00371BB2"/>
    <w:rsid w:val="00371BC0"/>
    <w:rsid w:val="0037233C"/>
    <w:rsid w:val="003725CE"/>
    <w:rsid w:val="003728DC"/>
    <w:rsid w:val="00372CF5"/>
    <w:rsid w:val="0037305B"/>
    <w:rsid w:val="0037392B"/>
    <w:rsid w:val="003746FC"/>
    <w:rsid w:val="00374A18"/>
    <w:rsid w:val="00377074"/>
    <w:rsid w:val="00377DDD"/>
    <w:rsid w:val="00377EDB"/>
    <w:rsid w:val="0038037A"/>
    <w:rsid w:val="00380B31"/>
    <w:rsid w:val="0038132C"/>
    <w:rsid w:val="00381A72"/>
    <w:rsid w:val="00384676"/>
    <w:rsid w:val="003848B0"/>
    <w:rsid w:val="00385955"/>
    <w:rsid w:val="00385BD1"/>
    <w:rsid w:val="0038603C"/>
    <w:rsid w:val="003861AB"/>
    <w:rsid w:val="00386D49"/>
    <w:rsid w:val="0038719F"/>
    <w:rsid w:val="00387A79"/>
    <w:rsid w:val="003907F8"/>
    <w:rsid w:val="00390857"/>
    <w:rsid w:val="003916EE"/>
    <w:rsid w:val="00392B2B"/>
    <w:rsid w:val="003934C0"/>
    <w:rsid w:val="00393539"/>
    <w:rsid w:val="00393960"/>
    <w:rsid w:val="00394365"/>
    <w:rsid w:val="0039462B"/>
    <w:rsid w:val="00394AE9"/>
    <w:rsid w:val="0039500A"/>
    <w:rsid w:val="003951D9"/>
    <w:rsid w:val="00396B83"/>
    <w:rsid w:val="0039761B"/>
    <w:rsid w:val="00397A7F"/>
    <w:rsid w:val="003A0067"/>
    <w:rsid w:val="003A14FE"/>
    <w:rsid w:val="003A2E7E"/>
    <w:rsid w:val="003A4A53"/>
    <w:rsid w:val="003A4BD9"/>
    <w:rsid w:val="003A4BF3"/>
    <w:rsid w:val="003A59CD"/>
    <w:rsid w:val="003A5BC1"/>
    <w:rsid w:val="003A5C38"/>
    <w:rsid w:val="003A68B1"/>
    <w:rsid w:val="003B2236"/>
    <w:rsid w:val="003B2B02"/>
    <w:rsid w:val="003B33B7"/>
    <w:rsid w:val="003B420D"/>
    <w:rsid w:val="003B43BD"/>
    <w:rsid w:val="003B4476"/>
    <w:rsid w:val="003B487A"/>
    <w:rsid w:val="003B6F5D"/>
    <w:rsid w:val="003B6FE3"/>
    <w:rsid w:val="003B74F2"/>
    <w:rsid w:val="003B74FC"/>
    <w:rsid w:val="003B7E46"/>
    <w:rsid w:val="003B7E51"/>
    <w:rsid w:val="003C076D"/>
    <w:rsid w:val="003C0A13"/>
    <w:rsid w:val="003C20A1"/>
    <w:rsid w:val="003C2A35"/>
    <w:rsid w:val="003C396B"/>
    <w:rsid w:val="003C408C"/>
    <w:rsid w:val="003C46AA"/>
    <w:rsid w:val="003C55DA"/>
    <w:rsid w:val="003C5D49"/>
    <w:rsid w:val="003C6C16"/>
    <w:rsid w:val="003D1012"/>
    <w:rsid w:val="003D133B"/>
    <w:rsid w:val="003D1638"/>
    <w:rsid w:val="003D1C04"/>
    <w:rsid w:val="003D1E9F"/>
    <w:rsid w:val="003D2A0E"/>
    <w:rsid w:val="003D2C4C"/>
    <w:rsid w:val="003D2C6C"/>
    <w:rsid w:val="003D3654"/>
    <w:rsid w:val="003D3A52"/>
    <w:rsid w:val="003D6DC5"/>
    <w:rsid w:val="003D7714"/>
    <w:rsid w:val="003D794D"/>
    <w:rsid w:val="003D7C22"/>
    <w:rsid w:val="003E1F12"/>
    <w:rsid w:val="003E2114"/>
    <w:rsid w:val="003E215B"/>
    <w:rsid w:val="003E2957"/>
    <w:rsid w:val="003E3058"/>
    <w:rsid w:val="003E383E"/>
    <w:rsid w:val="003E45ED"/>
    <w:rsid w:val="003E5A11"/>
    <w:rsid w:val="003E5DCF"/>
    <w:rsid w:val="003E76A9"/>
    <w:rsid w:val="003E7F05"/>
    <w:rsid w:val="003F013B"/>
    <w:rsid w:val="003F0809"/>
    <w:rsid w:val="003F1915"/>
    <w:rsid w:val="003F1C3F"/>
    <w:rsid w:val="003F1DCD"/>
    <w:rsid w:val="003F2262"/>
    <w:rsid w:val="003F52E0"/>
    <w:rsid w:val="003F5540"/>
    <w:rsid w:val="003F6A8C"/>
    <w:rsid w:val="003F755C"/>
    <w:rsid w:val="003F7BB1"/>
    <w:rsid w:val="003F7DEA"/>
    <w:rsid w:val="00400F5B"/>
    <w:rsid w:val="00401E6A"/>
    <w:rsid w:val="00402D2C"/>
    <w:rsid w:val="0040487B"/>
    <w:rsid w:val="0040598E"/>
    <w:rsid w:val="004063F0"/>
    <w:rsid w:val="00406F01"/>
    <w:rsid w:val="00407181"/>
    <w:rsid w:val="004075C1"/>
    <w:rsid w:val="0041079D"/>
    <w:rsid w:val="00411090"/>
    <w:rsid w:val="00413089"/>
    <w:rsid w:val="004137D3"/>
    <w:rsid w:val="00413B3A"/>
    <w:rsid w:val="00413C43"/>
    <w:rsid w:val="00414034"/>
    <w:rsid w:val="0041432A"/>
    <w:rsid w:val="004145E7"/>
    <w:rsid w:val="00416914"/>
    <w:rsid w:val="00416D50"/>
    <w:rsid w:val="00416FD5"/>
    <w:rsid w:val="004173A8"/>
    <w:rsid w:val="00417772"/>
    <w:rsid w:val="00417D42"/>
    <w:rsid w:val="00420B89"/>
    <w:rsid w:val="00420E6A"/>
    <w:rsid w:val="00421D5C"/>
    <w:rsid w:val="00422423"/>
    <w:rsid w:val="00422C63"/>
    <w:rsid w:val="00422CEA"/>
    <w:rsid w:val="00423322"/>
    <w:rsid w:val="00424460"/>
    <w:rsid w:val="00424994"/>
    <w:rsid w:val="00425A9E"/>
    <w:rsid w:val="00426D6B"/>
    <w:rsid w:val="00430488"/>
    <w:rsid w:val="00430FF8"/>
    <w:rsid w:val="00431459"/>
    <w:rsid w:val="00431606"/>
    <w:rsid w:val="00431E6C"/>
    <w:rsid w:val="00433108"/>
    <w:rsid w:val="00433113"/>
    <w:rsid w:val="00433B18"/>
    <w:rsid w:val="00433CE7"/>
    <w:rsid w:val="004347F1"/>
    <w:rsid w:val="00434934"/>
    <w:rsid w:val="00434AA1"/>
    <w:rsid w:val="00435A34"/>
    <w:rsid w:val="00435D8A"/>
    <w:rsid w:val="0043659E"/>
    <w:rsid w:val="00437596"/>
    <w:rsid w:val="004378C4"/>
    <w:rsid w:val="00440AED"/>
    <w:rsid w:val="0044127E"/>
    <w:rsid w:val="004415BA"/>
    <w:rsid w:val="004420D1"/>
    <w:rsid w:val="004423B5"/>
    <w:rsid w:val="00442DDA"/>
    <w:rsid w:val="00442F05"/>
    <w:rsid w:val="00446411"/>
    <w:rsid w:val="00446A52"/>
    <w:rsid w:val="00450FF4"/>
    <w:rsid w:val="00451023"/>
    <w:rsid w:val="00452738"/>
    <w:rsid w:val="00452E3A"/>
    <w:rsid w:val="00453886"/>
    <w:rsid w:val="00453BDA"/>
    <w:rsid w:val="00454163"/>
    <w:rsid w:val="00456091"/>
    <w:rsid w:val="00457E66"/>
    <w:rsid w:val="00460195"/>
    <w:rsid w:val="00460301"/>
    <w:rsid w:val="004608B2"/>
    <w:rsid w:val="00462620"/>
    <w:rsid w:val="00463D8C"/>
    <w:rsid w:val="00464C3E"/>
    <w:rsid w:val="00464CD2"/>
    <w:rsid w:val="00464D73"/>
    <w:rsid w:val="00464E08"/>
    <w:rsid w:val="0046513E"/>
    <w:rsid w:val="004651E5"/>
    <w:rsid w:val="00465761"/>
    <w:rsid w:val="00466321"/>
    <w:rsid w:val="0046731D"/>
    <w:rsid w:val="004679EC"/>
    <w:rsid w:val="00467F6B"/>
    <w:rsid w:val="004729DB"/>
    <w:rsid w:val="004740DC"/>
    <w:rsid w:val="00474376"/>
    <w:rsid w:val="0047447A"/>
    <w:rsid w:val="00474A64"/>
    <w:rsid w:val="00475B9A"/>
    <w:rsid w:val="00475DED"/>
    <w:rsid w:val="00476915"/>
    <w:rsid w:val="00477273"/>
    <w:rsid w:val="00477CAA"/>
    <w:rsid w:val="00480D14"/>
    <w:rsid w:val="00481765"/>
    <w:rsid w:val="00481D1F"/>
    <w:rsid w:val="004830F1"/>
    <w:rsid w:val="0048318E"/>
    <w:rsid w:val="00483801"/>
    <w:rsid w:val="00484B9B"/>
    <w:rsid w:val="00485187"/>
    <w:rsid w:val="004855F6"/>
    <w:rsid w:val="00485CF0"/>
    <w:rsid w:val="0048661E"/>
    <w:rsid w:val="00486705"/>
    <w:rsid w:val="0048674A"/>
    <w:rsid w:val="0048733A"/>
    <w:rsid w:val="00487D0F"/>
    <w:rsid w:val="00487DFB"/>
    <w:rsid w:val="00490478"/>
    <w:rsid w:val="00490771"/>
    <w:rsid w:val="00490FD4"/>
    <w:rsid w:val="00491171"/>
    <w:rsid w:val="00491D89"/>
    <w:rsid w:val="00492A02"/>
    <w:rsid w:val="004933DF"/>
    <w:rsid w:val="00494670"/>
    <w:rsid w:val="0049468A"/>
    <w:rsid w:val="004950C8"/>
    <w:rsid w:val="00495331"/>
    <w:rsid w:val="00495AA8"/>
    <w:rsid w:val="004965EC"/>
    <w:rsid w:val="004968F3"/>
    <w:rsid w:val="004A03C6"/>
    <w:rsid w:val="004A123D"/>
    <w:rsid w:val="004A15BD"/>
    <w:rsid w:val="004A1878"/>
    <w:rsid w:val="004A2326"/>
    <w:rsid w:val="004A3823"/>
    <w:rsid w:val="004A45F1"/>
    <w:rsid w:val="004A747F"/>
    <w:rsid w:val="004A75C6"/>
    <w:rsid w:val="004A7AA7"/>
    <w:rsid w:val="004A7ED9"/>
    <w:rsid w:val="004B00A6"/>
    <w:rsid w:val="004B0A7A"/>
    <w:rsid w:val="004B0C08"/>
    <w:rsid w:val="004B28F2"/>
    <w:rsid w:val="004B2B09"/>
    <w:rsid w:val="004B2F34"/>
    <w:rsid w:val="004B4ADB"/>
    <w:rsid w:val="004B6FD7"/>
    <w:rsid w:val="004B74F0"/>
    <w:rsid w:val="004C10CB"/>
    <w:rsid w:val="004C29D2"/>
    <w:rsid w:val="004C30DE"/>
    <w:rsid w:val="004C359D"/>
    <w:rsid w:val="004C3739"/>
    <w:rsid w:val="004C38B8"/>
    <w:rsid w:val="004C44A4"/>
    <w:rsid w:val="004C4E76"/>
    <w:rsid w:val="004C52D2"/>
    <w:rsid w:val="004C5EF3"/>
    <w:rsid w:val="004C729A"/>
    <w:rsid w:val="004C750B"/>
    <w:rsid w:val="004D0803"/>
    <w:rsid w:val="004D0848"/>
    <w:rsid w:val="004D145B"/>
    <w:rsid w:val="004D1BC5"/>
    <w:rsid w:val="004D1D21"/>
    <w:rsid w:val="004D2111"/>
    <w:rsid w:val="004D2A46"/>
    <w:rsid w:val="004D31D7"/>
    <w:rsid w:val="004D35F7"/>
    <w:rsid w:val="004D367E"/>
    <w:rsid w:val="004D49A5"/>
    <w:rsid w:val="004D5D5E"/>
    <w:rsid w:val="004D6467"/>
    <w:rsid w:val="004E10CC"/>
    <w:rsid w:val="004E12E4"/>
    <w:rsid w:val="004E1A33"/>
    <w:rsid w:val="004E2C23"/>
    <w:rsid w:val="004E3A85"/>
    <w:rsid w:val="004E3D38"/>
    <w:rsid w:val="004E55A7"/>
    <w:rsid w:val="004E5ECA"/>
    <w:rsid w:val="004E6946"/>
    <w:rsid w:val="004E77D8"/>
    <w:rsid w:val="004F0513"/>
    <w:rsid w:val="004F0707"/>
    <w:rsid w:val="004F1AD8"/>
    <w:rsid w:val="004F1C1A"/>
    <w:rsid w:val="004F1EDB"/>
    <w:rsid w:val="004F38EB"/>
    <w:rsid w:val="004F47A1"/>
    <w:rsid w:val="004F512C"/>
    <w:rsid w:val="004F69A7"/>
    <w:rsid w:val="004F6A7A"/>
    <w:rsid w:val="004F7766"/>
    <w:rsid w:val="005001DD"/>
    <w:rsid w:val="005005A3"/>
    <w:rsid w:val="00500D4F"/>
    <w:rsid w:val="00501E52"/>
    <w:rsid w:val="005038EF"/>
    <w:rsid w:val="005039CB"/>
    <w:rsid w:val="00503A0E"/>
    <w:rsid w:val="00503F22"/>
    <w:rsid w:val="00505111"/>
    <w:rsid w:val="0050558F"/>
    <w:rsid w:val="00506286"/>
    <w:rsid w:val="005065D8"/>
    <w:rsid w:val="005076DF"/>
    <w:rsid w:val="00510813"/>
    <w:rsid w:val="0051101D"/>
    <w:rsid w:val="00511189"/>
    <w:rsid w:val="005116E9"/>
    <w:rsid w:val="00511990"/>
    <w:rsid w:val="00511A3A"/>
    <w:rsid w:val="00511A8D"/>
    <w:rsid w:val="00511DE0"/>
    <w:rsid w:val="005120BE"/>
    <w:rsid w:val="0051306B"/>
    <w:rsid w:val="00514870"/>
    <w:rsid w:val="00514B9B"/>
    <w:rsid w:val="00515560"/>
    <w:rsid w:val="00516CE3"/>
    <w:rsid w:val="0051760B"/>
    <w:rsid w:val="00517906"/>
    <w:rsid w:val="00517CE6"/>
    <w:rsid w:val="00517F02"/>
    <w:rsid w:val="00522489"/>
    <w:rsid w:val="00522492"/>
    <w:rsid w:val="00524303"/>
    <w:rsid w:val="00524847"/>
    <w:rsid w:val="005258A2"/>
    <w:rsid w:val="00526204"/>
    <w:rsid w:val="00526241"/>
    <w:rsid w:val="00526881"/>
    <w:rsid w:val="005270B6"/>
    <w:rsid w:val="00530AA0"/>
    <w:rsid w:val="00530E76"/>
    <w:rsid w:val="005332A8"/>
    <w:rsid w:val="00533300"/>
    <w:rsid w:val="00533C9B"/>
    <w:rsid w:val="0053465F"/>
    <w:rsid w:val="005348A7"/>
    <w:rsid w:val="00534B93"/>
    <w:rsid w:val="00535D91"/>
    <w:rsid w:val="00536766"/>
    <w:rsid w:val="00536B90"/>
    <w:rsid w:val="00536C09"/>
    <w:rsid w:val="00540021"/>
    <w:rsid w:val="005401AE"/>
    <w:rsid w:val="0054081B"/>
    <w:rsid w:val="00540E85"/>
    <w:rsid w:val="0054168F"/>
    <w:rsid w:val="00541EFD"/>
    <w:rsid w:val="00542E07"/>
    <w:rsid w:val="00543035"/>
    <w:rsid w:val="00545424"/>
    <w:rsid w:val="00545CA0"/>
    <w:rsid w:val="00547B50"/>
    <w:rsid w:val="00550486"/>
    <w:rsid w:val="00550611"/>
    <w:rsid w:val="00550E20"/>
    <w:rsid w:val="00552062"/>
    <w:rsid w:val="005533E4"/>
    <w:rsid w:val="00554A7B"/>
    <w:rsid w:val="00554F43"/>
    <w:rsid w:val="0055572C"/>
    <w:rsid w:val="005558B3"/>
    <w:rsid w:val="00557EC2"/>
    <w:rsid w:val="0056041E"/>
    <w:rsid w:val="00560647"/>
    <w:rsid w:val="00560756"/>
    <w:rsid w:val="00560790"/>
    <w:rsid w:val="00560E5E"/>
    <w:rsid w:val="00560FCF"/>
    <w:rsid w:val="0056106A"/>
    <w:rsid w:val="005613BF"/>
    <w:rsid w:val="005628C6"/>
    <w:rsid w:val="00563D21"/>
    <w:rsid w:val="00564157"/>
    <w:rsid w:val="00564240"/>
    <w:rsid w:val="00564F09"/>
    <w:rsid w:val="00565570"/>
    <w:rsid w:val="00565DD2"/>
    <w:rsid w:val="00567E50"/>
    <w:rsid w:val="0057081C"/>
    <w:rsid w:val="005714D5"/>
    <w:rsid w:val="005718D5"/>
    <w:rsid w:val="005720AE"/>
    <w:rsid w:val="005722F3"/>
    <w:rsid w:val="00573B1D"/>
    <w:rsid w:val="005750AD"/>
    <w:rsid w:val="00575C4F"/>
    <w:rsid w:val="00577C32"/>
    <w:rsid w:val="005830FA"/>
    <w:rsid w:val="005831B7"/>
    <w:rsid w:val="00583264"/>
    <w:rsid w:val="00585A21"/>
    <w:rsid w:val="005865EC"/>
    <w:rsid w:val="00586F9F"/>
    <w:rsid w:val="00587A35"/>
    <w:rsid w:val="005901D7"/>
    <w:rsid w:val="00592C9C"/>
    <w:rsid w:val="00592FDD"/>
    <w:rsid w:val="005937C5"/>
    <w:rsid w:val="00594BA0"/>
    <w:rsid w:val="00594D77"/>
    <w:rsid w:val="0059606A"/>
    <w:rsid w:val="00596917"/>
    <w:rsid w:val="005969E4"/>
    <w:rsid w:val="005A0215"/>
    <w:rsid w:val="005A06B7"/>
    <w:rsid w:val="005A0A3D"/>
    <w:rsid w:val="005A0D64"/>
    <w:rsid w:val="005A13C1"/>
    <w:rsid w:val="005A1759"/>
    <w:rsid w:val="005A1AD0"/>
    <w:rsid w:val="005A1B3A"/>
    <w:rsid w:val="005A2666"/>
    <w:rsid w:val="005A3243"/>
    <w:rsid w:val="005A32EB"/>
    <w:rsid w:val="005A4F0E"/>
    <w:rsid w:val="005A5769"/>
    <w:rsid w:val="005A673A"/>
    <w:rsid w:val="005A68A7"/>
    <w:rsid w:val="005A6F34"/>
    <w:rsid w:val="005A7E3A"/>
    <w:rsid w:val="005B0CE0"/>
    <w:rsid w:val="005B2D2F"/>
    <w:rsid w:val="005B44D4"/>
    <w:rsid w:val="005B6209"/>
    <w:rsid w:val="005B6EFA"/>
    <w:rsid w:val="005B6F08"/>
    <w:rsid w:val="005B7634"/>
    <w:rsid w:val="005C0CC9"/>
    <w:rsid w:val="005C20DC"/>
    <w:rsid w:val="005C3113"/>
    <w:rsid w:val="005C41CB"/>
    <w:rsid w:val="005C42DA"/>
    <w:rsid w:val="005C6BE2"/>
    <w:rsid w:val="005D0BD3"/>
    <w:rsid w:val="005D125A"/>
    <w:rsid w:val="005D24AF"/>
    <w:rsid w:val="005D36AB"/>
    <w:rsid w:val="005D602C"/>
    <w:rsid w:val="005D613F"/>
    <w:rsid w:val="005D6983"/>
    <w:rsid w:val="005D7122"/>
    <w:rsid w:val="005D71DC"/>
    <w:rsid w:val="005D7A9D"/>
    <w:rsid w:val="005E0BB0"/>
    <w:rsid w:val="005E207C"/>
    <w:rsid w:val="005E2B65"/>
    <w:rsid w:val="005E340C"/>
    <w:rsid w:val="005E36F0"/>
    <w:rsid w:val="005E3D00"/>
    <w:rsid w:val="005E3FF1"/>
    <w:rsid w:val="005E4255"/>
    <w:rsid w:val="005E4EC6"/>
    <w:rsid w:val="005E677B"/>
    <w:rsid w:val="005E680F"/>
    <w:rsid w:val="005E71FC"/>
    <w:rsid w:val="005E733B"/>
    <w:rsid w:val="005F0E75"/>
    <w:rsid w:val="005F20C1"/>
    <w:rsid w:val="005F464B"/>
    <w:rsid w:val="005F5D68"/>
    <w:rsid w:val="005F642F"/>
    <w:rsid w:val="005F76DF"/>
    <w:rsid w:val="005F779F"/>
    <w:rsid w:val="005F7F50"/>
    <w:rsid w:val="00600563"/>
    <w:rsid w:val="00601C64"/>
    <w:rsid w:val="00603D25"/>
    <w:rsid w:val="0060401C"/>
    <w:rsid w:val="00605824"/>
    <w:rsid w:val="006072AB"/>
    <w:rsid w:val="00607F55"/>
    <w:rsid w:val="00611194"/>
    <w:rsid w:val="00611427"/>
    <w:rsid w:val="0061239F"/>
    <w:rsid w:val="00612E62"/>
    <w:rsid w:val="006133BC"/>
    <w:rsid w:val="006136E1"/>
    <w:rsid w:val="00613B9E"/>
    <w:rsid w:val="0061518A"/>
    <w:rsid w:val="006151D3"/>
    <w:rsid w:val="00615273"/>
    <w:rsid w:val="0061553E"/>
    <w:rsid w:val="00615E4D"/>
    <w:rsid w:val="00615EDB"/>
    <w:rsid w:val="0061615D"/>
    <w:rsid w:val="0061649D"/>
    <w:rsid w:val="00617435"/>
    <w:rsid w:val="00617CC3"/>
    <w:rsid w:val="00622038"/>
    <w:rsid w:val="00622AE8"/>
    <w:rsid w:val="00622C52"/>
    <w:rsid w:val="00625069"/>
    <w:rsid w:val="00626404"/>
    <w:rsid w:val="00626610"/>
    <w:rsid w:val="00630269"/>
    <w:rsid w:val="00630618"/>
    <w:rsid w:val="00631139"/>
    <w:rsid w:val="00631B81"/>
    <w:rsid w:val="00631F37"/>
    <w:rsid w:val="00634E6F"/>
    <w:rsid w:val="00635C03"/>
    <w:rsid w:val="00635D92"/>
    <w:rsid w:val="00636064"/>
    <w:rsid w:val="0063645E"/>
    <w:rsid w:val="00636A52"/>
    <w:rsid w:val="00636F6C"/>
    <w:rsid w:val="006371CC"/>
    <w:rsid w:val="006377A6"/>
    <w:rsid w:val="006377C6"/>
    <w:rsid w:val="00637A3D"/>
    <w:rsid w:val="0064112F"/>
    <w:rsid w:val="006411E0"/>
    <w:rsid w:val="006411EF"/>
    <w:rsid w:val="0064130B"/>
    <w:rsid w:val="006413FE"/>
    <w:rsid w:val="006414AA"/>
    <w:rsid w:val="00641D01"/>
    <w:rsid w:val="00641ECC"/>
    <w:rsid w:val="0064221F"/>
    <w:rsid w:val="00642AA1"/>
    <w:rsid w:val="00642EC4"/>
    <w:rsid w:val="00643B9C"/>
    <w:rsid w:val="00644321"/>
    <w:rsid w:val="00644405"/>
    <w:rsid w:val="0064491C"/>
    <w:rsid w:val="0064649A"/>
    <w:rsid w:val="006466E3"/>
    <w:rsid w:val="00650187"/>
    <w:rsid w:val="00652EF2"/>
    <w:rsid w:val="0065386F"/>
    <w:rsid w:val="00653ABA"/>
    <w:rsid w:val="006540DF"/>
    <w:rsid w:val="00654711"/>
    <w:rsid w:val="00654C23"/>
    <w:rsid w:val="00654FF9"/>
    <w:rsid w:val="0065560F"/>
    <w:rsid w:val="006558CB"/>
    <w:rsid w:val="00655C20"/>
    <w:rsid w:val="00655DBA"/>
    <w:rsid w:val="0065799B"/>
    <w:rsid w:val="006607CE"/>
    <w:rsid w:val="00660B94"/>
    <w:rsid w:val="00661947"/>
    <w:rsid w:val="00661AF5"/>
    <w:rsid w:val="00661F60"/>
    <w:rsid w:val="00662E67"/>
    <w:rsid w:val="0066322C"/>
    <w:rsid w:val="00663BFA"/>
    <w:rsid w:val="00663E03"/>
    <w:rsid w:val="00664655"/>
    <w:rsid w:val="006648BE"/>
    <w:rsid w:val="006648D7"/>
    <w:rsid w:val="00665698"/>
    <w:rsid w:val="0067186D"/>
    <w:rsid w:val="00671ECC"/>
    <w:rsid w:val="006748B8"/>
    <w:rsid w:val="00674E50"/>
    <w:rsid w:val="0067502B"/>
    <w:rsid w:val="00676140"/>
    <w:rsid w:val="00676873"/>
    <w:rsid w:val="006775C3"/>
    <w:rsid w:val="00680B0A"/>
    <w:rsid w:val="006817CE"/>
    <w:rsid w:val="006818AA"/>
    <w:rsid w:val="006818AC"/>
    <w:rsid w:val="00681B01"/>
    <w:rsid w:val="00681F24"/>
    <w:rsid w:val="006820EF"/>
    <w:rsid w:val="00682377"/>
    <w:rsid w:val="00682951"/>
    <w:rsid w:val="00683C17"/>
    <w:rsid w:val="00684CCE"/>
    <w:rsid w:val="0068504D"/>
    <w:rsid w:val="00685242"/>
    <w:rsid w:val="00686227"/>
    <w:rsid w:val="00686E25"/>
    <w:rsid w:val="006877D7"/>
    <w:rsid w:val="00691869"/>
    <w:rsid w:val="00691EC3"/>
    <w:rsid w:val="00692236"/>
    <w:rsid w:val="00692430"/>
    <w:rsid w:val="00692722"/>
    <w:rsid w:val="0069290A"/>
    <w:rsid w:val="00692CAD"/>
    <w:rsid w:val="006935D6"/>
    <w:rsid w:val="00694313"/>
    <w:rsid w:val="006945DC"/>
    <w:rsid w:val="00695763"/>
    <w:rsid w:val="006962E9"/>
    <w:rsid w:val="006964E1"/>
    <w:rsid w:val="0069662D"/>
    <w:rsid w:val="006966BF"/>
    <w:rsid w:val="00696E5F"/>
    <w:rsid w:val="00696FAB"/>
    <w:rsid w:val="00697006"/>
    <w:rsid w:val="00697146"/>
    <w:rsid w:val="0069775A"/>
    <w:rsid w:val="00697813"/>
    <w:rsid w:val="006A0909"/>
    <w:rsid w:val="006A10FA"/>
    <w:rsid w:val="006A1531"/>
    <w:rsid w:val="006A1869"/>
    <w:rsid w:val="006A2E5D"/>
    <w:rsid w:val="006A3A1B"/>
    <w:rsid w:val="006A3A7F"/>
    <w:rsid w:val="006A3DB4"/>
    <w:rsid w:val="006A3DD8"/>
    <w:rsid w:val="006A3EE8"/>
    <w:rsid w:val="006A4C70"/>
    <w:rsid w:val="006A4D95"/>
    <w:rsid w:val="006A4DFB"/>
    <w:rsid w:val="006A5094"/>
    <w:rsid w:val="006A567A"/>
    <w:rsid w:val="006A6DEE"/>
    <w:rsid w:val="006A72BF"/>
    <w:rsid w:val="006A7362"/>
    <w:rsid w:val="006A7488"/>
    <w:rsid w:val="006A77B5"/>
    <w:rsid w:val="006A7FAC"/>
    <w:rsid w:val="006B03F2"/>
    <w:rsid w:val="006B09F5"/>
    <w:rsid w:val="006B0B20"/>
    <w:rsid w:val="006B1A48"/>
    <w:rsid w:val="006B200B"/>
    <w:rsid w:val="006B3151"/>
    <w:rsid w:val="006B37DC"/>
    <w:rsid w:val="006B3AF6"/>
    <w:rsid w:val="006B4F68"/>
    <w:rsid w:val="006B5B70"/>
    <w:rsid w:val="006B67D9"/>
    <w:rsid w:val="006B77FF"/>
    <w:rsid w:val="006C0592"/>
    <w:rsid w:val="006C05B7"/>
    <w:rsid w:val="006C23A0"/>
    <w:rsid w:val="006C23C0"/>
    <w:rsid w:val="006C26D3"/>
    <w:rsid w:val="006C272E"/>
    <w:rsid w:val="006C2964"/>
    <w:rsid w:val="006C4C85"/>
    <w:rsid w:val="006C534D"/>
    <w:rsid w:val="006C5479"/>
    <w:rsid w:val="006C62EC"/>
    <w:rsid w:val="006D13A5"/>
    <w:rsid w:val="006D13B5"/>
    <w:rsid w:val="006D1A84"/>
    <w:rsid w:val="006D2923"/>
    <w:rsid w:val="006D2B80"/>
    <w:rsid w:val="006D329E"/>
    <w:rsid w:val="006D345E"/>
    <w:rsid w:val="006D3E46"/>
    <w:rsid w:val="006D3EBA"/>
    <w:rsid w:val="006D40AD"/>
    <w:rsid w:val="006D546D"/>
    <w:rsid w:val="006D6F57"/>
    <w:rsid w:val="006D7614"/>
    <w:rsid w:val="006E00C4"/>
    <w:rsid w:val="006E0CD6"/>
    <w:rsid w:val="006E0DE9"/>
    <w:rsid w:val="006E12FF"/>
    <w:rsid w:val="006E2834"/>
    <w:rsid w:val="006E334B"/>
    <w:rsid w:val="006E3F31"/>
    <w:rsid w:val="006E402D"/>
    <w:rsid w:val="006E44DB"/>
    <w:rsid w:val="006E4770"/>
    <w:rsid w:val="006E4E80"/>
    <w:rsid w:val="006E512F"/>
    <w:rsid w:val="006E513D"/>
    <w:rsid w:val="006E524D"/>
    <w:rsid w:val="006E607E"/>
    <w:rsid w:val="006E6AA0"/>
    <w:rsid w:val="006E6F5D"/>
    <w:rsid w:val="006E73BD"/>
    <w:rsid w:val="006E7ECA"/>
    <w:rsid w:val="006F035F"/>
    <w:rsid w:val="006F133E"/>
    <w:rsid w:val="006F1DD6"/>
    <w:rsid w:val="006F285D"/>
    <w:rsid w:val="006F2889"/>
    <w:rsid w:val="006F28C7"/>
    <w:rsid w:val="006F2F6E"/>
    <w:rsid w:val="006F3028"/>
    <w:rsid w:val="006F5283"/>
    <w:rsid w:val="006F5467"/>
    <w:rsid w:val="006F6577"/>
    <w:rsid w:val="006F6F9D"/>
    <w:rsid w:val="006F70BF"/>
    <w:rsid w:val="006F78F6"/>
    <w:rsid w:val="006F7DF3"/>
    <w:rsid w:val="0070021E"/>
    <w:rsid w:val="007009F2"/>
    <w:rsid w:val="0070153C"/>
    <w:rsid w:val="007015B1"/>
    <w:rsid w:val="007019AD"/>
    <w:rsid w:val="007043E8"/>
    <w:rsid w:val="007043FA"/>
    <w:rsid w:val="007049A9"/>
    <w:rsid w:val="00704C40"/>
    <w:rsid w:val="00705135"/>
    <w:rsid w:val="0070632D"/>
    <w:rsid w:val="007066B2"/>
    <w:rsid w:val="00706C5D"/>
    <w:rsid w:val="007071BA"/>
    <w:rsid w:val="00707592"/>
    <w:rsid w:val="0070777A"/>
    <w:rsid w:val="00707D5C"/>
    <w:rsid w:val="007107A5"/>
    <w:rsid w:val="007116F3"/>
    <w:rsid w:val="007123AB"/>
    <w:rsid w:val="007140A7"/>
    <w:rsid w:val="007140FF"/>
    <w:rsid w:val="00715443"/>
    <w:rsid w:val="007165B7"/>
    <w:rsid w:val="007173F2"/>
    <w:rsid w:val="00717A36"/>
    <w:rsid w:val="00717C19"/>
    <w:rsid w:val="00717F6B"/>
    <w:rsid w:val="0072006C"/>
    <w:rsid w:val="00722546"/>
    <w:rsid w:val="00722B7B"/>
    <w:rsid w:val="00723625"/>
    <w:rsid w:val="007256BE"/>
    <w:rsid w:val="00727E24"/>
    <w:rsid w:val="00731FC7"/>
    <w:rsid w:val="0073213D"/>
    <w:rsid w:val="00732922"/>
    <w:rsid w:val="00732ACA"/>
    <w:rsid w:val="007337E4"/>
    <w:rsid w:val="007339D7"/>
    <w:rsid w:val="00733C38"/>
    <w:rsid w:val="00734AE0"/>
    <w:rsid w:val="007352E0"/>
    <w:rsid w:val="007352E4"/>
    <w:rsid w:val="00735921"/>
    <w:rsid w:val="00735C52"/>
    <w:rsid w:val="0073662C"/>
    <w:rsid w:val="00736BB1"/>
    <w:rsid w:val="00736FA4"/>
    <w:rsid w:val="00737CCB"/>
    <w:rsid w:val="0074190B"/>
    <w:rsid w:val="00741C00"/>
    <w:rsid w:val="00741DCC"/>
    <w:rsid w:val="007429EB"/>
    <w:rsid w:val="007435A3"/>
    <w:rsid w:val="00745370"/>
    <w:rsid w:val="007466C3"/>
    <w:rsid w:val="00747112"/>
    <w:rsid w:val="0074739C"/>
    <w:rsid w:val="007506C9"/>
    <w:rsid w:val="0075162E"/>
    <w:rsid w:val="007516AA"/>
    <w:rsid w:val="0075259E"/>
    <w:rsid w:val="0075356B"/>
    <w:rsid w:val="00754034"/>
    <w:rsid w:val="00754B04"/>
    <w:rsid w:val="00755946"/>
    <w:rsid w:val="00756067"/>
    <w:rsid w:val="0075648D"/>
    <w:rsid w:val="00756556"/>
    <w:rsid w:val="0075747D"/>
    <w:rsid w:val="00757E6E"/>
    <w:rsid w:val="00760844"/>
    <w:rsid w:val="007617F9"/>
    <w:rsid w:val="007618C4"/>
    <w:rsid w:val="00762006"/>
    <w:rsid w:val="00762D12"/>
    <w:rsid w:val="0076356B"/>
    <w:rsid w:val="007653E7"/>
    <w:rsid w:val="00765875"/>
    <w:rsid w:val="00765D59"/>
    <w:rsid w:val="00766595"/>
    <w:rsid w:val="00767980"/>
    <w:rsid w:val="00767A52"/>
    <w:rsid w:val="007704A8"/>
    <w:rsid w:val="00770B19"/>
    <w:rsid w:val="00771CB5"/>
    <w:rsid w:val="007724C2"/>
    <w:rsid w:val="007727B8"/>
    <w:rsid w:val="0077463F"/>
    <w:rsid w:val="00774D3A"/>
    <w:rsid w:val="00775117"/>
    <w:rsid w:val="0077563A"/>
    <w:rsid w:val="00775E6E"/>
    <w:rsid w:val="007777CF"/>
    <w:rsid w:val="00780966"/>
    <w:rsid w:val="00782196"/>
    <w:rsid w:val="00782504"/>
    <w:rsid w:val="0078268B"/>
    <w:rsid w:val="00783063"/>
    <w:rsid w:val="00783087"/>
    <w:rsid w:val="0078329C"/>
    <w:rsid w:val="007836CB"/>
    <w:rsid w:val="007836EA"/>
    <w:rsid w:val="0078391A"/>
    <w:rsid w:val="00784CDA"/>
    <w:rsid w:val="00784EF7"/>
    <w:rsid w:val="00785A40"/>
    <w:rsid w:val="0078744B"/>
    <w:rsid w:val="0078763D"/>
    <w:rsid w:val="007906C4"/>
    <w:rsid w:val="00791249"/>
    <w:rsid w:val="007914F5"/>
    <w:rsid w:val="00792C14"/>
    <w:rsid w:val="00793423"/>
    <w:rsid w:val="0079396C"/>
    <w:rsid w:val="00793E26"/>
    <w:rsid w:val="00793F79"/>
    <w:rsid w:val="007940EA"/>
    <w:rsid w:val="007943B3"/>
    <w:rsid w:val="0079492E"/>
    <w:rsid w:val="00794A30"/>
    <w:rsid w:val="00795980"/>
    <w:rsid w:val="00796568"/>
    <w:rsid w:val="007967E8"/>
    <w:rsid w:val="007973F5"/>
    <w:rsid w:val="00797EDD"/>
    <w:rsid w:val="007A03B1"/>
    <w:rsid w:val="007A0653"/>
    <w:rsid w:val="007A0DFF"/>
    <w:rsid w:val="007A2170"/>
    <w:rsid w:val="007A22BF"/>
    <w:rsid w:val="007A252A"/>
    <w:rsid w:val="007A25F4"/>
    <w:rsid w:val="007A29A8"/>
    <w:rsid w:val="007A2B2C"/>
    <w:rsid w:val="007A3323"/>
    <w:rsid w:val="007A3F78"/>
    <w:rsid w:val="007A424D"/>
    <w:rsid w:val="007A547A"/>
    <w:rsid w:val="007A5877"/>
    <w:rsid w:val="007A6889"/>
    <w:rsid w:val="007B10A5"/>
    <w:rsid w:val="007B44D3"/>
    <w:rsid w:val="007B488F"/>
    <w:rsid w:val="007B6221"/>
    <w:rsid w:val="007B63FF"/>
    <w:rsid w:val="007B644F"/>
    <w:rsid w:val="007B6BEE"/>
    <w:rsid w:val="007B6E8F"/>
    <w:rsid w:val="007B72B8"/>
    <w:rsid w:val="007B72D2"/>
    <w:rsid w:val="007B7A58"/>
    <w:rsid w:val="007B7E27"/>
    <w:rsid w:val="007C01E3"/>
    <w:rsid w:val="007C04B2"/>
    <w:rsid w:val="007C0970"/>
    <w:rsid w:val="007C0CD6"/>
    <w:rsid w:val="007C1708"/>
    <w:rsid w:val="007C21B5"/>
    <w:rsid w:val="007C3A19"/>
    <w:rsid w:val="007C44BC"/>
    <w:rsid w:val="007C4922"/>
    <w:rsid w:val="007C59A9"/>
    <w:rsid w:val="007C74DD"/>
    <w:rsid w:val="007D182A"/>
    <w:rsid w:val="007D421F"/>
    <w:rsid w:val="007D530E"/>
    <w:rsid w:val="007D5EB4"/>
    <w:rsid w:val="007D721E"/>
    <w:rsid w:val="007D7354"/>
    <w:rsid w:val="007D7D19"/>
    <w:rsid w:val="007E0925"/>
    <w:rsid w:val="007E2E03"/>
    <w:rsid w:val="007E426F"/>
    <w:rsid w:val="007E4967"/>
    <w:rsid w:val="007E4BD2"/>
    <w:rsid w:val="007E57AD"/>
    <w:rsid w:val="007E6BEE"/>
    <w:rsid w:val="007E7A67"/>
    <w:rsid w:val="007F04CF"/>
    <w:rsid w:val="007F0CE8"/>
    <w:rsid w:val="007F21C3"/>
    <w:rsid w:val="007F470F"/>
    <w:rsid w:val="007F53A2"/>
    <w:rsid w:val="007F579D"/>
    <w:rsid w:val="007F5881"/>
    <w:rsid w:val="007F5C2F"/>
    <w:rsid w:val="007F683B"/>
    <w:rsid w:val="007F79E7"/>
    <w:rsid w:val="00801189"/>
    <w:rsid w:val="00801393"/>
    <w:rsid w:val="00802BAB"/>
    <w:rsid w:val="00802F88"/>
    <w:rsid w:val="00803111"/>
    <w:rsid w:val="00803CD4"/>
    <w:rsid w:val="00803D8D"/>
    <w:rsid w:val="00806941"/>
    <w:rsid w:val="00807AE3"/>
    <w:rsid w:val="00810DF5"/>
    <w:rsid w:val="00810F3B"/>
    <w:rsid w:val="00811073"/>
    <w:rsid w:val="008123DA"/>
    <w:rsid w:val="0081293E"/>
    <w:rsid w:val="00812E45"/>
    <w:rsid w:val="00812F27"/>
    <w:rsid w:val="00812F3C"/>
    <w:rsid w:val="00815465"/>
    <w:rsid w:val="0081659E"/>
    <w:rsid w:val="00817709"/>
    <w:rsid w:val="00817E9A"/>
    <w:rsid w:val="0082002B"/>
    <w:rsid w:val="00820847"/>
    <w:rsid w:val="00821CE6"/>
    <w:rsid w:val="00821E54"/>
    <w:rsid w:val="0082363A"/>
    <w:rsid w:val="00823752"/>
    <w:rsid w:val="00823E88"/>
    <w:rsid w:val="00825FC3"/>
    <w:rsid w:val="00826B72"/>
    <w:rsid w:val="00826BCF"/>
    <w:rsid w:val="00827728"/>
    <w:rsid w:val="00827A66"/>
    <w:rsid w:val="00827CBA"/>
    <w:rsid w:val="00830610"/>
    <w:rsid w:val="008306BD"/>
    <w:rsid w:val="00831470"/>
    <w:rsid w:val="00831485"/>
    <w:rsid w:val="00831A80"/>
    <w:rsid w:val="00832D9C"/>
    <w:rsid w:val="00833163"/>
    <w:rsid w:val="0083361C"/>
    <w:rsid w:val="00833743"/>
    <w:rsid w:val="008340A4"/>
    <w:rsid w:val="008346FC"/>
    <w:rsid w:val="00834B3F"/>
    <w:rsid w:val="00834B51"/>
    <w:rsid w:val="0083548A"/>
    <w:rsid w:val="008368B4"/>
    <w:rsid w:val="00843F2B"/>
    <w:rsid w:val="00844E3D"/>
    <w:rsid w:val="00845ACB"/>
    <w:rsid w:val="00846323"/>
    <w:rsid w:val="0084776C"/>
    <w:rsid w:val="008502EE"/>
    <w:rsid w:val="00850E1F"/>
    <w:rsid w:val="00851BB3"/>
    <w:rsid w:val="00851E35"/>
    <w:rsid w:val="00852FCD"/>
    <w:rsid w:val="0085314D"/>
    <w:rsid w:val="00853174"/>
    <w:rsid w:val="0085361F"/>
    <w:rsid w:val="00854338"/>
    <w:rsid w:val="00854EE1"/>
    <w:rsid w:val="008564F2"/>
    <w:rsid w:val="00856A89"/>
    <w:rsid w:val="00860364"/>
    <w:rsid w:val="008603E0"/>
    <w:rsid w:val="00860408"/>
    <w:rsid w:val="00861D05"/>
    <w:rsid w:val="0086300F"/>
    <w:rsid w:val="00863505"/>
    <w:rsid w:val="00863FA1"/>
    <w:rsid w:val="008645E0"/>
    <w:rsid w:val="00864F98"/>
    <w:rsid w:val="008656A5"/>
    <w:rsid w:val="008661CC"/>
    <w:rsid w:val="008666D5"/>
    <w:rsid w:val="00866A61"/>
    <w:rsid w:val="008670AD"/>
    <w:rsid w:val="0087135F"/>
    <w:rsid w:val="00872B8E"/>
    <w:rsid w:val="00872D94"/>
    <w:rsid w:val="00873751"/>
    <w:rsid w:val="0087506A"/>
    <w:rsid w:val="008755ED"/>
    <w:rsid w:val="00875FE9"/>
    <w:rsid w:val="008760E4"/>
    <w:rsid w:val="0087666C"/>
    <w:rsid w:val="00877B8A"/>
    <w:rsid w:val="00880364"/>
    <w:rsid w:val="008804B3"/>
    <w:rsid w:val="00880FDA"/>
    <w:rsid w:val="0088191A"/>
    <w:rsid w:val="008830A9"/>
    <w:rsid w:val="00883700"/>
    <w:rsid w:val="00885B59"/>
    <w:rsid w:val="008870EE"/>
    <w:rsid w:val="008911E4"/>
    <w:rsid w:val="00891592"/>
    <w:rsid w:val="00891E9E"/>
    <w:rsid w:val="00892D52"/>
    <w:rsid w:val="00894BC0"/>
    <w:rsid w:val="0089509F"/>
    <w:rsid w:val="008953F6"/>
    <w:rsid w:val="00895A01"/>
    <w:rsid w:val="00897B57"/>
    <w:rsid w:val="008A01E1"/>
    <w:rsid w:val="008A048A"/>
    <w:rsid w:val="008A0BA0"/>
    <w:rsid w:val="008A2F68"/>
    <w:rsid w:val="008A4B1A"/>
    <w:rsid w:val="008A5AE1"/>
    <w:rsid w:val="008A61C1"/>
    <w:rsid w:val="008A633F"/>
    <w:rsid w:val="008A6B35"/>
    <w:rsid w:val="008B0734"/>
    <w:rsid w:val="008B17ED"/>
    <w:rsid w:val="008B2648"/>
    <w:rsid w:val="008B3D9F"/>
    <w:rsid w:val="008B4F51"/>
    <w:rsid w:val="008B4FA6"/>
    <w:rsid w:val="008B5282"/>
    <w:rsid w:val="008B52B4"/>
    <w:rsid w:val="008B6782"/>
    <w:rsid w:val="008B6AC0"/>
    <w:rsid w:val="008B6F48"/>
    <w:rsid w:val="008B7C17"/>
    <w:rsid w:val="008C0BDA"/>
    <w:rsid w:val="008C254A"/>
    <w:rsid w:val="008C2D01"/>
    <w:rsid w:val="008C3900"/>
    <w:rsid w:val="008C40E6"/>
    <w:rsid w:val="008C5157"/>
    <w:rsid w:val="008C5C3B"/>
    <w:rsid w:val="008C5D38"/>
    <w:rsid w:val="008C60D9"/>
    <w:rsid w:val="008C7B38"/>
    <w:rsid w:val="008C7BF3"/>
    <w:rsid w:val="008C7EEB"/>
    <w:rsid w:val="008D0CCA"/>
    <w:rsid w:val="008D0F7A"/>
    <w:rsid w:val="008D101C"/>
    <w:rsid w:val="008D11B7"/>
    <w:rsid w:val="008D1215"/>
    <w:rsid w:val="008D131E"/>
    <w:rsid w:val="008D145B"/>
    <w:rsid w:val="008D2321"/>
    <w:rsid w:val="008D2BCD"/>
    <w:rsid w:val="008D35B9"/>
    <w:rsid w:val="008D5879"/>
    <w:rsid w:val="008D5CCB"/>
    <w:rsid w:val="008D66C9"/>
    <w:rsid w:val="008D67B9"/>
    <w:rsid w:val="008D68E4"/>
    <w:rsid w:val="008D740E"/>
    <w:rsid w:val="008D7D3C"/>
    <w:rsid w:val="008E0506"/>
    <w:rsid w:val="008E09DE"/>
    <w:rsid w:val="008E0CFF"/>
    <w:rsid w:val="008E16E2"/>
    <w:rsid w:val="008E2705"/>
    <w:rsid w:val="008E2E2C"/>
    <w:rsid w:val="008E30B6"/>
    <w:rsid w:val="008E5871"/>
    <w:rsid w:val="008E58B2"/>
    <w:rsid w:val="008E5D6B"/>
    <w:rsid w:val="008E7471"/>
    <w:rsid w:val="008E76F0"/>
    <w:rsid w:val="008F0984"/>
    <w:rsid w:val="008F15FE"/>
    <w:rsid w:val="008F1E80"/>
    <w:rsid w:val="008F23B7"/>
    <w:rsid w:val="008F2D29"/>
    <w:rsid w:val="008F37B9"/>
    <w:rsid w:val="008F5187"/>
    <w:rsid w:val="008F5A92"/>
    <w:rsid w:val="008F60D8"/>
    <w:rsid w:val="008F6A32"/>
    <w:rsid w:val="008F7AE0"/>
    <w:rsid w:val="00901DB8"/>
    <w:rsid w:val="00902102"/>
    <w:rsid w:val="0090239D"/>
    <w:rsid w:val="00902727"/>
    <w:rsid w:val="009027CC"/>
    <w:rsid w:val="0090291B"/>
    <w:rsid w:val="0090312B"/>
    <w:rsid w:val="0090316D"/>
    <w:rsid w:val="009032E8"/>
    <w:rsid w:val="00904319"/>
    <w:rsid w:val="00904B5A"/>
    <w:rsid w:val="00905043"/>
    <w:rsid w:val="00905B33"/>
    <w:rsid w:val="0090613D"/>
    <w:rsid w:val="0091072F"/>
    <w:rsid w:val="00910C66"/>
    <w:rsid w:val="00911896"/>
    <w:rsid w:val="009119BF"/>
    <w:rsid w:val="00912073"/>
    <w:rsid w:val="00913B97"/>
    <w:rsid w:val="00915043"/>
    <w:rsid w:val="0091618C"/>
    <w:rsid w:val="0091736D"/>
    <w:rsid w:val="00920BA1"/>
    <w:rsid w:val="00921975"/>
    <w:rsid w:val="00921F73"/>
    <w:rsid w:val="00922DC4"/>
    <w:rsid w:val="00923181"/>
    <w:rsid w:val="009235C3"/>
    <w:rsid w:val="00923E55"/>
    <w:rsid w:val="009245D8"/>
    <w:rsid w:val="00925275"/>
    <w:rsid w:val="00925626"/>
    <w:rsid w:val="00925797"/>
    <w:rsid w:val="00930093"/>
    <w:rsid w:val="0093037A"/>
    <w:rsid w:val="00930CAD"/>
    <w:rsid w:val="00931467"/>
    <w:rsid w:val="00931C87"/>
    <w:rsid w:val="00932138"/>
    <w:rsid w:val="009328CC"/>
    <w:rsid w:val="00932CE3"/>
    <w:rsid w:val="00932D38"/>
    <w:rsid w:val="0093402E"/>
    <w:rsid w:val="00934307"/>
    <w:rsid w:val="009344D6"/>
    <w:rsid w:val="00934A55"/>
    <w:rsid w:val="00934AB8"/>
    <w:rsid w:val="00935A0B"/>
    <w:rsid w:val="00935EC9"/>
    <w:rsid w:val="009366C7"/>
    <w:rsid w:val="00936941"/>
    <w:rsid w:val="00937C23"/>
    <w:rsid w:val="0094080A"/>
    <w:rsid w:val="0094098E"/>
    <w:rsid w:val="0094126F"/>
    <w:rsid w:val="0094135E"/>
    <w:rsid w:val="0094154D"/>
    <w:rsid w:val="009419EB"/>
    <w:rsid w:val="0094582D"/>
    <w:rsid w:val="00945D7F"/>
    <w:rsid w:val="00945E54"/>
    <w:rsid w:val="00945F24"/>
    <w:rsid w:val="009473B1"/>
    <w:rsid w:val="0094774A"/>
    <w:rsid w:val="00947F8F"/>
    <w:rsid w:val="0095020B"/>
    <w:rsid w:val="0095155F"/>
    <w:rsid w:val="00951DB6"/>
    <w:rsid w:val="009520A3"/>
    <w:rsid w:val="00953798"/>
    <w:rsid w:val="00954429"/>
    <w:rsid w:val="009551B0"/>
    <w:rsid w:val="009557C1"/>
    <w:rsid w:val="009563CE"/>
    <w:rsid w:val="009575CF"/>
    <w:rsid w:val="009600AE"/>
    <w:rsid w:val="0096454E"/>
    <w:rsid w:val="00964731"/>
    <w:rsid w:val="009649BF"/>
    <w:rsid w:val="00965308"/>
    <w:rsid w:val="0096616D"/>
    <w:rsid w:val="0096716E"/>
    <w:rsid w:val="009705E5"/>
    <w:rsid w:val="009709B0"/>
    <w:rsid w:val="009712B9"/>
    <w:rsid w:val="009712FF"/>
    <w:rsid w:val="00972ECC"/>
    <w:rsid w:val="009749C7"/>
    <w:rsid w:val="00974FF4"/>
    <w:rsid w:val="0097504B"/>
    <w:rsid w:val="009750B4"/>
    <w:rsid w:val="00976328"/>
    <w:rsid w:val="00976794"/>
    <w:rsid w:val="0097680D"/>
    <w:rsid w:val="009769C1"/>
    <w:rsid w:val="00977312"/>
    <w:rsid w:val="00977717"/>
    <w:rsid w:val="00980428"/>
    <w:rsid w:val="00980748"/>
    <w:rsid w:val="00982326"/>
    <w:rsid w:val="00982438"/>
    <w:rsid w:val="00982ABF"/>
    <w:rsid w:val="00983992"/>
    <w:rsid w:val="0098404C"/>
    <w:rsid w:val="00984639"/>
    <w:rsid w:val="00984A8E"/>
    <w:rsid w:val="00985283"/>
    <w:rsid w:val="00986937"/>
    <w:rsid w:val="009901FA"/>
    <w:rsid w:val="00991BBF"/>
    <w:rsid w:val="009941FD"/>
    <w:rsid w:val="0099454F"/>
    <w:rsid w:val="00994EAC"/>
    <w:rsid w:val="00995992"/>
    <w:rsid w:val="009969BA"/>
    <w:rsid w:val="009A00BE"/>
    <w:rsid w:val="009A03E5"/>
    <w:rsid w:val="009A09D2"/>
    <w:rsid w:val="009A0E1B"/>
    <w:rsid w:val="009A0EA2"/>
    <w:rsid w:val="009A0F3B"/>
    <w:rsid w:val="009A1BB4"/>
    <w:rsid w:val="009A2628"/>
    <w:rsid w:val="009A2EB0"/>
    <w:rsid w:val="009A3200"/>
    <w:rsid w:val="009A348E"/>
    <w:rsid w:val="009A4245"/>
    <w:rsid w:val="009A5428"/>
    <w:rsid w:val="009A5508"/>
    <w:rsid w:val="009A6C0C"/>
    <w:rsid w:val="009A7281"/>
    <w:rsid w:val="009B0897"/>
    <w:rsid w:val="009B0DC8"/>
    <w:rsid w:val="009B17A0"/>
    <w:rsid w:val="009B1E4D"/>
    <w:rsid w:val="009B47B3"/>
    <w:rsid w:val="009B4ABA"/>
    <w:rsid w:val="009B7BD9"/>
    <w:rsid w:val="009C005C"/>
    <w:rsid w:val="009C0093"/>
    <w:rsid w:val="009C0183"/>
    <w:rsid w:val="009C0E71"/>
    <w:rsid w:val="009C1087"/>
    <w:rsid w:val="009C12A1"/>
    <w:rsid w:val="009C19F3"/>
    <w:rsid w:val="009C1CF1"/>
    <w:rsid w:val="009C204B"/>
    <w:rsid w:val="009C21B3"/>
    <w:rsid w:val="009C2956"/>
    <w:rsid w:val="009C2CA9"/>
    <w:rsid w:val="009C2F66"/>
    <w:rsid w:val="009C3639"/>
    <w:rsid w:val="009C4295"/>
    <w:rsid w:val="009C49D0"/>
    <w:rsid w:val="009C4E4A"/>
    <w:rsid w:val="009C6077"/>
    <w:rsid w:val="009C66ED"/>
    <w:rsid w:val="009C70AE"/>
    <w:rsid w:val="009C7328"/>
    <w:rsid w:val="009C7DD5"/>
    <w:rsid w:val="009D0EBA"/>
    <w:rsid w:val="009D1751"/>
    <w:rsid w:val="009D23C2"/>
    <w:rsid w:val="009D387D"/>
    <w:rsid w:val="009D4205"/>
    <w:rsid w:val="009D4D7B"/>
    <w:rsid w:val="009D5216"/>
    <w:rsid w:val="009D5582"/>
    <w:rsid w:val="009D5C55"/>
    <w:rsid w:val="009D61D2"/>
    <w:rsid w:val="009D6362"/>
    <w:rsid w:val="009D7247"/>
    <w:rsid w:val="009D731D"/>
    <w:rsid w:val="009D766B"/>
    <w:rsid w:val="009E0327"/>
    <w:rsid w:val="009E0922"/>
    <w:rsid w:val="009E1591"/>
    <w:rsid w:val="009E1BC2"/>
    <w:rsid w:val="009E227D"/>
    <w:rsid w:val="009E32B7"/>
    <w:rsid w:val="009E362E"/>
    <w:rsid w:val="009E3723"/>
    <w:rsid w:val="009E3FB7"/>
    <w:rsid w:val="009E47C1"/>
    <w:rsid w:val="009E4845"/>
    <w:rsid w:val="009E5019"/>
    <w:rsid w:val="009E54FD"/>
    <w:rsid w:val="009E5812"/>
    <w:rsid w:val="009E5F12"/>
    <w:rsid w:val="009E608B"/>
    <w:rsid w:val="009E66B3"/>
    <w:rsid w:val="009E6DD2"/>
    <w:rsid w:val="009F042C"/>
    <w:rsid w:val="009F1E48"/>
    <w:rsid w:val="009F36E6"/>
    <w:rsid w:val="009F5B64"/>
    <w:rsid w:val="009F5EA8"/>
    <w:rsid w:val="009F6B9F"/>
    <w:rsid w:val="009F6EC5"/>
    <w:rsid w:val="009F75DF"/>
    <w:rsid w:val="009F79B0"/>
    <w:rsid w:val="00A002EA"/>
    <w:rsid w:val="00A00577"/>
    <w:rsid w:val="00A01035"/>
    <w:rsid w:val="00A01412"/>
    <w:rsid w:val="00A014A6"/>
    <w:rsid w:val="00A01990"/>
    <w:rsid w:val="00A01BAB"/>
    <w:rsid w:val="00A03A3D"/>
    <w:rsid w:val="00A048AC"/>
    <w:rsid w:val="00A04F1B"/>
    <w:rsid w:val="00A0501B"/>
    <w:rsid w:val="00A0517E"/>
    <w:rsid w:val="00A0556D"/>
    <w:rsid w:val="00A05724"/>
    <w:rsid w:val="00A05AD7"/>
    <w:rsid w:val="00A05ADF"/>
    <w:rsid w:val="00A05E14"/>
    <w:rsid w:val="00A063F5"/>
    <w:rsid w:val="00A06B96"/>
    <w:rsid w:val="00A13F75"/>
    <w:rsid w:val="00A14390"/>
    <w:rsid w:val="00A146B6"/>
    <w:rsid w:val="00A14947"/>
    <w:rsid w:val="00A15D22"/>
    <w:rsid w:val="00A16C7F"/>
    <w:rsid w:val="00A16D92"/>
    <w:rsid w:val="00A1700C"/>
    <w:rsid w:val="00A17B3A"/>
    <w:rsid w:val="00A20185"/>
    <w:rsid w:val="00A20F8C"/>
    <w:rsid w:val="00A22B25"/>
    <w:rsid w:val="00A24FD9"/>
    <w:rsid w:val="00A25AC4"/>
    <w:rsid w:val="00A25B9B"/>
    <w:rsid w:val="00A25E16"/>
    <w:rsid w:val="00A2625E"/>
    <w:rsid w:val="00A3202F"/>
    <w:rsid w:val="00A32A83"/>
    <w:rsid w:val="00A32AEF"/>
    <w:rsid w:val="00A32D6C"/>
    <w:rsid w:val="00A32F26"/>
    <w:rsid w:val="00A34924"/>
    <w:rsid w:val="00A34DB9"/>
    <w:rsid w:val="00A34DD5"/>
    <w:rsid w:val="00A368DB"/>
    <w:rsid w:val="00A36BD7"/>
    <w:rsid w:val="00A377F5"/>
    <w:rsid w:val="00A414B0"/>
    <w:rsid w:val="00A423AA"/>
    <w:rsid w:val="00A42CCE"/>
    <w:rsid w:val="00A430B5"/>
    <w:rsid w:val="00A43708"/>
    <w:rsid w:val="00A43B10"/>
    <w:rsid w:val="00A43DE9"/>
    <w:rsid w:val="00A43FDF"/>
    <w:rsid w:val="00A44458"/>
    <w:rsid w:val="00A45014"/>
    <w:rsid w:val="00A45883"/>
    <w:rsid w:val="00A45953"/>
    <w:rsid w:val="00A46125"/>
    <w:rsid w:val="00A46634"/>
    <w:rsid w:val="00A47EC6"/>
    <w:rsid w:val="00A500DF"/>
    <w:rsid w:val="00A50759"/>
    <w:rsid w:val="00A509AB"/>
    <w:rsid w:val="00A51D58"/>
    <w:rsid w:val="00A53C1F"/>
    <w:rsid w:val="00A53EC6"/>
    <w:rsid w:val="00A54022"/>
    <w:rsid w:val="00A54A4A"/>
    <w:rsid w:val="00A55151"/>
    <w:rsid w:val="00A5553D"/>
    <w:rsid w:val="00A55554"/>
    <w:rsid w:val="00A556AC"/>
    <w:rsid w:val="00A55C0F"/>
    <w:rsid w:val="00A5692F"/>
    <w:rsid w:val="00A56ECA"/>
    <w:rsid w:val="00A577E4"/>
    <w:rsid w:val="00A57E59"/>
    <w:rsid w:val="00A608B0"/>
    <w:rsid w:val="00A60C48"/>
    <w:rsid w:val="00A60EB6"/>
    <w:rsid w:val="00A6128D"/>
    <w:rsid w:val="00A62E4B"/>
    <w:rsid w:val="00A6367F"/>
    <w:rsid w:val="00A64E8E"/>
    <w:rsid w:val="00A65174"/>
    <w:rsid w:val="00A660BC"/>
    <w:rsid w:val="00A67D42"/>
    <w:rsid w:val="00A704E1"/>
    <w:rsid w:val="00A719C6"/>
    <w:rsid w:val="00A7207F"/>
    <w:rsid w:val="00A72098"/>
    <w:rsid w:val="00A744D5"/>
    <w:rsid w:val="00A74F00"/>
    <w:rsid w:val="00A76218"/>
    <w:rsid w:val="00A7728B"/>
    <w:rsid w:val="00A77366"/>
    <w:rsid w:val="00A77438"/>
    <w:rsid w:val="00A7794F"/>
    <w:rsid w:val="00A80089"/>
    <w:rsid w:val="00A80237"/>
    <w:rsid w:val="00A80303"/>
    <w:rsid w:val="00A80726"/>
    <w:rsid w:val="00A81064"/>
    <w:rsid w:val="00A81179"/>
    <w:rsid w:val="00A81C62"/>
    <w:rsid w:val="00A81CBF"/>
    <w:rsid w:val="00A824A5"/>
    <w:rsid w:val="00A8294E"/>
    <w:rsid w:val="00A85D58"/>
    <w:rsid w:val="00A8660E"/>
    <w:rsid w:val="00A86677"/>
    <w:rsid w:val="00A8713F"/>
    <w:rsid w:val="00A87C3C"/>
    <w:rsid w:val="00A90BA1"/>
    <w:rsid w:val="00A934B5"/>
    <w:rsid w:val="00A93F0F"/>
    <w:rsid w:val="00A94781"/>
    <w:rsid w:val="00A94950"/>
    <w:rsid w:val="00A94E1D"/>
    <w:rsid w:val="00A94FA8"/>
    <w:rsid w:val="00A962DA"/>
    <w:rsid w:val="00A97826"/>
    <w:rsid w:val="00A97A9A"/>
    <w:rsid w:val="00A97C3F"/>
    <w:rsid w:val="00AA062A"/>
    <w:rsid w:val="00AA0671"/>
    <w:rsid w:val="00AA0A01"/>
    <w:rsid w:val="00AA1018"/>
    <w:rsid w:val="00AA10FA"/>
    <w:rsid w:val="00AA2531"/>
    <w:rsid w:val="00AA2AB1"/>
    <w:rsid w:val="00AA2B4F"/>
    <w:rsid w:val="00AA3EFF"/>
    <w:rsid w:val="00AA5CDC"/>
    <w:rsid w:val="00AB033D"/>
    <w:rsid w:val="00AB0AFB"/>
    <w:rsid w:val="00AB0D79"/>
    <w:rsid w:val="00AB158E"/>
    <w:rsid w:val="00AB1B3C"/>
    <w:rsid w:val="00AB1E09"/>
    <w:rsid w:val="00AB21B3"/>
    <w:rsid w:val="00AB2808"/>
    <w:rsid w:val="00AB3621"/>
    <w:rsid w:val="00AB376D"/>
    <w:rsid w:val="00AB3799"/>
    <w:rsid w:val="00AB3BBC"/>
    <w:rsid w:val="00AB425B"/>
    <w:rsid w:val="00AB446D"/>
    <w:rsid w:val="00AB489F"/>
    <w:rsid w:val="00AB50A9"/>
    <w:rsid w:val="00AB5330"/>
    <w:rsid w:val="00AB5432"/>
    <w:rsid w:val="00AB5779"/>
    <w:rsid w:val="00AB5BCD"/>
    <w:rsid w:val="00AB6181"/>
    <w:rsid w:val="00AB62B7"/>
    <w:rsid w:val="00AB6914"/>
    <w:rsid w:val="00AB74E0"/>
    <w:rsid w:val="00AB7747"/>
    <w:rsid w:val="00AB785C"/>
    <w:rsid w:val="00AB7A7B"/>
    <w:rsid w:val="00AC01A9"/>
    <w:rsid w:val="00AC042F"/>
    <w:rsid w:val="00AC13EC"/>
    <w:rsid w:val="00AC14CE"/>
    <w:rsid w:val="00AC17A1"/>
    <w:rsid w:val="00AC2765"/>
    <w:rsid w:val="00AC2A56"/>
    <w:rsid w:val="00AC2EE1"/>
    <w:rsid w:val="00AC3EB3"/>
    <w:rsid w:val="00AC4B04"/>
    <w:rsid w:val="00AC4F7C"/>
    <w:rsid w:val="00AC5645"/>
    <w:rsid w:val="00AC7C00"/>
    <w:rsid w:val="00AC7FEA"/>
    <w:rsid w:val="00AD0209"/>
    <w:rsid w:val="00AD055E"/>
    <w:rsid w:val="00AD1519"/>
    <w:rsid w:val="00AD1E27"/>
    <w:rsid w:val="00AD29EC"/>
    <w:rsid w:val="00AD348E"/>
    <w:rsid w:val="00AD387C"/>
    <w:rsid w:val="00AD3F03"/>
    <w:rsid w:val="00AD47A7"/>
    <w:rsid w:val="00AD50DC"/>
    <w:rsid w:val="00AD59A9"/>
    <w:rsid w:val="00AD5C76"/>
    <w:rsid w:val="00AD6C53"/>
    <w:rsid w:val="00AD7711"/>
    <w:rsid w:val="00AE1514"/>
    <w:rsid w:val="00AE2AE4"/>
    <w:rsid w:val="00AE3AF3"/>
    <w:rsid w:val="00AE3B22"/>
    <w:rsid w:val="00AE47F3"/>
    <w:rsid w:val="00AE4A4A"/>
    <w:rsid w:val="00AE4C73"/>
    <w:rsid w:val="00AE7236"/>
    <w:rsid w:val="00AF01D7"/>
    <w:rsid w:val="00AF0CBF"/>
    <w:rsid w:val="00AF0FE3"/>
    <w:rsid w:val="00AF1488"/>
    <w:rsid w:val="00AF21F6"/>
    <w:rsid w:val="00AF257F"/>
    <w:rsid w:val="00AF2B57"/>
    <w:rsid w:val="00AF2C15"/>
    <w:rsid w:val="00AF2CB8"/>
    <w:rsid w:val="00AF33CF"/>
    <w:rsid w:val="00AF4D50"/>
    <w:rsid w:val="00AF6179"/>
    <w:rsid w:val="00AF7743"/>
    <w:rsid w:val="00B00326"/>
    <w:rsid w:val="00B00804"/>
    <w:rsid w:val="00B00DD6"/>
    <w:rsid w:val="00B01771"/>
    <w:rsid w:val="00B02F25"/>
    <w:rsid w:val="00B04565"/>
    <w:rsid w:val="00B050EC"/>
    <w:rsid w:val="00B05710"/>
    <w:rsid w:val="00B058BE"/>
    <w:rsid w:val="00B05ABC"/>
    <w:rsid w:val="00B068B0"/>
    <w:rsid w:val="00B0742B"/>
    <w:rsid w:val="00B07D33"/>
    <w:rsid w:val="00B1129D"/>
    <w:rsid w:val="00B1145B"/>
    <w:rsid w:val="00B11E3F"/>
    <w:rsid w:val="00B1224E"/>
    <w:rsid w:val="00B1295A"/>
    <w:rsid w:val="00B13ABA"/>
    <w:rsid w:val="00B13C48"/>
    <w:rsid w:val="00B1498A"/>
    <w:rsid w:val="00B156FC"/>
    <w:rsid w:val="00B165CE"/>
    <w:rsid w:val="00B167FD"/>
    <w:rsid w:val="00B16C4A"/>
    <w:rsid w:val="00B201F4"/>
    <w:rsid w:val="00B20215"/>
    <w:rsid w:val="00B20A45"/>
    <w:rsid w:val="00B212A1"/>
    <w:rsid w:val="00B225C9"/>
    <w:rsid w:val="00B22832"/>
    <w:rsid w:val="00B22C5C"/>
    <w:rsid w:val="00B242E7"/>
    <w:rsid w:val="00B24F30"/>
    <w:rsid w:val="00B26ACB"/>
    <w:rsid w:val="00B26F78"/>
    <w:rsid w:val="00B27706"/>
    <w:rsid w:val="00B27E21"/>
    <w:rsid w:val="00B3064F"/>
    <w:rsid w:val="00B30D98"/>
    <w:rsid w:val="00B31ABF"/>
    <w:rsid w:val="00B31FD3"/>
    <w:rsid w:val="00B32E75"/>
    <w:rsid w:val="00B3372A"/>
    <w:rsid w:val="00B33AFF"/>
    <w:rsid w:val="00B33BB8"/>
    <w:rsid w:val="00B33BE3"/>
    <w:rsid w:val="00B34052"/>
    <w:rsid w:val="00B35311"/>
    <w:rsid w:val="00B360A1"/>
    <w:rsid w:val="00B37C00"/>
    <w:rsid w:val="00B42A77"/>
    <w:rsid w:val="00B42B5F"/>
    <w:rsid w:val="00B42E71"/>
    <w:rsid w:val="00B430E5"/>
    <w:rsid w:val="00B450DA"/>
    <w:rsid w:val="00B45287"/>
    <w:rsid w:val="00B4548F"/>
    <w:rsid w:val="00B456DB"/>
    <w:rsid w:val="00B45AFD"/>
    <w:rsid w:val="00B45DFF"/>
    <w:rsid w:val="00B46475"/>
    <w:rsid w:val="00B473F0"/>
    <w:rsid w:val="00B47AD5"/>
    <w:rsid w:val="00B506C7"/>
    <w:rsid w:val="00B507A1"/>
    <w:rsid w:val="00B52490"/>
    <w:rsid w:val="00B524FD"/>
    <w:rsid w:val="00B53B52"/>
    <w:rsid w:val="00B53B5D"/>
    <w:rsid w:val="00B53D42"/>
    <w:rsid w:val="00B53FA6"/>
    <w:rsid w:val="00B5421B"/>
    <w:rsid w:val="00B54BEE"/>
    <w:rsid w:val="00B556E5"/>
    <w:rsid w:val="00B5744D"/>
    <w:rsid w:val="00B603F4"/>
    <w:rsid w:val="00B6055E"/>
    <w:rsid w:val="00B6282E"/>
    <w:rsid w:val="00B62DFA"/>
    <w:rsid w:val="00B6317D"/>
    <w:rsid w:val="00B639BA"/>
    <w:rsid w:val="00B646C8"/>
    <w:rsid w:val="00B64E51"/>
    <w:rsid w:val="00B652D5"/>
    <w:rsid w:val="00B6584A"/>
    <w:rsid w:val="00B65D9B"/>
    <w:rsid w:val="00B65F24"/>
    <w:rsid w:val="00B67361"/>
    <w:rsid w:val="00B678CA"/>
    <w:rsid w:val="00B67A36"/>
    <w:rsid w:val="00B71595"/>
    <w:rsid w:val="00B71A77"/>
    <w:rsid w:val="00B7449F"/>
    <w:rsid w:val="00B747B7"/>
    <w:rsid w:val="00B74A55"/>
    <w:rsid w:val="00B75093"/>
    <w:rsid w:val="00B754F8"/>
    <w:rsid w:val="00B75F09"/>
    <w:rsid w:val="00B75F24"/>
    <w:rsid w:val="00B763E3"/>
    <w:rsid w:val="00B7723F"/>
    <w:rsid w:val="00B7770F"/>
    <w:rsid w:val="00B77BC8"/>
    <w:rsid w:val="00B80534"/>
    <w:rsid w:val="00B809C5"/>
    <w:rsid w:val="00B80C4D"/>
    <w:rsid w:val="00B81206"/>
    <w:rsid w:val="00B813B7"/>
    <w:rsid w:val="00B8239B"/>
    <w:rsid w:val="00B82790"/>
    <w:rsid w:val="00B82EAD"/>
    <w:rsid w:val="00B8309C"/>
    <w:rsid w:val="00B833F0"/>
    <w:rsid w:val="00B83591"/>
    <w:rsid w:val="00B8366E"/>
    <w:rsid w:val="00B83A77"/>
    <w:rsid w:val="00B84058"/>
    <w:rsid w:val="00B8433C"/>
    <w:rsid w:val="00B8474C"/>
    <w:rsid w:val="00B85EC6"/>
    <w:rsid w:val="00B8693A"/>
    <w:rsid w:val="00B87491"/>
    <w:rsid w:val="00B90AB2"/>
    <w:rsid w:val="00B91FE1"/>
    <w:rsid w:val="00B92B2B"/>
    <w:rsid w:val="00B930E9"/>
    <w:rsid w:val="00B93B5C"/>
    <w:rsid w:val="00B940FE"/>
    <w:rsid w:val="00B9534D"/>
    <w:rsid w:val="00B95414"/>
    <w:rsid w:val="00B9560F"/>
    <w:rsid w:val="00B964F4"/>
    <w:rsid w:val="00B966E4"/>
    <w:rsid w:val="00BA1855"/>
    <w:rsid w:val="00BA1C55"/>
    <w:rsid w:val="00BA1D4C"/>
    <w:rsid w:val="00BA27A7"/>
    <w:rsid w:val="00BA27C3"/>
    <w:rsid w:val="00BA29E9"/>
    <w:rsid w:val="00BA2F4C"/>
    <w:rsid w:val="00BA312C"/>
    <w:rsid w:val="00BA3350"/>
    <w:rsid w:val="00BA3959"/>
    <w:rsid w:val="00BA5C45"/>
    <w:rsid w:val="00BA6578"/>
    <w:rsid w:val="00BA6BD9"/>
    <w:rsid w:val="00BA7142"/>
    <w:rsid w:val="00BA79D3"/>
    <w:rsid w:val="00BA7AF3"/>
    <w:rsid w:val="00BA7C63"/>
    <w:rsid w:val="00BA7F33"/>
    <w:rsid w:val="00BB1593"/>
    <w:rsid w:val="00BB19F3"/>
    <w:rsid w:val="00BB2252"/>
    <w:rsid w:val="00BB237C"/>
    <w:rsid w:val="00BB310A"/>
    <w:rsid w:val="00BB31B8"/>
    <w:rsid w:val="00BB344F"/>
    <w:rsid w:val="00BB41A3"/>
    <w:rsid w:val="00BB43F9"/>
    <w:rsid w:val="00BB529B"/>
    <w:rsid w:val="00BB5487"/>
    <w:rsid w:val="00BB61C0"/>
    <w:rsid w:val="00BB67E0"/>
    <w:rsid w:val="00BB6C77"/>
    <w:rsid w:val="00BB6CF3"/>
    <w:rsid w:val="00BB6E0B"/>
    <w:rsid w:val="00BB6F5C"/>
    <w:rsid w:val="00BB6FC0"/>
    <w:rsid w:val="00BC0DC1"/>
    <w:rsid w:val="00BC2427"/>
    <w:rsid w:val="00BC32DC"/>
    <w:rsid w:val="00BC35B6"/>
    <w:rsid w:val="00BC3704"/>
    <w:rsid w:val="00BC442B"/>
    <w:rsid w:val="00BC4541"/>
    <w:rsid w:val="00BC4633"/>
    <w:rsid w:val="00BC5492"/>
    <w:rsid w:val="00BC54C5"/>
    <w:rsid w:val="00BC5CEC"/>
    <w:rsid w:val="00BC6EF1"/>
    <w:rsid w:val="00BD1B51"/>
    <w:rsid w:val="00BD3248"/>
    <w:rsid w:val="00BD40A2"/>
    <w:rsid w:val="00BD4596"/>
    <w:rsid w:val="00BD6506"/>
    <w:rsid w:val="00BD764C"/>
    <w:rsid w:val="00BD7671"/>
    <w:rsid w:val="00BE0A03"/>
    <w:rsid w:val="00BE1405"/>
    <w:rsid w:val="00BE1771"/>
    <w:rsid w:val="00BE312D"/>
    <w:rsid w:val="00BE39EB"/>
    <w:rsid w:val="00BE51DD"/>
    <w:rsid w:val="00BE7409"/>
    <w:rsid w:val="00BE77DB"/>
    <w:rsid w:val="00BE7FB7"/>
    <w:rsid w:val="00BF03ED"/>
    <w:rsid w:val="00BF1C20"/>
    <w:rsid w:val="00BF2B18"/>
    <w:rsid w:val="00BF3165"/>
    <w:rsid w:val="00BF3BE1"/>
    <w:rsid w:val="00BF4070"/>
    <w:rsid w:val="00BF55C8"/>
    <w:rsid w:val="00BF5B84"/>
    <w:rsid w:val="00BF5EDB"/>
    <w:rsid w:val="00BF6ABC"/>
    <w:rsid w:val="00BF7121"/>
    <w:rsid w:val="00C00AEE"/>
    <w:rsid w:val="00C02098"/>
    <w:rsid w:val="00C0279D"/>
    <w:rsid w:val="00C02F62"/>
    <w:rsid w:val="00C04E30"/>
    <w:rsid w:val="00C0576A"/>
    <w:rsid w:val="00C05AA6"/>
    <w:rsid w:val="00C05E89"/>
    <w:rsid w:val="00C06FCF"/>
    <w:rsid w:val="00C077BB"/>
    <w:rsid w:val="00C07884"/>
    <w:rsid w:val="00C1036A"/>
    <w:rsid w:val="00C1043F"/>
    <w:rsid w:val="00C10578"/>
    <w:rsid w:val="00C12B06"/>
    <w:rsid w:val="00C135BC"/>
    <w:rsid w:val="00C13C01"/>
    <w:rsid w:val="00C13D4C"/>
    <w:rsid w:val="00C13E75"/>
    <w:rsid w:val="00C147FE"/>
    <w:rsid w:val="00C151D1"/>
    <w:rsid w:val="00C15419"/>
    <w:rsid w:val="00C15C95"/>
    <w:rsid w:val="00C17121"/>
    <w:rsid w:val="00C1749E"/>
    <w:rsid w:val="00C20DFB"/>
    <w:rsid w:val="00C20FBB"/>
    <w:rsid w:val="00C21651"/>
    <w:rsid w:val="00C22001"/>
    <w:rsid w:val="00C235B3"/>
    <w:rsid w:val="00C237B9"/>
    <w:rsid w:val="00C23D70"/>
    <w:rsid w:val="00C2421E"/>
    <w:rsid w:val="00C24A9F"/>
    <w:rsid w:val="00C253FD"/>
    <w:rsid w:val="00C254C5"/>
    <w:rsid w:val="00C2596A"/>
    <w:rsid w:val="00C27008"/>
    <w:rsid w:val="00C27537"/>
    <w:rsid w:val="00C31078"/>
    <w:rsid w:val="00C328FE"/>
    <w:rsid w:val="00C32BA7"/>
    <w:rsid w:val="00C32C8E"/>
    <w:rsid w:val="00C33507"/>
    <w:rsid w:val="00C344FB"/>
    <w:rsid w:val="00C35554"/>
    <w:rsid w:val="00C356CF"/>
    <w:rsid w:val="00C3657C"/>
    <w:rsid w:val="00C36B96"/>
    <w:rsid w:val="00C37CB1"/>
    <w:rsid w:val="00C42EDE"/>
    <w:rsid w:val="00C4380D"/>
    <w:rsid w:val="00C43CF3"/>
    <w:rsid w:val="00C4409D"/>
    <w:rsid w:val="00C444CB"/>
    <w:rsid w:val="00C44E72"/>
    <w:rsid w:val="00C45360"/>
    <w:rsid w:val="00C45A06"/>
    <w:rsid w:val="00C465D6"/>
    <w:rsid w:val="00C46A79"/>
    <w:rsid w:val="00C47592"/>
    <w:rsid w:val="00C47BF2"/>
    <w:rsid w:val="00C47E5B"/>
    <w:rsid w:val="00C501D9"/>
    <w:rsid w:val="00C5027D"/>
    <w:rsid w:val="00C50347"/>
    <w:rsid w:val="00C50B00"/>
    <w:rsid w:val="00C50F6E"/>
    <w:rsid w:val="00C51D64"/>
    <w:rsid w:val="00C51F01"/>
    <w:rsid w:val="00C521EB"/>
    <w:rsid w:val="00C535C9"/>
    <w:rsid w:val="00C53EEC"/>
    <w:rsid w:val="00C55802"/>
    <w:rsid w:val="00C55EF0"/>
    <w:rsid w:val="00C60FAA"/>
    <w:rsid w:val="00C61106"/>
    <w:rsid w:val="00C615C8"/>
    <w:rsid w:val="00C61C68"/>
    <w:rsid w:val="00C61E4B"/>
    <w:rsid w:val="00C631B5"/>
    <w:rsid w:val="00C63218"/>
    <w:rsid w:val="00C6381E"/>
    <w:rsid w:val="00C64673"/>
    <w:rsid w:val="00C64BFF"/>
    <w:rsid w:val="00C667DF"/>
    <w:rsid w:val="00C701C8"/>
    <w:rsid w:val="00C704E9"/>
    <w:rsid w:val="00C70F8E"/>
    <w:rsid w:val="00C71ED0"/>
    <w:rsid w:val="00C72641"/>
    <w:rsid w:val="00C72751"/>
    <w:rsid w:val="00C73D47"/>
    <w:rsid w:val="00C7421B"/>
    <w:rsid w:val="00C74F59"/>
    <w:rsid w:val="00C74F67"/>
    <w:rsid w:val="00C74F87"/>
    <w:rsid w:val="00C75CCD"/>
    <w:rsid w:val="00C761C5"/>
    <w:rsid w:val="00C763C9"/>
    <w:rsid w:val="00C7738E"/>
    <w:rsid w:val="00C77FEF"/>
    <w:rsid w:val="00C80057"/>
    <w:rsid w:val="00C808ED"/>
    <w:rsid w:val="00C82232"/>
    <w:rsid w:val="00C82901"/>
    <w:rsid w:val="00C82913"/>
    <w:rsid w:val="00C84F75"/>
    <w:rsid w:val="00C859CA"/>
    <w:rsid w:val="00C872C7"/>
    <w:rsid w:val="00C87391"/>
    <w:rsid w:val="00C87E10"/>
    <w:rsid w:val="00C9251F"/>
    <w:rsid w:val="00C932FE"/>
    <w:rsid w:val="00C935B2"/>
    <w:rsid w:val="00C93D2E"/>
    <w:rsid w:val="00C94085"/>
    <w:rsid w:val="00C943DA"/>
    <w:rsid w:val="00C96470"/>
    <w:rsid w:val="00C972B1"/>
    <w:rsid w:val="00C976CF"/>
    <w:rsid w:val="00C979D7"/>
    <w:rsid w:val="00CA08D2"/>
    <w:rsid w:val="00CA2675"/>
    <w:rsid w:val="00CA2CCE"/>
    <w:rsid w:val="00CA2F50"/>
    <w:rsid w:val="00CA343D"/>
    <w:rsid w:val="00CA35DD"/>
    <w:rsid w:val="00CA43FD"/>
    <w:rsid w:val="00CA4632"/>
    <w:rsid w:val="00CA49DC"/>
    <w:rsid w:val="00CA5A9D"/>
    <w:rsid w:val="00CA5C58"/>
    <w:rsid w:val="00CA5D41"/>
    <w:rsid w:val="00CA6E86"/>
    <w:rsid w:val="00CA7685"/>
    <w:rsid w:val="00CA7C7C"/>
    <w:rsid w:val="00CA7E6E"/>
    <w:rsid w:val="00CA7EF8"/>
    <w:rsid w:val="00CB011B"/>
    <w:rsid w:val="00CB0719"/>
    <w:rsid w:val="00CB09B2"/>
    <w:rsid w:val="00CB100E"/>
    <w:rsid w:val="00CB1354"/>
    <w:rsid w:val="00CB22BA"/>
    <w:rsid w:val="00CB331F"/>
    <w:rsid w:val="00CB5457"/>
    <w:rsid w:val="00CB66B7"/>
    <w:rsid w:val="00CB74B6"/>
    <w:rsid w:val="00CB75A8"/>
    <w:rsid w:val="00CB75B4"/>
    <w:rsid w:val="00CB7970"/>
    <w:rsid w:val="00CC04AC"/>
    <w:rsid w:val="00CC2BDA"/>
    <w:rsid w:val="00CC4412"/>
    <w:rsid w:val="00CC47EA"/>
    <w:rsid w:val="00CC489B"/>
    <w:rsid w:val="00CC4CDA"/>
    <w:rsid w:val="00CC547E"/>
    <w:rsid w:val="00CC56CF"/>
    <w:rsid w:val="00CC5734"/>
    <w:rsid w:val="00CC5E11"/>
    <w:rsid w:val="00CC6DE9"/>
    <w:rsid w:val="00CC730F"/>
    <w:rsid w:val="00CC7E5C"/>
    <w:rsid w:val="00CD015D"/>
    <w:rsid w:val="00CD0212"/>
    <w:rsid w:val="00CD1883"/>
    <w:rsid w:val="00CD1B58"/>
    <w:rsid w:val="00CD2BCD"/>
    <w:rsid w:val="00CD3A4C"/>
    <w:rsid w:val="00CD423F"/>
    <w:rsid w:val="00CD4367"/>
    <w:rsid w:val="00CD44D0"/>
    <w:rsid w:val="00CD4589"/>
    <w:rsid w:val="00CD4F03"/>
    <w:rsid w:val="00CD5F91"/>
    <w:rsid w:val="00CD63B8"/>
    <w:rsid w:val="00CD68D6"/>
    <w:rsid w:val="00CE10E9"/>
    <w:rsid w:val="00CE1F27"/>
    <w:rsid w:val="00CE235D"/>
    <w:rsid w:val="00CE2445"/>
    <w:rsid w:val="00CE2910"/>
    <w:rsid w:val="00CE2C5F"/>
    <w:rsid w:val="00CE30BE"/>
    <w:rsid w:val="00CE3BA7"/>
    <w:rsid w:val="00CE5393"/>
    <w:rsid w:val="00CE5DBE"/>
    <w:rsid w:val="00CE5F9B"/>
    <w:rsid w:val="00CE63FA"/>
    <w:rsid w:val="00CE73C0"/>
    <w:rsid w:val="00CE7912"/>
    <w:rsid w:val="00CE7CF6"/>
    <w:rsid w:val="00CF0B5A"/>
    <w:rsid w:val="00CF1E1A"/>
    <w:rsid w:val="00CF2A77"/>
    <w:rsid w:val="00CF36BE"/>
    <w:rsid w:val="00CF57EB"/>
    <w:rsid w:val="00CF5DD5"/>
    <w:rsid w:val="00CF6000"/>
    <w:rsid w:val="00CF62B3"/>
    <w:rsid w:val="00CF6453"/>
    <w:rsid w:val="00CF7773"/>
    <w:rsid w:val="00CF7B7B"/>
    <w:rsid w:val="00CF7D01"/>
    <w:rsid w:val="00D003F3"/>
    <w:rsid w:val="00D00593"/>
    <w:rsid w:val="00D00B95"/>
    <w:rsid w:val="00D01903"/>
    <w:rsid w:val="00D029C7"/>
    <w:rsid w:val="00D0364F"/>
    <w:rsid w:val="00D04075"/>
    <w:rsid w:val="00D04306"/>
    <w:rsid w:val="00D054AB"/>
    <w:rsid w:val="00D055CD"/>
    <w:rsid w:val="00D057FB"/>
    <w:rsid w:val="00D060E0"/>
    <w:rsid w:val="00D06834"/>
    <w:rsid w:val="00D07FFB"/>
    <w:rsid w:val="00D10EC0"/>
    <w:rsid w:val="00D10ED2"/>
    <w:rsid w:val="00D11F1B"/>
    <w:rsid w:val="00D12E34"/>
    <w:rsid w:val="00D13BFA"/>
    <w:rsid w:val="00D145F1"/>
    <w:rsid w:val="00D15807"/>
    <w:rsid w:val="00D158DA"/>
    <w:rsid w:val="00D16BDC"/>
    <w:rsid w:val="00D16D83"/>
    <w:rsid w:val="00D1722B"/>
    <w:rsid w:val="00D17819"/>
    <w:rsid w:val="00D2029B"/>
    <w:rsid w:val="00D2229D"/>
    <w:rsid w:val="00D23301"/>
    <w:rsid w:val="00D23F5C"/>
    <w:rsid w:val="00D2447D"/>
    <w:rsid w:val="00D24CC2"/>
    <w:rsid w:val="00D250DB"/>
    <w:rsid w:val="00D253EE"/>
    <w:rsid w:val="00D25B78"/>
    <w:rsid w:val="00D25EEB"/>
    <w:rsid w:val="00D262AC"/>
    <w:rsid w:val="00D26A16"/>
    <w:rsid w:val="00D26FF8"/>
    <w:rsid w:val="00D275B9"/>
    <w:rsid w:val="00D27CA3"/>
    <w:rsid w:val="00D27DAD"/>
    <w:rsid w:val="00D306CB"/>
    <w:rsid w:val="00D308ED"/>
    <w:rsid w:val="00D30BB3"/>
    <w:rsid w:val="00D31FDA"/>
    <w:rsid w:val="00D321EA"/>
    <w:rsid w:val="00D32B67"/>
    <w:rsid w:val="00D33CF7"/>
    <w:rsid w:val="00D33E42"/>
    <w:rsid w:val="00D353E1"/>
    <w:rsid w:val="00D3629D"/>
    <w:rsid w:val="00D365A6"/>
    <w:rsid w:val="00D36D86"/>
    <w:rsid w:val="00D372C7"/>
    <w:rsid w:val="00D37647"/>
    <w:rsid w:val="00D428AA"/>
    <w:rsid w:val="00D43EFC"/>
    <w:rsid w:val="00D447BC"/>
    <w:rsid w:val="00D44B58"/>
    <w:rsid w:val="00D46B93"/>
    <w:rsid w:val="00D50A34"/>
    <w:rsid w:val="00D53282"/>
    <w:rsid w:val="00D534AF"/>
    <w:rsid w:val="00D53E56"/>
    <w:rsid w:val="00D53EFA"/>
    <w:rsid w:val="00D54388"/>
    <w:rsid w:val="00D54396"/>
    <w:rsid w:val="00D5471B"/>
    <w:rsid w:val="00D55D37"/>
    <w:rsid w:val="00D56241"/>
    <w:rsid w:val="00D568B5"/>
    <w:rsid w:val="00D56AE8"/>
    <w:rsid w:val="00D571C5"/>
    <w:rsid w:val="00D576E8"/>
    <w:rsid w:val="00D578EA"/>
    <w:rsid w:val="00D60661"/>
    <w:rsid w:val="00D609BB"/>
    <w:rsid w:val="00D61CF5"/>
    <w:rsid w:val="00D62AA1"/>
    <w:rsid w:val="00D62F52"/>
    <w:rsid w:val="00D64932"/>
    <w:rsid w:val="00D64992"/>
    <w:rsid w:val="00D64B3D"/>
    <w:rsid w:val="00D64B3F"/>
    <w:rsid w:val="00D650F8"/>
    <w:rsid w:val="00D65704"/>
    <w:rsid w:val="00D65FE6"/>
    <w:rsid w:val="00D66540"/>
    <w:rsid w:val="00D66F12"/>
    <w:rsid w:val="00D671E0"/>
    <w:rsid w:val="00D6738D"/>
    <w:rsid w:val="00D677D1"/>
    <w:rsid w:val="00D67C5D"/>
    <w:rsid w:val="00D70564"/>
    <w:rsid w:val="00D710BD"/>
    <w:rsid w:val="00D713E8"/>
    <w:rsid w:val="00D71761"/>
    <w:rsid w:val="00D71C5F"/>
    <w:rsid w:val="00D730C0"/>
    <w:rsid w:val="00D736A5"/>
    <w:rsid w:val="00D7427C"/>
    <w:rsid w:val="00D74645"/>
    <w:rsid w:val="00D75F00"/>
    <w:rsid w:val="00D76393"/>
    <w:rsid w:val="00D76CD9"/>
    <w:rsid w:val="00D779B5"/>
    <w:rsid w:val="00D80178"/>
    <w:rsid w:val="00D809FA"/>
    <w:rsid w:val="00D8129C"/>
    <w:rsid w:val="00D82F33"/>
    <w:rsid w:val="00D8338B"/>
    <w:rsid w:val="00D833D5"/>
    <w:rsid w:val="00D84046"/>
    <w:rsid w:val="00D84148"/>
    <w:rsid w:val="00D84A27"/>
    <w:rsid w:val="00D85654"/>
    <w:rsid w:val="00D85E50"/>
    <w:rsid w:val="00D85E83"/>
    <w:rsid w:val="00D87A5D"/>
    <w:rsid w:val="00D91C2E"/>
    <w:rsid w:val="00D91F9B"/>
    <w:rsid w:val="00D9213E"/>
    <w:rsid w:val="00D928AD"/>
    <w:rsid w:val="00D92959"/>
    <w:rsid w:val="00D933A1"/>
    <w:rsid w:val="00D9358A"/>
    <w:rsid w:val="00D94A40"/>
    <w:rsid w:val="00D94A7C"/>
    <w:rsid w:val="00D95677"/>
    <w:rsid w:val="00D95896"/>
    <w:rsid w:val="00D96098"/>
    <w:rsid w:val="00D96805"/>
    <w:rsid w:val="00DA0AAD"/>
    <w:rsid w:val="00DA0DBF"/>
    <w:rsid w:val="00DA122E"/>
    <w:rsid w:val="00DA183D"/>
    <w:rsid w:val="00DA204B"/>
    <w:rsid w:val="00DA21D0"/>
    <w:rsid w:val="00DA24A7"/>
    <w:rsid w:val="00DA24BD"/>
    <w:rsid w:val="00DA2F48"/>
    <w:rsid w:val="00DA5745"/>
    <w:rsid w:val="00DA5CCA"/>
    <w:rsid w:val="00DA73C7"/>
    <w:rsid w:val="00DA7E9B"/>
    <w:rsid w:val="00DB0996"/>
    <w:rsid w:val="00DB22B3"/>
    <w:rsid w:val="00DB240C"/>
    <w:rsid w:val="00DB24DB"/>
    <w:rsid w:val="00DB2759"/>
    <w:rsid w:val="00DB2983"/>
    <w:rsid w:val="00DB3D26"/>
    <w:rsid w:val="00DB42EF"/>
    <w:rsid w:val="00DB491F"/>
    <w:rsid w:val="00DB4B81"/>
    <w:rsid w:val="00DB5343"/>
    <w:rsid w:val="00DB55C2"/>
    <w:rsid w:val="00DB5928"/>
    <w:rsid w:val="00DB5AA1"/>
    <w:rsid w:val="00DB7139"/>
    <w:rsid w:val="00DB795B"/>
    <w:rsid w:val="00DC1108"/>
    <w:rsid w:val="00DC1257"/>
    <w:rsid w:val="00DC1A8E"/>
    <w:rsid w:val="00DC2DCD"/>
    <w:rsid w:val="00DC2E7C"/>
    <w:rsid w:val="00DC3DC0"/>
    <w:rsid w:val="00DC40C2"/>
    <w:rsid w:val="00DC55EA"/>
    <w:rsid w:val="00DC5B2B"/>
    <w:rsid w:val="00DC5CFA"/>
    <w:rsid w:val="00DC6807"/>
    <w:rsid w:val="00DC6C30"/>
    <w:rsid w:val="00DC7D9F"/>
    <w:rsid w:val="00DD060A"/>
    <w:rsid w:val="00DD1005"/>
    <w:rsid w:val="00DD2166"/>
    <w:rsid w:val="00DD318D"/>
    <w:rsid w:val="00DD53F2"/>
    <w:rsid w:val="00DD6062"/>
    <w:rsid w:val="00DD663C"/>
    <w:rsid w:val="00DD6B90"/>
    <w:rsid w:val="00DD6BAB"/>
    <w:rsid w:val="00DD7A0E"/>
    <w:rsid w:val="00DE38FB"/>
    <w:rsid w:val="00DE53C8"/>
    <w:rsid w:val="00DE6330"/>
    <w:rsid w:val="00DE6572"/>
    <w:rsid w:val="00DE6BEB"/>
    <w:rsid w:val="00DF1D4F"/>
    <w:rsid w:val="00DF1FB7"/>
    <w:rsid w:val="00DF2222"/>
    <w:rsid w:val="00DF27C1"/>
    <w:rsid w:val="00DF2E12"/>
    <w:rsid w:val="00DF41AD"/>
    <w:rsid w:val="00DF514A"/>
    <w:rsid w:val="00DF62D3"/>
    <w:rsid w:val="00DF6690"/>
    <w:rsid w:val="00DF6804"/>
    <w:rsid w:val="00DF7F60"/>
    <w:rsid w:val="00E00DF3"/>
    <w:rsid w:val="00E01343"/>
    <w:rsid w:val="00E02269"/>
    <w:rsid w:val="00E0358D"/>
    <w:rsid w:val="00E04323"/>
    <w:rsid w:val="00E05B48"/>
    <w:rsid w:val="00E05CDA"/>
    <w:rsid w:val="00E062BB"/>
    <w:rsid w:val="00E070A2"/>
    <w:rsid w:val="00E07293"/>
    <w:rsid w:val="00E07581"/>
    <w:rsid w:val="00E07ADA"/>
    <w:rsid w:val="00E12CBF"/>
    <w:rsid w:val="00E12D20"/>
    <w:rsid w:val="00E13616"/>
    <w:rsid w:val="00E1407B"/>
    <w:rsid w:val="00E14675"/>
    <w:rsid w:val="00E15240"/>
    <w:rsid w:val="00E1583C"/>
    <w:rsid w:val="00E160C9"/>
    <w:rsid w:val="00E163DC"/>
    <w:rsid w:val="00E1737B"/>
    <w:rsid w:val="00E17426"/>
    <w:rsid w:val="00E20A15"/>
    <w:rsid w:val="00E21364"/>
    <w:rsid w:val="00E22171"/>
    <w:rsid w:val="00E23329"/>
    <w:rsid w:val="00E23C27"/>
    <w:rsid w:val="00E23DBA"/>
    <w:rsid w:val="00E243AA"/>
    <w:rsid w:val="00E25FA2"/>
    <w:rsid w:val="00E261A0"/>
    <w:rsid w:val="00E2656A"/>
    <w:rsid w:val="00E26864"/>
    <w:rsid w:val="00E26970"/>
    <w:rsid w:val="00E26EF5"/>
    <w:rsid w:val="00E27E7C"/>
    <w:rsid w:val="00E3069B"/>
    <w:rsid w:val="00E307A5"/>
    <w:rsid w:val="00E31B6D"/>
    <w:rsid w:val="00E32FCF"/>
    <w:rsid w:val="00E34C3E"/>
    <w:rsid w:val="00E35D4C"/>
    <w:rsid w:val="00E36DD9"/>
    <w:rsid w:val="00E3705D"/>
    <w:rsid w:val="00E412D0"/>
    <w:rsid w:val="00E4171B"/>
    <w:rsid w:val="00E42055"/>
    <w:rsid w:val="00E435A5"/>
    <w:rsid w:val="00E444F0"/>
    <w:rsid w:val="00E44B6A"/>
    <w:rsid w:val="00E44C10"/>
    <w:rsid w:val="00E4507F"/>
    <w:rsid w:val="00E47099"/>
    <w:rsid w:val="00E506D1"/>
    <w:rsid w:val="00E51C05"/>
    <w:rsid w:val="00E52C20"/>
    <w:rsid w:val="00E539F3"/>
    <w:rsid w:val="00E54047"/>
    <w:rsid w:val="00E554D2"/>
    <w:rsid w:val="00E56322"/>
    <w:rsid w:val="00E566CE"/>
    <w:rsid w:val="00E5699F"/>
    <w:rsid w:val="00E57EF8"/>
    <w:rsid w:val="00E60982"/>
    <w:rsid w:val="00E61D39"/>
    <w:rsid w:val="00E62BC4"/>
    <w:rsid w:val="00E62C62"/>
    <w:rsid w:val="00E6383E"/>
    <w:rsid w:val="00E64396"/>
    <w:rsid w:val="00E64DA3"/>
    <w:rsid w:val="00E654C1"/>
    <w:rsid w:val="00E65D97"/>
    <w:rsid w:val="00E70546"/>
    <w:rsid w:val="00E70573"/>
    <w:rsid w:val="00E7099E"/>
    <w:rsid w:val="00E71CFD"/>
    <w:rsid w:val="00E72A54"/>
    <w:rsid w:val="00E72A5A"/>
    <w:rsid w:val="00E73354"/>
    <w:rsid w:val="00E737B7"/>
    <w:rsid w:val="00E73A83"/>
    <w:rsid w:val="00E73E36"/>
    <w:rsid w:val="00E74952"/>
    <w:rsid w:val="00E74AEF"/>
    <w:rsid w:val="00E75689"/>
    <w:rsid w:val="00E759AE"/>
    <w:rsid w:val="00E75BC3"/>
    <w:rsid w:val="00E76873"/>
    <w:rsid w:val="00E76D9A"/>
    <w:rsid w:val="00E770E3"/>
    <w:rsid w:val="00E77674"/>
    <w:rsid w:val="00E77A3C"/>
    <w:rsid w:val="00E806D6"/>
    <w:rsid w:val="00E81C70"/>
    <w:rsid w:val="00E8320A"/>
    <w:rsid w:val="00E83ECF"/>
    <w:rsid w:val="00E8403C"/>
    <w:rsid w:val="00E8405E"/>
    <w:rsid w:val="00E84FBD"/>
    <w:rsid w:val="00E8537F"/>
    <w:rsid w:val="00E85571"/>
    <w:rsid w:val="00E85B25"/>
    <w:rsid w:val="00E8632D"/>
    <w:rsid w:val="00E86492"/>
    <w:rsid w:val="00E86C23"/>
    <w:rsid w:val="00E87317"/>
    <w:rsid w:val="00E87820"/>
    <w:rsid w:val="00E8782B"/>
    <w:rsid w:val="00E90407"/>
    <w:rsid w:val="00E90943"/>
    <w:rsid w:val="00E92142"/>
    <w:rsid w:val="00E9242D"/>
    <w:rsid w:val="00E92E77"/>
    <w:rsid w:val="00E92F91"/>
    <w:rsid w:val="00E9335D"/>
    <w:rsid w:val="00E94941"/>
    <w:rsid w:val="00E949F1"/>
    <w:rsid w:val="00E94D2E"/>
    <w:rsid w:val="00EA00A8"/>
    <w:rsid w:val="00EA0A53"/>
    <w:rsid w:val="00EA1C98"/>
    <w:rsid w:val="00EA2243"/>
    <w:rsid w:val="00EA2C23"/>
    <w:rsid w:val="00EA367E"/>
    <w:rsid w:val="00EA4D5B"/>
    <w:rsid w:val="00EA6175"/>
    <w:rsid w:val="00EA64DE"/>
    <w:rsid w:val="00EA7CCF"/>
    <w:rsid w:val="00EB07B1"/>
    <w:rsid w:val="00EB1648"/>
    <w:rsid w:val="00EB184F"/>
    <w:rsid w:val="00EB30C3"/>
    <w:rsid w:val="00EB34C3"/>
    <w:rsid w:val="00EB3ED9"/>
    <w:rsid w:val="00EB40D4"/>
    <w:rsid w:val="00EB4B20"/>
    <w:rsid w:val="00EB5255"/>
    <w:rsid w:val="00EB556A"/>
    <w:rsid w:val="00EB5651"/>
    <w:rsid w:val="00EB5B01"/>
    <w:rsid w:val="00EB5C47"/>
    <w:rsid w:val="00EB5F27"/>
    <w:rsid w:val="00EB6343"/>
    <w:rsid w:val="00EB6BDE"/>
    <w:rsid w:val="00EB77FA"/>
    <w:rsid w:val="00EB7C4C"/>
    <w:rsid w:val="00EB7CAC"/>
    <w:rsid w:val="00EC1ABA"/>
    <w:rsid w:val="00EC2A59"/>
    <w:rsid w:val="00EC3EA5"/>
    <w:rsid w:val="00EC444A"/>
    <w:rsid w:val="00EC4B15"/>
    <w:rsid w:val="00EC5087"/>
    <w:rsid w:val="00EC550C"/>
    <w:rsid w:val="00EC771C"/>
    <w:rsid w:val="00EC77CA"/>
    <w:rsid w:val="00ED0639"/>
    <w:rsid w:val="00ED1056"/>
    <w:rsid w:val="00ED144C"/>
    <w:rsid w:val="00ED2571"/>
    <w:rsid w:val="00ED407F"/>
    <w:rsid w:val="00ED41C2"/>
    <w:rsid w:val="00ED557B"/>
    <w:rsid w:val="00ED6F33"/>
    <w:rsid w:val="00ED7164"/>
    <w:rsid w:val="00EE0DA1"/>
    <w:rsid w:val="00EE18A8"/>
    <w:rsid w:val="00EE287C"/>
    <w:rsid w:val="00EE2BAB"/>
    <w:rsid w:val="00EE3BBB"/>
    <w:rsid w:val="00EE3FDA"/>
    <w:rsid w:val="00EE4825"/>
    <w:rsid w:val="00EE4F25"/>
    <w:rsid w:val="00EE5984"/>
    <w:rsid w:val="00EE66C8"/>
    <w:rsid w:val="00EE6EAB"/>
    <w:rsid w:val="00EE7629"/>
    <w:rsid w:val="00EE7FD3"/>
    <w:rsid w:val="00EF074A"/>
    <w:rsid w:val="00EF1616"/>
    <w:rsid w:val="00EF2678"/>
    <w:rsid w:val="00EF2B43"/>
    <w:rsid w:val="00EF2FA6"/>
    <w:rsid w:val="00EF3760"/>
    <w:rsid w:val="00EF3D70"/>
    <w:rsid w:val="00EF4378"/>
    <w:rsid w:val="00EF4755"/>
    <w:rsid w:val="00EF4CAA"/>
    <w:rsid w:val="00EF5886"/>
    <w:rsid w:val="00EF5BA7"/>
    <w:rsid w:val="00EF6A8D"/>
    <w:rsid w:val="00EF6D7C"/>
    <w:rsid w:val="00EF6F89"/>
    <w:rsid w:val="00EF7135"/>
    <w:rsid w:val="00EF7BC5"/>
    <w:rsid w:val="00F01662"/>
    <w:rsid w:val="00F0192F"/>
    <w:rsid w:val="00F01DF0"/>
    <w:rsid w:val="00F027DB"/>
    <w:rsid w:val="00F02F40"/>
    <w:rsid w:val="00F04F26"/>
    <w:rsid w:val="00F057D9"/>
    <w:rsid w:val="00F05D3E"/>
    <w:rsid w:val="00F0633B"/>
    <w:rsid w:val="00F06C4D"/>
    <w:rsid w:val="00F0705F"/>
    <w:rsid w:val="00F0722E"/>
    <w:rsid w:val="00F07CD2"/>
    <w:rsid w:val="00F07FA5"/>
    <w:rsid w:val="00F1119D"/>
    <w:rsid w:val="00F11407"/>
    <w:rsid w:val="00F1188E"/>
    <w:rsid w:val="00F1402F"/>
    <w:rsid w:val="00F14A7A"/>
    <w:rsid w:val="00F151C2"/>
    <w:rsid w:val="00F156A8"/>
    <w:rsid w:val="00F15D95"/>
    <w:rsid w:val="00F16161"/>
    <w:rsid w:val="00F16AE0"/>
    <w:rsid w:val="00F177A5"/>
    <w:rsid w:val="00F201B5"/>
    <w:rsid w:val="00F207AB"/>
    <w:rsid w:val="00F2091D"/>
    <w:rsid w:val="00F224B3"/>
    <w:rsid w:val="00F22985"/>
    <w:rsid w:val="00F22FC9"/>
    <w:rsid w:val="00F22FEB"/>
    <w:rsid w:val="00F23157"/>
    <w:rsid w:val="00F2337F"/>
    <w:rsid w:val="00F23B46"/>
    <w:rsid w:val="00F241CF"/>
    <w:rsid w:val="00F24CD0"/>
    <w:rsid w:val="00F24FF1"/>
    <w:rsid w:val="00F25920"/>
    <w:rsid w:val="00F26739"/>
    <w:rsid w:val="00F317AB"/>
    <w:rsid w:val="00F319AF"/>
    <w:rsid w:val="00F32B82"/>
    <w:rsid w:val="00F33227"/>
    <w:rsid w:val="00F3383E"/>
    <w:rsid w:val="00F33841"/>
    <w:rsid w:val="00F33B48"/>
    <w:rsid w:val="00F33D71"/>
    <w:rsid w:val="00F35459"/>
    <w:rsid w:val="00F35796"/>
    <w:rsid w:val="00F4014F"/>
    <w:rsid w:val="00F417D9"/>
    <w:rsid w:val="00F4231B"/>
    <w:rsid w:val="00F42BF5"/>
    <w:rsid w:val="00F44416"/>
    <w:rsid w:val="00F465A7"/>
    <w:rsid w:val="00F470DD"/>
    <w:rsid w:val="00F47CB3"/>
    <w:rsid w:val="00F50B7C"/>
    <w:rsid w:val="00F50E12"/>
    <w:rsid w:val="00F50F23"/>
    <w:rsid w:val="00F50FDE"/>
    <w:rsid w:val="00F5130B"/>
    <w:rsid w:val="00F51971"/>
    <w:rsid w:val="00F51FA1"/>
    <w:rsid w:val="00F528D6"/>
    <w:rsid w:val="00F52C08"/>
    <w:rsid w:val="00F54305"/>
    <w:rsid w:val="00F545F9"/>
    <w:rsid w:val="00F547EC"/>
    <w:rsid w:val="00F54808"/>
    <w:rsid w:val="00F54837"/>
    <w:rsid w:val="00F54A0D"/>
    <w:rsid w:val="00F54F9D"/>
    <w:rsid w:val="00F550E6"/>
    <w:rsid w:val="00F551B2"/>
    <w:rsid w:val="00F55FCD"/>
    <w:rsid w:val="00F56082"/>
    <w:rsid w:val="00F565E9"/>
    <w:rsid w:val="00F57BD8"/>
    <w:rsid w:val="00F60239"/>
    <w:rsid w:val="00F60555"/>
    <w:rsid w:val="00F60E4B"/>
    <w:rsid w:val="00F61173"/>
    <w:rsid w:val="00F6128B"/>
    <w:rsid w:val="00F6163F"/>
    <w:rsid w:val="00F61E7D"/>
    <w:rsid w:val="00F624F1"/>
    <w:rsid w:val="00F630CB"/>
    <w:rsid w:val="00F63A44"/>
    <w:rsid w:val="00F63BB7"/>
    <w:rsid w:val="00F64C4F"/>
    <w:rsid w:val="00F65492"/>
    <w:rsid w:val="00F670A9"/>
    <w:rsid w:val="00F67138"/>
    <w:rsid w:val="00F67A1C"/>
    <w:rsid w:val="00F67D13"/>
    <w:rsid w:val="00F70109"/>
    <w:rsid w:val="00F7070B"/>
    <w:rsid w:val="00F70DC7"/>
    <w:rsid w:val="00F710A5"/>
    <w:rsid w:val="00F713AB"/>
    <w:rsid w:val="00F71786"/>
    <w:rsid w:val="00F71803"/>
    <w:rsid w:val="00F718E3"/>
    <w:rsid w:val="00F71ACC"/>
    <w:rsid w:val="00F71D9E"/>
    <w:rsid w:val="00F71FD9"/>
    <w:rsid w:val="00F72BAB"/>
    <w:rsid w:val="00F72DBF"/>
    <w:rsid w:val="00F72E36"/>
    <w:rsid w:val="00F72EAE"/>
    <w:rsid w:val="00F73CB5"/>
    <w:rsid w:val="00F74345"/>
    <w:rsid w:val="00F74BBB"/>
    <w:rsid w:val="00F74D1F"/>
    <w:rsid w:val="00F7561C"/>
    <w:rsid w:val="00F7585D"/>
    <w:rsid w:val="00F763CF"/>
    <w:rsid w:val="00F80567"/>
    <w:rsid w:val="00F80A0A"/>
    <w:rsid w:val="00F81EF5"/>
    <w:rsid w:val="00F828AB"/>
    <w:rsid w:val="00F82B19"/>
    <w:rsid w:val="00F85FB2"/>
    <w:rsid w:val="00F90548"/>
    <w:rsid w:val="00F92088"/>
    <w:rsid w:val="00F9212D"/>
    <w:rsid w:val="00F94E3A"/>
    <w:rsid w:val="00F9509B"/>
    <w:rsid w:val="00F95146"/>
    <w:rsid w:val="00F965DA"/>
    <w:rsid w:val="00F96876"/>
    <w:rsid w:val="00F96B0C"/>
    <w:rsid w:val="00FA0C23"/>
    <w:rsid w:val="00FA0E4F"/>
    <w:rsid w:val="00FA212B"/>
    <w:rsid w:val="00FA406A"/>
    <w:rsid w:val="00FA46DE"/>
    <w:rsid w:val="00FA48AC"/>
    <w:rsid w:val="00FA4B50"/>
    <w:rsid w:val="00FA5960"/>
    <w:rsid w:val="00FA6734"/>
    <w:rsid w:val="00FA6BB5"/>
    <w:rsid w:val="00FA6D9B"/>
    <w:rsid w:val="00FA703C"/>
    <w:rsid w:val="00FA7729"/>
    <w:rsid w:val="00FA7D2B"/>
    <w:rsid w:val="00FA7D30"/>
    <w:rsid w:val="00FB12E3"/>
    <w:rsid w:val="00FB12EF"/>
    <w:rsid w:val="00FB1701"/>
    <w:rsid w:val="00FB1F16"/>
    <w:rsid w:val="00FB2552"/>
    <w:rsid w:val="00FB2DDC"/>
    <w:rsid w:val="00FB310B"/>
    <w:rsid w:val="00FB3271"/>
    <w:rsid w:val="00FB503A"/>
    <w:rsid w:val="00FB5096"/>
    <w:rsid w:val="00FB516C"/>
    <w:rsid w:val="00FB5291"/>
    <w:rsid w:val="00FB616E"/>
    <w:rsid w:val="00FB62FB"/>
    <w:rsid w:val="00FB634D"/>
    <w:rsid w:val="00FC0421"/>
    <w:rsid w:val="00FC09A5"/>
    <w:rsid w:val="00FC0C70"/>
    <w:rsid w:val="00FC18A0"/>
    <w:rsid w:val="00FC1B96"/>
    <w:rsid w:val="00FC27E6"/>
    <w:rsid w:val="00FC386B"/>
    <w:rsid w:val="00FC5EF5"/>
    <w:rsid w:val="00FC60CF"/>
    <w:rsid w:val="00FC658E"/>
    <w:rsid w:val="00FC726F"/>
    <w:rsid w:val="00FC74F0"/>
    <w:rsid w:val="00FC7717"/>
    <w:rsid w:val="00FD0236"/>
    <w:rsid w:val="00FD04AB"/>
    <w:rsid w:val="00FD0D21"/>
    <w:rsid w:val="00FD10BB"/>
    <w:rsid w:val="00FD132D"/>
    <w:rsid w:val="00FD18F4"/>
    <w:rsid w:val="00FD2036"/>
    <w:rsid w:val="00FD21C6"/>
    <w:rsid w:val="00FD23A1"/>
    <w:rsid w:val="00FD2763"/>
    <w:rsid w:val="00FD48DA"/>
    <w:rsid w:val="00FD51CD"/>
    <w:rsid w:val="00FD54DB"/>
    <w:rsid w:val="00FD5D5E"/>
    <w:rsid w:val="00FD5EBC"/>
    <w:rsid w:val="00FD619F"/>
    <w:rsid w:val="00FD62CB"/>
    <w:rsid w:val="00FD6D0E"/>
    <w:rsid w:val="00FD6D79"/>
    <w:rsid w:val="00FE1C49"/>
    <w:rsid w:val="00FE3ED2"/>
    <w:rsid w:val="00FE3FF4"/>
    <w:rsid w:val="00FE539E"/>
    <w:rsid w:val="00FE5A38"/>
    <w:rsid w:val="00FE7598"/>
    <w:rsid w:val="00FF0505"/>
    <w:rsid w:val="00FF0DF2"/>
    <w:rsid w:val="00FF1B3E"/>
    <w:rsid w:val="00FF44FE"/>
    <w:rsid w:val="00FF4564"/>
    <w:rsid w:val="00FF4CFC"/>
    <w:rsid w:val="00FF4FD3"/>
    <w:rsid w:val="00FF6C0E"/>
    <w:rsid w:val="01290F7E"/>
    <w:rsid w:val="0144194A"/>
    <w:rsid w:val="015D1E09"/>
    <w:rsid w:val="0180709F"/>
    <w:rsid w:val="01965F9D"/>
    <w:rsid w:val="01EE5A9F"/>
    <w:rsid w:val="021312F3"/>
    <w:rsid w:val="023B29D0"/>
    <w:rsid w:val="02697903"/>
    <w:rsid w:val="028A40CE"/>
    <w:rsid w:val="02F96569"/>
    <w:rsid w:val="03D25B32"/>
    <w:rsid w:val="03EA7B21"/>
    <w:rsid w:val="04673C8C"/>
    <w:rsid w:val="04721A91"/>
    <w:rsid w:val="0525150F"/>
    <w:rsid w:val="05F83EAE"/>
    <w:rsid w:val="060346AF"/>
    <w:rsid w:val="063E7D85"/>
    <w:rsid w:val="06414EEA"/>
    <w:rsid w:val="064E676E"/>
    <w:rsid w:val="0699059B"/>
    <w:rsid w:val="07293586"/>
    <w:rsid w:val="07295285"/>
    <w:rsid w:val="07636392"/>
    <w:rsid w:val="07770C56"/>
    <w:rsid w:val="078975FC"/>
    <w:rsid w:val="07BE5D9C"/>
    <w:rsid w:val="08C856E8"/>
    <w:rsid w:val="08EC66D9"/>
    <w:rsid w:val="092217DD"/>
    <w:rsid w:val="093A7294"/>
    <w:rsid w:val="09C20350"/>
    <w:rsid w:val="0A263993"/>
    <w:rsid w:val="0A2D3AC2"/>
    <w:rsid w:val="0A374FD0"/>
    <w:rsid w:val="0A85149F"/>
    <w:rsid w:val="0AA755DF"/>
    <w:rsid w:val="0AAA2D31"/>
    <w:rsid w:val="0B120D44"/>
    <w:rsid w:val="0BBC5120"/>
    <w:rsid w:val="0BD27BF6"/>
    <w:rsid w:val="0C3B3C7D"/>
    <w:rsid w:val="0C9930E6"/>
    <w:rsid w:val="0CAB2EAE"/>
    <w:rsid w:val="0D2F3101"/>
    <w:rsid w:val="0D621C7D"/>
    <w:rsid w:val="0D7B1888"/>
    <w:rsid w:val="0E73034D"/>
    <w:rsid w:val="0F13775A"/>
    <w:rsid w:val="0F5F45FE"/>
    <w:rsid w:val="0F9A112B"/>
    <w:rsid w:val="106D2F64"/>
    <w:rsid w:val="10B63710"/>
    <w:rsid w:val="10F10820"/>
    <w:rsid w:val="111C2F7A"/>
    <w:rsid w:val="11350C37"/>
    <w:rsid w:val="11665CA1"/>
    <w:rsid w:val="13444040"/>
    <w:rsid w:val="13951726"/>
    <w:rsid w:val="13C30389"/>
    <w:rsid w:val="14396509"/>
    <w:rsid w:val="145014CA"/>
    <w:rsid w:val="147E130C"/>
    <w:rsid w:val="14DD2C3C"/>
    <w:rsid w:val="14E34EEC"/>
    <w:rsid w:val="151C3C54"/>
    <w:rsid w:val="15283501"/>
    <w:rsid w:val="153100E0"/>
    <w:rsid w:val="1579392E"/>
    <w:rsid w:val="15830E33"/>
    <w:rsid w:val="15A63C9E"/>
    <w:rsid w:val="16087E1D"/>
    <w:rsid w:val="16A943E4"/>
    <w:rsid w:val="16B137E5"/>
    <w:rsid w:val="172842C0"/>
    <w:rsid w:val="17701D14"/>
    <w:rsid w:val="17735226"/>
    <w:rsid w:val="18476335"/>
    <w:rsid w:val="189F624C"/>
    <w:rsid w:val="195071D7"/>
    <w:rsid w:val="19C1517C"/>
    <w:rsid w:val="19C74A3D"/>
    <w:rsid w:val="19D924C1"/>
    <w:rsid w:val="1A1C66C0"/>
    <w:rsid w:val="1A42393B"/>
    <w:rsid w:val="1A7A4B11"/>
    <w:rsid w:val="1AAD45DE"/>
    <w:rsid w:val="1B046F80"/>
    <w:rsid w:val="1B3267B5"/>
    <w:rsid w:val="1B40161D"/>
    <w:rsid w:val="1B441859"/>
    <w:rsid w:val="1B6606B1"/>
    <w:rsid w:val="1B766AB1"/>
    <w:rsid w:val="1C5E7925"/>
    <w:rsid w:val="1CD436EC"/>
    <w:rsid w:val="1CFD070F"/>
    <w:rsid w:val="1D5F6196"/>
    <w:rsid w:val="1D6132A5"/>
    <w:rsid w:val="1D8A2976"/>
    <w:rsid w:val="1D8E56D5"/>
    <w:rsid w:val="1DF94222"/>
    <w:rsid w:val="1DFD36C2"/>
    <w:rsid w:val="1E2B790E"/>
    <w:rsid w:val="1E7A43DA"/>
    <w:rsid w:val="1E8E072C"/>
    <w:rsid w:val="1EE33CD2"/>
    <w:rsid w:val="1F122317"/>
    <w:rsid w:val="1FE7539E"/>
    <w:rsid w:val="1FFE6D2C"/>
    <w:rsid w:val="20671BE0"/>
    <w:rsid w:val="20786883"/>
    <w:rsid w:val="20963CB8"/>
    <w:rsid w:val="20A81A1B"/>
    <w:rsid w:val="20B07FB6"/>
    <w:rsid w:val="20B646FB"/>
    <w:rsid w:val="20BD4A1B"/>
    <w:rsid w:val="213B74B1"/>
    <w:rsid w:val="215A2310"/>
    <w:rsid w:val="217778C8"/>
    <w:rsid w:val="219940AB"/>
    <w:rsid w:val="21BE54FF"/>
    <w:rsid w:val="21DE318A"/>
    <w:rsid w:val="21EF5B80"/>
    <w:rsid w:val="22576990"/>
    <w:rsid w:val="22F47480"/>
    <w:rsid w:val="23DE1C48"/>
    <w:rsid w:val="240210CD"/>
    <w:rsid w:val="249B2244"/>
    <w:rsid w:val="24A52846"/>
    <w:rsid w:val="24BF09F7"/>
    <w:rsid w:val="24DA2134"/>
    <w:rsid w:val="252D53FE"/>
    <w:rsid w:val="25EC2D81"/>
    <w:rsid w:val="26574444"/>
    <w:rsid w:val="27440E4A"/>
    <w:rsid w:val="277057A2"/>
    <w:rsid w:val="279C4EB2"/>
    <w:rsid w:val="27FB0659"/>
    <w:rsid w:val="28220BC9"/>
    <w:rsid w:val="283A5E96"/>
    <w:rsid w:val="28EB4394"/>
    <w:rsid w:val="29206EB8"/>
    <w:rsid w:val="29595666"/>
    <w:rsid w:val="29874881"/>
    <w:rsid w:val="29E325E0"/>
    <w:rsid w:val="2A0F3C7C"/>
    <w:rsid w:val="2A452503"/>
    <w:rsid w:val="2A9419D0"/>
    <w:rsid w:val="2B832DE2"/>
    <w:rsid w:val="2BA936A8"/>
    <w:rsid w:val="2C315A5A"/>
    <w:rsid w:val="2C4B1C25"/>
    <w:rsid w:val="2C8E5D1A"/>
    <w:rsid w:val="2D9E56F5"/>
    <w:rsid w:val="2DAE7FAD"/>
    <w:rsid w:val="2E3C6F1C"/>
    <w:rsid w:val="2E667F96"/>
    <w:rsid w:val="2E8226AB"/>
    <w:rsid w:val="2EBB0C74"/>
    <w:rsid w:val="2EC85966"/>
    <w:rsid w:val="2F2367E2"/>
    <w:rsid w:val="2FCF1637"/>
    <w:rsid w:val="2FD065E6"/>
    <w:rsid w:val="2FD96870"/>
    <w:rsid w:val="30580BC9"/>
    <w:rsid w:val="308367C7"/>
    <w:rsid w:val="311E2ED7"/>
    <w:rsid w:val="315619EE"/>
    <w:rsid w:val="315C449C"/>
    <w:rsid w:val="31B82709"/>
    <w:rsid w:val="31D05482"/>
    <w:rsid w:val="32400B34"/>
    <w:rsid w:val="329C17B8"/>
    <w:rsid w:val="329E6876"/>
    <w:rsid w:val="333015F2"/>
    <w:rsid w:val="334B6320"/>
    <w:rsid w:val="334F1593"/>
    <w:rsid w:val="335D6BC8"/>
    <w:rsid w:val="33D934D4"/>
    <w:rsid w:val="33E06554"/>
    <w:rsid w:val="33FE2F6A"/>
    <w:rsid w:val="340E07E5"/>
    <w:rsid w:val="34235BF7"/>
    <w:rsid w:val="355E1F80"/>
    <w:rsid w:val="356748D6"/>
    <w:rsid w:val="358C5FA8"/>
    <w:rsid w:val="35C15DF1"/>
    <w:rsid w:val="35D60C7F"/>
    <w:rsid w:val="35FA2F6C"/>
    <w:rsid w:val="36074A7F"/>
    <w:rsid w:val="360F0F8E"/>
    <w:rsid w:val="367A0B2E"/>
    <w:rsid w:val="36923549"/>
    <w:rsid w:val="36B75FBF"/>
    <w:rsid w:val="36BD0C45"/>
    <w:rsid w:val="370A0F4B"/>
    <w:rsid w:val="37561281"/>
    <w:rsid w:val="375E768E"/>
    <w:rsid w:val="37E00298"/>
    <w:rsid w:val="38694C00"/>
    <w:rsid w:val="388B10A6"/>
    <w:rsid w:val="38B302F9"/>
    <w:rsid w:val="38D16ABE"/>
    <w:rsid w:val="38F12CD3"/>
    <w:rsid w:val="38F94775"/>
    <w:rsid w:val="392971ED"/>
    <w:rsid w:val="39325651"/>
    <w:rsid w:val="398C4461"/>
    <w:rsid w:val="3A5D795D"/>
    <w:rsid w:val="3A872856"/>
    <w:rsid w:val="3B3763D1"/>
    <w:rsid w:val="3BBE62F3"/>
    <w:rsid w:val="3BED50ED"/>
    <w:rsid w:val="3C2F6E1E"/>
    <w:rsid w:val="3C4F64BA"/>
    <w:rsid w:val="3C997641"/>
    <w:rsid w:val="3CB845F0"/>
    <w:rsid w:val="3CDA245A"/>
    <w:rsid w:val="3D1E06B7"/>
    <w:rsid w:val="3D21778A"/>
    <w:rsid w:val="3D517916"/>
    <w:rsid w:val="3EA263F4"/>
    <w:rsid w:val="3EDA0523"/>
    <w:rsid w:val="3EE34E0F"/>
    <w:rsid w:val="3FB87580"/>
    <w:rsid w:val="3FC53EB4"/>
    <w:rsid w:val="3FC615A3"/>
    <w:rsid w:val="400C1615"/>
    <w:rsid w:val="407A6407"/>
    <w:rsid w:val="40A97104"/>
    <w:rsid w:val="40D024FA"/>
    <w:rsid w:val="41114912"/>
    <w:rsid w:val="411A58FE"/>
    <w:rsid w:val="41D7769B"/>
    <w:rsid w:val="4200449D"/>
    <w:rsid w:val="420805CD"/>
    <w:rsid w:val="423A3BCC"/>
    <w:rsid w:val="424E57D2"/>
    <w:rsid w:val="42B26C49"/>
    <w:rsid w:val="42B54B97"/>
    <w:rsid w:val="42D10BB0"/>
    <w:rsid w:val="433A6FE6"/>
    <w:rsid w:val="43480868"/>
    <w:rsid w:val="4350713C"/>
    <w:rsid w:val="436653E0"/>
    <w:rsid w:val="43C4431A"/>
    <w:rsid w:val="43C50A51"/>
    <w:rsid w:val="441235E3"/>
    <w:rsid w:val="44A4731D"/>
    <w:rsid w:val="44B951CC"/>
    <w:rsid w:val="44CD14E0"/>
    <w:rsid w:val="44F20B0B"/>
    <w:rsid w:val="45280492"/>
    <w:rsid w:val="452E5F4C"/>
    <w:rsid w:val="45582786"/>
    <w:rsid w:val="45612018"/>
    <w:rsid w:val="458946E9"/>
    <w:rsid w:val="45A47C0E"/>
    <w:rsid w:val="45FD670D"/>
    <w:rsid w:val="46577FD6"/>
    <w:rsid w:val="46625172"/>
    <w:rsid w:val="46D955A7"/>
    <w:rsid w:val="46FB4C66"/>
    <w:rsid w:val="47133957"/>
    <w:rsid w:val="47800472"/>
    <w:rsid w:val="47A07E0C"/>
    <w:rsid w:val="47C26D53"/>
    <w:rsid w:val="4870272E"/>
    <w:rsid w:val="48FA1AF5"/>
    <w:rsid w:val="4954256B"/>
    <w:rsid w:val="4961136B"/>
    <w:rsid w:val="499E398E"/>
    <w:rsid w:val="49A63985"/>
    <w:rsid w:val="49DC7715"/>
    <w:rsid w:val="49E65A74"/>
    <w:rsid w:val="4A023139"/>
    <w:rsid w:val="4A026456"/>
    <w:rsid w:val="4A40521A"/>
    <w:rsid w:val="4A7B576F"/>
    <w:rsid w:val="4ACF3E3C"/>
    <w:rsid w:val="4AF561A9"/>
    <w:rsid w:val="4BE553D1"/>
    <w:rsid w:val="4C487D37"/>
    <w:rsid w:val="4C4A0649"/>
    <w:rsid w:val="4C7E5ECA"/>
    <w:rsid w:val="4C876AA5"/>
    <w:rsid w:val="4D0E00FB"/>
    <w:rsid w:val="4D176606"/>
    <w:rsid w:val="4DE26FC5"/>
    <w:rsid w:val="4DEC4FB0"/>
    <w:rsid w:val="4DED405F"/>
    <w:rsid w:val="4E075D8A"/>
    <w:rsid w:val="4E13078F"/>
    <w:rsid w:val="4E222E28"/>
    <w:rsid w:val="4EC00FAD"/>
    <w:rsid w:val="4EC051DA"/>
    <w:rsid w:val="4F9843DC"/>
    <w:rsid w:val="4FC62A8C"/>
    <w:rsid w:val="4FE20F0D"/>
    <w:rsid w:val="4FE51552"/>
    <w:rsid w:val="50504C4B"/>
    <w:rsid w:val="509C6E7C"/>
    <w:rsid w:val="50BE3793"/>
    <w:rsid w:val="50F13FBF"/>
    <w:rsid w:val="51464672"/>
    <w:rsid w:val="5162104E"/>
    <w:rsid w:val="516278C4"/>
    <w:rsid w:val="51A667D4"/>
    <w:rsid w:val="51BC69A8"/>
    <w:rsid w:val="51FD59A6"/>
    <w:rsid w:val="5214019C"/>
    <w:rsid w:val="52B96F4D"/>
    <w:rsid w:val="535A2C04"/>
    <w:rsid w:val="53A039CC"/>
    <w:rsid w:val="53A1505A"/>
    <w:rsid w:val="54063E08"/>
    <w:rsid w:val="543437E8"/>
    <w:rsid w:val="549A7A51"/>
    <w:rsid w:val="54D15923"/>
    <w:rsid w:val="54D20992"/>
    <w:rsid w:val="54F73313"/>
    <w:rsid w:val="54F80955"/>
    <w:rsid w:val="5538328F"/>
    <w:rsid w:val="555170A7"/>
    <w:rsid w:val="5587536D"/>
    <w:rsid w:val="559B174B"/>
    <w:rsid w:val="55CD51DE"/>
    <w:rsid w:val="55CE0CF4"/>
    <w:rsid w:val="55CE4423"/>
    <w:rsid w:val="56B22A9C"/>
    <w:rsid w:val="56EE22D2"/>
    <w:rsid w:val="57AF7DA9"/>
    <w:rsid w:val="57B72A76"/>
    <w:rsid w:val="57C3426C"/>
    <w:rsid w:val="57CE1F93"/>
    <w:rsid w:val="57F202BF"/>
    <w:rsid w:val="58036FBA"/>
    <w:rsid w:val="588743D1"/>
    <w:rsid w:val="5887701A"/>
    <w:rsid w:val="59C0439F"/>
    <w:rsid w:val="59E55D56"/>
    <w:rsid w:val="5ABE2233"/>
    <w:rsid w:val="5B9E7FC4"/>
    <w:rsid w:val="5BDF5D95"/>
    <w:rsid w:val="5BFE7528"/>
    <w:rsid w:val="5DB33B07"/>
    <w:rsid w:val="5E2467F1"/>
    <w:rsid w:val="5F197CFB"/>
    <w:rsid w:val="5F1A2B43"/>
    <w:rsid w:val="5FB837BB"/>
    <w:rsid w:val="5FFF6646"/>
    <w:rsid w:val="602729DA"/>
    <w:rsid w:val="60326087"/>
    <w:rsid w:val="60442349"/>
    <w:rsid w:val="60933C48"/>
    <w:rsid w:val="60CC405A"/>
    <w:rsid w:val="61E215D8"/>
    <w:rsid w:val="621B3775"/>
    <w:rsid w:val="62276FE4"/>
    <w:rsid w:val="62364782"/>
    <w:rsid w:val="62A96D2C"/>
    <w:rsid w:val="638B431B"/>
    <w:rsid w:val="6394356A"/>
    <w:rsid w:val="63C61B2C"/>
    <w:rsid w:val="63D40BE9"/>
    <w:rsid w:val="64102431"/>
    <w:rsid w:val="6429544D"/>
    <w:rsid w:val="64A5243A"/>
    <w:rsid w:val="64F531DE"/>
    <w:rsid w:val="65373578"/>
    <w:rsid w:val="65554668"/>
    <w:rsid w:val="6655650D"/>
    <w:rsid w:val="66B61532"/>
    <w:rsid w:val="66F45E44"/>
    <w:rsid w:val="671F124A"/>
    <w:rsid w:val="677A33C6"/>
    <w:rsid w:val="67EE4C5D"/>
    <w:rsid w:val="681F6961"/>
    <w:rsid w:val="68610A2F"/>
    <w:rsid w:val="68805514"/>
    <w:rsid w:val="68AC3AFE"/>
    <w:rsid w:val="692A1084"/>
    <w:rsid w:val="69316E2F"/>
    <w:rsid w:val="694E2071"/>
    <w:rsid w:val="69766163"/>
    <w:rsid w:val="697A3B33"/>
    <w:rsid w:val="69D44760"/>
    <w:rsid w:val="6A037DFA"/>
    <w:rsid w:val="6A13061B"/>
    <w:rsid w:val="6A520EC7"/>
    <w:rsid w:val="6A70078A"/>
    <w:rsid w:val="6A744C0B"/>
    <w:rsid w:val="6A7950D2"/>
    <w:rsid w:val="6A8F475A"/>
    <w:rsid w:val="6AC16EFE"/>
    <w:rsid w:val="6AF87E20"/>
    <w:rsid w:val="6B1417D9"/>
    <w:rsid w:val="6B322639"/>
    <w:rsid w:val="6B395A6E"/>
    <w:rsid w:val="6B42001F"/>
    <w:rsid w:val="6B8D2A0C"/>
    <w:rsid w:val="6BAE566E"/>
    <w:rsid w:val="6C636C38"/>
    <w:rsid w:val="6CAA3B8F"/>
    <w:rsid w:val="6DB34098"/>
    <w:rsid w:val="6DB545B6"/>
    <w:rsid w:val="6DE02FB4"/>
    <w:rsid w:val="6E2941F6"/>
    <w:rsid w:val="6E514CED"/>
    <w:rsid w:val="6EB563D5"/>
    <w:rsid w:val="6ED92677"/>
    <w:rsid w:val="6F225983"/>
    <w:rsid w:val="6F8568AE"/>
    <w:rsid w:val="6FBA0B1D"/>
    <w:rsid w:val="6FFC5590"/>
    <w:rsid w:val="706D1DD0"/>
    <w:rsid w:val="70784804"/>
    <w:rsid w:val="70856B87"/>
    <w:rsid w:val="70D527EE"/>
    <w:rsid w:val="70E21275"/>
    <w:rsid w:val="713D08DD"/>
    <w:rsid w:val="715B5300"/>
    <w:rsid w:val="718B1D34"/>
    <w:rsid w:val="71D27F8A"/>
    <w:rsid w:val="72553024"/>
    <w:rsid w:val="72DB3BA1"/>
    <w:rsid w:val="72E07C3B"/>
    <w:rsid w:val="730C62F9"/>
    <w:rsid w:val="73122968"/>
    <w:rsid w:val="731F5D5E"/>
    <w:rsid w:val="735E15F2"/>
    <w:rsid w:val="73C51AD5"/>
    <w:rsid w:val="73D06FCE"/>
    <w:rsid w:val="741E793C"/>
    <w:rsid w:val="74441E77"/>
    <w:rsid w:val="745E3944"/>
    <w:rsid w:val="74A4533D"/>
    <w:rsid w:val="75502130"/>
    <w:rsid w:val="755E78E3"/>
    <w:rsid w:val="75CF5C6C"/>
    <w:rsid w:val="7635099D"/>
    <w:rsid w:val="76AB1BAF"/>
    <w:rsid w:val="76EA35DF"/>
    <w:rsid w:val="770A5210"/>
    <w:rsid w:val="77762421"/>
    <w:rsid w:val="77B56B1F"/>
    <w:rsid w:val="77C54371"/>
    <w:rsid w:val="780F09F4"/>
    <w:rsid w:val="784E49F0"/>
    <w:rsid w:val="787205A5"/>
    <w:rsid w:val="78A90480"/>
    <w:rsid w:val="7A364017"/>
    <w:rsid w:val="7A8265E1"/>
    <w:rsid w:val="7AC07894"/>
    <w:rsid w:val="7AD7534C"/>
    <w:rsid w:val="7B686D42"/>
    <w:rsid w:val="7B841746"/>
    <w:rsid w:val="7BA75BD4"/>
    <w:rsid w:val="7BB74CCF"/>
    <w:rsid w:val="7C1F3148"/>
    <w:rsid w:val="7C6C5AC7"/>
    <w:rsid w:val="7CC6544B"/>
    <w:rsid w:val="7D0239FF"/>
    <w:rsid w:val="7D5E40CD"/>
    <w:rsid w:val="7D6D449F"/>
    <w:rsid w:val="7DCD56F2"/>
    <w:rsid w:val="7E1C1624"/>
    <w:rsid w:val="7F001CE7"/>
    <w:rsid w:val="7FE47E50"/>
  </w:rsids>
  <w:docVars>
    <w:docVar w:name="commondata" w:val="eyJoZGlkIjoiOTg5MDRhMWRjOTZmMWRhN2VlNTkyNmIzY2NmYjQ2ZD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locked="1" w:semiHidden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locked="1" w:semiHidden="0" w:uiPriority="0" w:unhideWhenUsed="0"/>
    <w:lsdException w:name="index 2" w:locked="1" w:semiHidden="0" w:uiPriority="0" w:unhideWhenUsed="0"/>
    <w:lsdException w:name="index 3" w:locked="1" w:semiHidden="0" w:uiPriority="0" w:unhideWhenUsed="0"/>
    <w:lsdException w:name="index 4" w:locked="1" w:semiHidden="0" w:uiPriority="0" w:unhideWhenUsed="0"/>
    <w:lsdException w:name="index 5" w:locked="1" w:semiHidden="0" w:uiPriority="0" w:unhideWhenUsed="0"/>
    <w:lsdException w:name="index 6" w:locked="1" w:semiHidden="0" w:uiPriority="0" w:unhideWhenUsed="0"/>
    <w:lsdException w:name="index 7" w:locked="1" w:semiHidden="0" w:uiPriority="0" w:unhideWhenUsed="0"/>
    <w:lsdException w:name="index 8" w:locked="1" w:semiHidden="0" w:uiPriority="0" w:unhideWhenUsed="0"/>
    <w:lsdException w:name="index 9" w:locked="1" w:semiHidden="0" w:uiPriority="0" w:unhideWhenUsed="0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 w:locked="1" w:semiHidden="0" w:uiPriority="0" w:unhideWhenUsed="0"/>
    <w:lsdException w:name="footnote text" w:locked="1" w:semiHidden="0" w:uiPriority="0" w:unhideWhenUsed="0"/>
    <w:lsdException w:name="annotation text" w:semiHidden="0" w:uiPriority="0" w:unhideWhenUsed="0" w:qFormat="1"/>
    <w:lsdException w:name="header" w:semiHidden="0" w:uiPriority="0" w:unhideWhenUsed="0"/>
    <w:lsdException w:name="footer" w:semiHidden="0" w:unhideWhenUsed="0"/>
    <w:lsdException w:name="index heading" w:locked="1" w:semiHidden="0" w:uiPriority="0" w:unhideWhenUsed="0"/>
    <w:lsdException w:name="caption" w:locked="1" w:uiPriority="0" w:qFormat="1"/>
    <w:lsdException w:name="table of figures" w:locked="1" w:semiHidden="0" w:qFormat="1"/>
    <w:lsdException w:name="envelope address" w:locked="1" w:semiHidden="0" w:uiPriority="0" w:unhideWhenUsed="0"/>
    <w:lsdException w:name="envelope return" w:locked="1" w:semiHidden="0" w:uiPriority="0" w:unhideWhenUsed="0"/>
    <w:lsdException w:name="footnote reference" w:locked="1" w:semiHidden="0" w:uiPriority="0" w:unhideWhenUsed="0"/>
    <w:lsdException w:name="annotation reference" w:semiHidden="0" w:uiPriority="0" w:unhideWhenUsed="0"/>
    <w:lsdException w:name="line number" w:locked="1" w:semiHidden="0" w:uiPriority="0" w:unhideWhenUsed="0"/>
    <w:lsdException w:name="page number" w:locked="1" w:semiHidden="0" w:uiPriority="0" w:unhideWhenUsed="0"/>
    <w:lsdException w:name="endnote reference" w:locked="1" w:semiHidden="0" w:uiPriority="0" w:unhideWhenUsed="0"/>
    <w:lsdException w:name="endnote text" w:locked="1" w:semiHidden="0" w:uiPriority="0" w:unhideWhenUsed="0"/>
    <w:lsdException w:name="table of authorities" w:locked="1" w:semiHidden="0" w:uiPriority="0" w:unhideWhenUsed="0"/>
    <w:lsdException w:name="macro" w:locked="1" w:semiHidden="0" w:uiPriority="0" w:unhideWhenUsed="0"/>
    <w:lsdException w:name="toa heading" w:locked="1" w:semiHidden="0" w:uiPriority="0" w:unhideWhenUsed="0"/>
    <w:lsdException w:name="List" w:locked="1" w:semiHidden="0" w:uiPriority="0" w:unhideWhenUsed="0"/>
    <w:lsdException w:name="List Bullet" w:locked="1" w:semiHidden="0" w:uiPriority="0" w:unhideWhenUsed="0"/>
    <w:lsdException w:name="List Number" w:locked="1" w:semiHidden="0" w:uiPriority="0" w:unhideWhenUsed="0"/>
    <w:lsdException w:name="List 2" w:locked="1" w:semiHidden="0" w:uiPriority="0" w:unhideWhenUsed="0"/>
    <w:lsdException w:name="List 3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List Bullet 2" w:locked="1" w:semiHidden="0" w:uiPriority="0" w:unhideWhenUsed="0"/>
    <w:lsdException w:name="List Bullet 3" w:locked="1" w:semiHidden="0" w:uiPriority="0" w:unhideWhenUsed="0"/>
    <w:lsdException w:name="List Bullet 4" w:locked="1" w:semiHidden="0" w:uiPriority="0" w:unhideWhenUsed="0"/>
    <w:lsdException w:name="List Bullet 5" w:locked="1" w:semiHidden="0" w:uiPriority="0" w:unhideWhenUsed="0" w:qFormat="1"/>
    <w:lsdException w:name="List Number 2" w:locked="1" w:semiHidden="0" w:uiPriority="0" w:unhideWhenUsed="0"/>
    <w:lsdException w:name="List Number 3" w:locked="1" w:semiHidden="0" w:uiPriority="0" w:unhideWhenUsed="0"/>
    <w:lsdException w:name="List Number 4" w:locked="1" w:semiHidden="0" w:uiPriority="0" w:unhideWhenUsed="0"/>
    <w:lsdException w:name="List Number 5" w:locked="1" w:semiHidden="0" w:uiPriority="0" w:unhideWhenUsed="0"/>
    <w:lsdException w:name="Title" w:locked="1" w:semiHidden="0" w:uiPriority="0" w:unhideWhenUsed="0" w:qFormat="1"/>
    <w:lsdException w:name="Closing" w:locked="1" w:semiHidden="0" w:uiPriority="0" w:unhideWhenUsed="0"/>
    <w:lsdException w:name="Signature" w:locked="1" w:semiHidden="0" w:uiPriority="0" w:unhideWhenUsed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List Continue" w:locked="1" w:semiHidden="0" w:uiPriority="0" w:unhideWhenUsed="0"/>
    <w:lsdException w:name="List Continue 2" w:locked="1" w:semiHidden="0" w:uiPriority="0" w:unhideWhenUsed="0"/>
    <w:lsdException w:name="List Continue 3" w:locked="1" w:semiHidden="0" w:uiPriority="0" w:unhideWhenUsed="0"/>
    <w:lsdException w:name="List Continue 4" w:locked="1" w:semiHidden="0" w:uiPriority="0" w:unhideWhenUsed="0"/>
    <w:lsdException w:name="List Continue 5" w:locked="1" w:semiHidden="0" w:uiPriority="0" w:unhideWhenUsed="0"/>
    <w:lsdException w:name="Message Header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semiHidden="0" w:uiPriority="0" w:unhideWhenUsed="0" w:qFormat="1"/>
    <w:lsdException w:name="Body Text First Indent" w:locked="1" w:semiHidden="0" w:uiPriority="0" w:unhideWhenUsed="0" w:qFormat="1"/>
    <w:lsdException w:name="Body Text First Indent 2" w:locked="1" w:semiHidden="0" w:uiPriority="0" w:unhideWhenUsed="0"/>
    <w:lsdException w:name="Note Heading" w:locked="1" w:semiHidden="0" w:uiPriority="0" w:unhideWhenUsed="0"/>
    <w:lsdException w:name="Body Text 2" w:locked="1" w:semiHidden="0" w:uiPriority="0" w:unhideWhenUsed="0"/>
    <w:lsdException w:name="Body Text 3" w:locked="1" w:semiHidden="0" w:uiPriority="0" w:unhideWhenUsed="0"/>
    <w:lsdException w:name="Body Text Indent 2" w:locked="1" w:semiHidden="0" w:uiPriority="0" w:unhideWhenUsed="0"/>
    <w:lsdException w:name="Body Text Indent 3" w:locked="1" w:semiHidden="0" w:uiPriority="0" w:unhideWhenUsed="0"/>
    <w:lsdException w:name="Block Text" w:locked="1" w:semiHidden="0" w:uiPriority="0" w:unhideWhenUsed="0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locked="1" w:semiHidden="0" w:uiPriority="0" w:unhideWhenUsed="0"/>
    <w:lsdException w:name="Plain Text" w:locked="1" w:semiHidden="0" w:uiPriority="0" w:unhideWhenUsed="0" w:qFormat="1"/>
    <w:lsdException w:name="E-mail Signature" w:locked="1" w:semiHidden="0" w:uiPriority="0" w:unhideWhenUsed="0"/>
    <w:lsdException w:name="Normal (Web)" w:semiHidden="0" w:uiPriority="0" w:unhideWhenUsed="0" w:qFormat="1"/>
    <w:lsdException w:name="HTML Acronym" w:locked="1" w:semiHidden="0" w:uiPriority="0" w:unhideWhenUsed="0"/>
    <w:lsdException w:name="HTML Address" w:locked="1" w:semiHidden="0" w:uiPriority="0" w:unhideWhenUsed="0"/>
    <w:lsdException w:name="HTML Cite" w:locked="1" w:semiHidden="0" w:uiPriority="0" w:unhideWhenUsed="0"/>
    <w:lsdException w:name="HTML Code" w:locked="1" w:semiHidden="0" w:uiPriority="0" w:unhideWhenUsed="0"/>
    <w:lsdException w:name="HTML Definition" w:locked="1" w:semiHidden="0" w:uiPriority="0" w:unhideWhenUsed="0"/>
    <w:lsdException w:name="HTML Keyboard" w:locked="1" w:semiHidden="0" w:uiPriority="0" w:unhideWhenUsed="0"/>
    <w:lsdException w:name="HTML Preformatted" w:locked="1" w:semiHidden="0" w:uiPriority="0" w:unhideWhenUsed="0"/>
    <w:lsdException w:name="HTML Sample" w:locked="1" w:semiHidden="0" w:uiPriority="0" w:unhideWhenUsed="0"/>
    <w:lsdException w:name="HTML Typewriter" w:locked="1" w:semiHidden="0" w:uiPriority="0" w:unhideWhenUsed="0"/>
    <w:lsdException w:name="HTML Variable" w:locked="1" w:semiHidden="0" w:uiPriority="0" w:unhideWhenUsed="0"/>
    <w:lsdException w:name="Normal Table"/>
    <w:lsdException w:name="annotation subject" w:uiPriority="0" w:unhideWhenUsed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uiPriority="0" w:unhideWhenUsed="0"/>
    <w:lsdException w:name="Table Grid" w:semiHidden="0" w:uiPriority="0" w:unhideWhenUsed="0" w:qFormat="1"/>
    <w:lsdException w:name="Table Theme" w:locked="1" w:uiPriority="0"/>
    <w:lsdException w:name="Placeholder Text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uiPriority w:val="99"/>
    <w:qFormat/>
    <w:locked/>
    <w:pPr>
      <w:keepNext/>
      <w:overflowPunct w:val="0"/>
      <w:snapToGrid w:val="0"/>
      <w:spacing w:before="120" w:after="160" w:line="259" w:lineRule="auto"/>
      <w:ind w:left="432" w:hanging="432"/>
      <w:outlineLvl w:val="0"/>
    </w:pPr>
    <w:rPr>
      <w:rFonts w:eastAsia="黑体"/>
      <w:b/>
      <w:bCs/>
      <w:color w:val="000000"/>
      <w:kern w:val="44"/>
      <w:sz w:val="30"/>
      <w:szCs w:val="30"/>
    </w:rPr>
  </w:style>
  <w:style w:type="paragraph" w:styleId="Heading2">
    <w:name w:val="heading 2"/>
    <w:basedOn w:val="Normal"/>
    <w:next w:val="Normal"/>
    <w:qFormat/>
    <w:locked/>
    <w:pPr>
      <w:adjustRightInd w:val="0"/>
      <w:snapToGrid w:val="0"/>
      <w:spacing w:line="360" w:lineRule="auto"/>
      <w:outlineLvl w:val="1"/>
    </w:pPr>
    <w:rPr>
      <w:rFonts w:ascii="宋体" w:hAnsi="宋体"/>
      <w:b/>
      <w:bCs/>
      <w:kern w:val="0"/>
      <w:sz w:val="28"/>
      <w:szCs w:val="32"/>
    </w:rPr>
  </w:style>
  <w:style w:type="paragraph" w:styleId="Heading3">
    <w:name w:val="heading 3"/>
    <w:basedOn w:val="Normal"/>
    <w:next w:val="Normal"/>
    <w:qFormat/>
    <w:locked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"/>
    <w:qFormat/>
    <w:pPr>
      <w:jc w:val="left"/>
    </w:pPr>
    <w:rPr>
      <w:kern w:val="0"/>
      <w:sz w:val="24"/>
      <w:szCs w:val="20"/>
    </w:rPr>
  </w:style>
  <w:style w:type="paragraph" w:styleId="BodyText">
    <w:name w:val="Body Text"/>
    <w:basedOn w:val="Normal"/>
    <w:next w:val="ListBullet5"/>
    <w:link w:val="a0"/>
    <w:qFormat/>
    <w:pPr>
      <w:widowControl/>
      <w:snapToGrid w:val="0"/>
      <w:spacing w:before="60" w:after="160" w:line="259" w:lineRule="auto"/>
      <w:ind w:right="113"/>
    </w:pPr>
    <w:rPr>
      <w:kern w:val="0"/>
      <w:sz w:val="18"/>
      <w:szCs w:val="20"/>
    </w:rPr>
  </w:style>
  <w:style w:type="paragraph" w:styleId="ListBullet5">
    <w:name w:val="List Bullet 5"/>
    <w:basedOn w:val="Normal"/>
    <w:qFormat/>
    <w:locked/>
    <w:pPr>
      <w:numPr>
        <w:ilvl w:val="0"/>
        <w:numId w:val="1"/>
      </w:numPr>
      <w:tabs>
        <w:tab w:val="left" w:pos="2040"/>
      </w:tabs>
    </w:pPr>
  </w:style>
  <w:style w:type="paragraph" w:styleId="BodyTextIndent">
    <w:name w:val="Body Text Indent"/>
    <w:basedOn w:val="Normal"/>
    <w:next w:val="BodyTextFirstIndent"/>
    <w:link w:val="a1"/>
    <w:qFormat/>
    <w:pPr>
      <w:spacing w:after="120"/>
      <w:ind w:left="420" w:leftChars="200"/>
    </w:pPr>
    <w:rPr>
      <w:kern w:val="0"/>
      <w:sz w:val="24"/>
      <w:szCs w:val="20"/>
    </w:rPr>
  </w:style>
  <w:style w:type="paragraph" w:styleId="BodyTextFirstIndent">
    <w:name w:val="Body Text First Indent"/>
    <w:basedOn w:val="BodyText"/>
    <w:next w:val="TableofFigures"/>
    <w:qFormat/>
    <w:locked/>
    <w:pPr>
      <w:ind w:firstLine="420" w:firstLineChars="100"/>
    </w:pPr>
    <w:rPr>
      <w:rFonts w:eastAsia="Times New Roman"/>
    </w:rPr>
  </w:style>
  <w:style w:type="paragraph" w:styleId="TableofFigures">
    <w:name w:val="table of figures"/>
    <w:basedOn w:val="Normal"/>
    <w:next w:val="Normal"/>
    <w:uiPriority w:val="99"/>
    <w:unhideWhenUsed/>
    <w:qFormat/>
    <w:locked/>
  </w:style>
  <w:style w:type="paragraph" w:styleId="PlainText">
    <w:name w:val="Plain Text"/>
    <w:basedOn w:val="Normal"/>
    <w:qFormat/>
    <w:locked/>
    <w:rPr>
      <w:rFonts w:ascii="宋体"/>
    </w:rPr>
  </w:style>
  <w:style w:type="paragraph" w:styleId="Date">
    <w:name w:val="Date"/>
    <w:basedOn w:val="Normal"/>
    <w:next w:val="Normal"/>
    <w:link w:val="1"/>
    <w:qFormat/>
    <w:pPr>
      <w:ind w:left="100" w:leftChars="2500"/>
    </w:pPr>
    <w:rPr>
      <w:kern w:val="0"/>
      <w:sz w:val="24"/>
      <w:szCs w:val="20"/>
    </w:rPr>
  </w:style>
  <w:style w:type="paragraph" w:styleId="BalloonText">
    <w:name w:val="Balloon Text"/>
    <w:basedOn w:val="Normal"/>
    <w:link w:val="a2"/>
    <w:semiHidden/>
    <w:rPr>
      <w:kern w:val="0"/>
      <w:sz w:val="18"/>
      <w:szCs w:val="20"/>
    </w:rPr>
  </w:style>
  <w:style w:type="paragraph" w:styleId="Footer">
    <w:name w:val="footer"/>
    <w:basedOn w:val="Normal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Header">
    <w:name w:val="header"/>
    <w:basedOn w:val="Normal"/>
    <w:link w:val="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NormalWeb">
    <w:name w:val="Normal (Web)"/>
    <w:basedOn w:val="Normal"/>
    <w:link w:val="a4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Title">
    <w:name w:val="Title"/>
    <w:basedOn w:val="Normal"/>
    <w:next w:val="Normal"/>
    <w:link w:val="a16"/>
    <w:qFormat/>
    <w:locked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a5"/>
    <w:semiHidden/>
    <w:rPr>
      <w:b/>
    </w:rPr>
  </w:style>
  <w:style w:type="paragraph" w:styleId="BodyTextFirstIndent2">
    <w:name w:val="Body Text First Indent 2"/>
    <w:basedOn w:val="Normal"/>
    <w:next w:val="Normal"/>
    <w:locked/>
    <w:pPr>
      <w:ind w:firstLine="420" w:firstLineChars="200"/>
    </w:pPr>
    <w:rPr>
      <w:szCs w:val="20"/>
    </w:r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locked/>
    <w:rPr>
      <w:b/>
    </w:rPr>
  </w:style>
  <w:style w:type="character" w:styleId="PageNumber">
    <w:name w:val="page number"/>
    <w:locked/>
  </w:style>
  <w:style w:type="character" w:styleId="Hyperlink">
    <w:name w:val="Hyperlink"/>
    <w:locked/>
    <w:rPr>
      <w:color w:val="0000FF"/>
      <w:u w:val="single"/>
    </w:rPr>
  </w:style>
  <w:style w:type="character" w:styleId="CommentReference">
    <w:name w:val="annotation reference"/>
    <w:rPr>
      <w:sz w:val="21"/>
    </w:rPr>
  </w:style>
  <w:style w:type="character" w:customStyle="1" w:styleId="a">
    <w:name w:val="批注文字 字符"/>
    <w:link w:val="CommentText"/>
    <w:qFormat/>
    <w:locked/>
    <w:rPr>
      <w:rFonts w:ascii="Times New Roman" w:eastAsia="宋体" w:hAnsi="Times New Roman"/>
      <w:sz w:val="24"/>
    </w:rPr>
  </w:style>
  <w:style w:type="character" w:customStyle="1" w:styleId="a0">
    <w:name w:val="正文文本 字符"/>
    <w:link w:val="BodyText"/>
    <w:locked/>
    <w:rPr>
      <w:sz w:val="18"/>
    </w:rPr>
  </w:style>
  <w:style w:type="character" w:customStyle="1" w:styleId="a1">
    <w:name w:val="正文文本缩进 字符"/>
    <w:link w:val="BodyTextIndent"/>
    <w:semiHidden/>
    <w:qFormat/>
    <w:locked/>
    <w:rPr>
      <w:rFonts w:ascii="Times New Roman" w:eastAsia="宋体" w:hAnsi="Times New Roman"/>
      <w:sz w:val="24"/>
    </w:rPr>
  </w:style>
  <w:style w:type="character" w:customStyle="1" w:styleId="1">
    <w:name w:val="日期 字符1"/>
    <w:link w:val="Date"/>
    <w:qFormat/>
    <w:locked/>
    <w:rPr>
      <w:rFonts w:ascii="Times New Roman" w:eastAsia="宋体" w:hAnsi="Times New Roman"/>
      <w:sz w:val="24"/>
    </w:rPr>
  </w:style>
  <w:style w:type="character" w:customStyle="1" w:styleId="a2">
    <w:name w:val="批注框文本 字符"/>
    <w:link w:val="BalloonText"/>
    <w:semiHidden/>
    <w:qFormat/>
    <w:locked/>
    <w:rPr>
      <w:rFonts w:ascii="Times New Roman" w:eastAsia="宋体" w:hAnsi="Times New Roman"/>
      <w:sz w:val="18"/>
    </w:rPr>
  </w:style>
  <w:style w:type="character" w:customStyle="1" w:styleId="10">
    <w:name w:val="页脚 字符1"/>
    <w:link w:val="Footer"/>
    <w:uiPriority w:val="99"/>
    <w:qFormat/>
    <w:locked/>
    <w:rPr>
      <w:sz w:val="18"/>
    </w:rPr>
  </w:style>
  <w:style w:type="character" w:customStyle="1" w:styleId="a3">
    <w:name w:val="页眉 字符"/>
    <w:link w:val="Header"/>
    <w:qFormat/>
    <w:locked/>
    <w:rPr>
      <w:sz w:val="18"/>
    </w:rPr>
  </w:style>
  <w:style w:type="character" w:customStyle="1" w:styleId="a4">
    <w:name w:val="普通(网站) 字符"/>
    <w:link w:val="NormalWeb"/>
    <w:qFormat/>
    <w:locked/>
    <w:rPr>
      <w:rFonts w:ascii="宋体" w:eastAsia="宋体" w:hAnsi="宋体"/>
      <w:sz w:val="24"/>
    </w:rPr>
  </w:style>
  <w:style w:type="character" w:customStyle="1" w:styleId="a5">
    <w:name w:val="批注主题 字符"/>
    <w:link w:val="CommentSubject"/>
    <w:semiHidden/>
    <w:qFormat/>
    <w:locked/>
    <w:rPr>
      <w:rFonts w:ascii="Times New Roman" w:eastAsia="宋体" w:hAnsi="Times New Roman"/>
      <w:b/>
      <w:kern w:val="2"/>
      <w:sz w:val="24"/>
    </w:rPr>
  </w:style>
  <w:style w:type="character" w:customStyle="1" w:styleId="a6">
    <w:name w:val="页脚 字符"/>
    <w:uiPriority w:val="99"/>
    <w:qFormat/>
  </w:style>
  <w:style w:type="character" w:customStyle="1" w:styleId="11">
    <w:name w:val="正文文本 字符1"/>
    <w:semiHidden/>
    <w:qFormat/>
    <w:rPr>
      <w:rFonts w:ascii="Times New Roman" w:eastAsia="宋体" w:hAnsi="Times New Roman"/>
      <w:sz w:val="24"/>
    </w:rPr>
  </w:style>
  <w:style w:type="character" w:customStyle="1" w:styleId="Char">
    <w:name w:val="表格 Char"/>
    <w:link w:val="a7"/>
    <w:qFormat/>
    <w:locked/>
    <w:rPr>
      <w:rFonts w:ascii="宋体"/>
      <w:sz w:val="21"/>
    </w:rPr>
  </w:style>
  <w:style w:type="paragraph" w:customStyle="1" w:styleId="a7">
    <w:name w:val="表格"/>
    <w:basedOn w:val="Normal"/>
    <w:next w:val="Normal"/>
    <w:link w:val="Char"/>
    <w:qFormat/>
    <w:pPr>
      <w:adjustRightInd w:val="0"/>
      <w:snapToGrid w:val="0"/>
      <w:spacing w:beforeLines="10" w:afterLines="10" w:line="259" w:lineRule="auto"/>
      <w:jc w:val="center"/>
    </w:pPr>
    <w:rPr>
      <w:rFonts w:ascii="宋体"/>
      <w:kern w:val="0"/>
      <w:szCs w:val="20"/>
    </w:rPr>
  </w:style>
  <w:style w:type="character" w:customStyle="1" w:styleId="a8">
    <w:name w:val="日期 字符"/>
    <w:semiHidden/>
    <w:qFormat/>
    <w:rPr>
      <w:rFonts w:ascii="Times New Roman" w:eastAsia="宋体" w:hAnsi="Times New Roman"/>
      <w:sz w:val="24"/>
    </w:rPr>
  </w:style>
  <w:style w:type="character" w:customStyle="1" w:styleId="12">
    <w:name w:val="批注文字 字符1"/>
    <w:semiHidden/>
    <w:qFormat/>
    <w:rPr>
      <w:rFonts w:ascii="Times New Roman" w:eastAsia="宋体" w:hAnsi="Times New Roman"/>
      <w:sz w:val="24"/>
    </w:rPr>
  </w:style>
  <w:style w:type="paragraph" w:customStyle="1" w:styleId="100">
    <w:name w:val="正文_1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2">
    <w:name w:val="普通(网站)2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/>
      <w:sz w:val="24"/>
      <w:szCs w:val="20"/>
    </w:rPr>
  </w:style>
  <w:style w:type="paragraph" w:customStyle="1" w:styleId="a9">
    <w:name w:val="表格文字"/>
    <w:basedOn w:val="Normal"/>
    <w:next w:val="Normal"/>
    <w:qFormat/>
    <w:pPr>
      <w:adjustRightInd w:val="0"/>
      <w:jc w:val="center"/>
    </w:pPr>
    <w:rPr>
      <w:rFonts w:ascii="宋体" w:hAnsi="宋体"/>
      <w:szCs w:val="21"/>
    </w:rPr>
  </w:style>
  <w:style w:type="paragraph" w:customStyle="1" w:styleId="13">
    <w:name w:val="正文1"/>
    <w:basedOn w:val="Normal"/>
    <w:qFormat/>
    <w:pPr>
      <w:adjustRightInd w:val="0"/>
      <w:spacing w:line="315" w:lineRule="atLeast"/>
    </w:pPr>
    <w:rPr>
      <w:rFonts w:ascii="宋体" w:hint="eastAsia"/>
      <w:kern w:val="0"/>
      <w:sz w:val="24"/>
      <w:szCs w:val="22"/>
    </w:rPr>
  </w:style>
  <w:style w:type="paragraph" w:customStyle="1" w:styleId="a10">
    <w:name w:val="表内内容"/>
    <w:basedOn w:val="Normal"/>
    <w:qFormat/>
    <w:pPr>
      <w:jc w:val="center"/>
    </w:pPr>
  </w:style>
  <w:style w:type="paragraph" w:customStyle="1" w:styleId="22Char01">
    <w:name w:val="样式 样式 样式 小四 左 首行缩进:  2 字符 + 首行缩进:  2 字符 Char + 右  0 字符1"/>
    <w:basedOn w:val="Normal"/>
    <w:qFormat/>
    <w:pPr>
      <w:adjustRightInd w:val="0"/>
      <w:spacing w:line="360" w:lineRule="auto"/>
      <w:ind w:firstLine="200" w:firstLineChars="200"/>
      <w:jc w:val="left"/>
    </w:pPr>
    <w:rPr>
      <w:sz w:val="24"/>
      <w:szCs w:val="20"/>
    </w:rPr>
  </w:style>
  <w:style w:type="paragraph" w:customStyle="1" w:styleId="a11">
    <w:name w:val="项目正文，无格式"/>
    <w:basedOn w:val="Normal"/>
    <w:qFormat/>
    <w:pPr>
      <w:spacing w:line="520" w:lineRule="exact"/>
      <w:ind w:firstLine="644" w:firstLineChars="200"/>
      <w:jc w:val="center"/>
    </w:pPr>
    <w:rPr>
      <w:kern w:val="0"/>
      <w:sz w:val="20"/>
      <w:szCs w:val="18"/>
      <w:lang w:eastAsia="ja-JP"/>
    </w:rPr>
  </w:style>
  <w:style w:type="paragraph" w:customStyle="1" w:styleId="20">
    <w:name w:val="正文缩进2"/>
    <w:basedOn w:val="Normal"/>
    <w:qFormat/>
    <w:pPr>
      <w:ind w:firstLine="420"/>
    </w:pPr>
    <w:rPr>
      <w:sz w:val="24"/>
    </w:rPr>
  </w:style>
  <w:style w:type="paragraph" w:customStyle="1" w:styleId="21">
    <w:name w:val="样式2"/>
    <w:basedOn w:val="Footer"/>
    <w:qFormat/>
    <w:pPr>
      <w:widowControl/>
    </w:pPr>
  </w:style>
  <w:style w:type="paragraph" w:customStyle="1" w:styleId="14">
    <w:name w:val="无间隔1"/>
    <w:basedOn w:val="BodyText"/>
    <w:next w:val="BodyText"/>
    <w:uiPriority w:val="1"/>
    <w:qFormat/>
    <w:pPr>
      <w:spacing w:after="0" w:line="360" w:lineRule="exact"/>
      <w:jc w:val="center"/>
    </w:pPr>
    <w:rPr>
      <w:rFonts w:eastAsia="黑体"/>
      <w:sz w:val="21"/>
    </w:rPr>
  </w:style>
  <w:style w:type="paragraph" w:customStyle="1" w:styleId="a12">
    <w:name w:val="应填表格"/>
    <w:basedOn w:val="Normal"/>
    <w:qFormat/>
    <w:pPr>
      <w:adjustRightInd w:val="0"/>
      <w:spacing w:before="40" w:after="40"/>
      <w:jc w:val="left"/>
      <w:textAlignment w:val="baseline"/>
    </w:pPr>
    <w:rPr>
      <w:rFonts w:ascii="Calibri" w:hAnsi="Calibri"/>
      <w:kern w:val="0"/>
      <w:sz w:val="24"/>
    </w:rPr>
  </w:style>
  <w:style w:type="character" w:customStyle="1" w:styleId="fontstyle01">
    <w:name w:val="fontstyle01"/>
    <w:qFormat/>
    <w:rPr>
      <w:rFonts w:ascii="宋体" w:eastAsia="宋体" w:hAnsi="宋体" w:cs="宋体"/>
      <w:color w:val="000000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  <w:style w:type="paragraph" w:customStyle="1" w:styleId="15">
    <w:name w:val="正文首行缩进1"/>
    <w:basedOn w:val="Normal"/>
    <w:qFormat/>
    <w:pPr>
      <w:adjustRightInd w:val="0"/>
      <w:snapToGrid w:val="0"/>
      <w:spacing w:line="360" w:lineRule="auto"/>
      <w:ind w:firstLine="482"/>
      <w:jc w:val="left"/>
    </w:pPr>
    <w:rPr>
      <w:snapToGrid w:val="0"/>
      <w:kern w:val="0"/>
      <w:sz w:val="24"/>
    </w:rPr>
  </w:style>
  <w:style w:type="paragraph" w:customStyle="1" w:styleId="a13">
    <w:name w:val="表格内容"/>
    <w:basedOn w:val="Normal"/>
    <w:qFormat/>
    <w:pPr>
      <w:jc w:val="center"/>
    </w:pPr>
  </w:style>
  <w:style w:type="paragraph" w:customStyle="1" w:styleId="l13">
    <w:name w:val="l13"/>
    <w:basedOn w:val="Normal"/>
    <w:qFormat/>
    <w:pPr>
      <w:widowControl/>
      <w:spacing w:before="100" w:beforeAutospacing="1" w:after="100" w:afterAutospacing="1" w:line="312" w:lineRule="auto"/>
      <w:jc w:val="left"/>
    </w:pPr>
    <w:rPr>
      <w:rFonts w:ascii="宋体" w:hAnsi="宋体"/>
      <w:color w:val="000000"/>
      <w:kern w:val="0"/>
      <w:sz w:val="24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styleId="PlaceholderText">
    <w:name w:val="Placeholder Text"/>
    <w:basedOn w:val="DefaultParagraphFont"/>
    <w:uiPriority w:val="99"/>
    <w:unhideWhenUsed/>
    <w:qFormat/>
    <w:rPr>
      <w:color w:val="808080"/>
    </w:rPr>
  </w:style>
  <w:style w:type="paragraph" w:customStyle="1" w:styleId="16">
    <w:name w:val="修订1"/>
    <w:hidden/>
    <w:uiPriority w:val="99"/>
    <w:unhideWhenUsed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a14">
    <w:name w:val="惠泽正文"/>
    <w:basedOn w:val="Normal"/>
    <w:qFormat/>
    <w:pPr>
      <w:spacing w:line="480" w:lineRule="exact"/>
      <w:ind w:firstLine="480" w:firstLineChars="200"/>
    </w:pPr>
    <w:rPr>
      <w:rFonts w:hAnsi="宋体" w:cs="宋体"/>
      <w:sz w:val="24"/>
      <w:szCs w:val="20"/>
    </w:rPr>
  </w:style>
  <w:style w:type="paragraph" w:customStyle="1" w:styleId="a15">
    <w:name w:val="表格正文"/>
    <w:basedOn w:val="Normal"/>
    <w:next w:val="Normal"/>
    <w:qFormat/>
    <w:pPr>
      <w:jc w:val="center"/>
    </w:pPr>
    <w:rPr>
      <w:kern w:val="0"/>
      <w:szCs w:val="21"/>
    </w:rPr>
  </w:style>
  <w:style w:type="character" w:customStyle="1" w:styleId="a16">
    <w:name w:val="标题 字符"/>
    <w:basedOn w:val="DefaultParagraphFont"/>
    <w:link w:val="Title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hyperlink" Target="https://d.book118.com/136243242243010103" TargetMode="External" /><Relationship Id="rId19" Type="http://schemas.openxmlformats.org/officeDocument/2006/relationships/footer" Target="footer13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3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D4BD90-5771-462E-9E3E-9CE448700CB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541</TotalTime>
  <Pages>16</Pages>
  <Words>4463</Words>
  <Characters>25444</Characters>
  <Application>Microsoft Office Word</Application>
  <DocSecurity>0</DocSecurity>
  <Lines>212</Lines>
  <Paragraphs>59</Paragraphs>
  <ScaleCrop>false</ScaleCrop>
  <Company>微软中国</Company>
  <LinksUpToDate>false</LinksUpToDate>
  <CharactersWithSpaces>29848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Administrator</dc:creator>
  <cp:lastModifiedBy>WPS_1559717548</cp:lastModifiedBy>
  <cp:revision>135</cp:revision>
  <cp:lastPrinted>2020-12-29T02:43:00Z</cp:lastPrinted>
  <dcterms:created xsi:type="dcterms:W3CDTF">2023-06-28T03:56:00Z</dcterms:created>
  <dcterms:modified xsi:type="dcterms:W3CDTF">2024-03-21T06:54:01Z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eyJoZGlkIjoiZTRkMWY1OWVlMDlhMTUyMTBhZDhhOTNjY2JmNTJjZWQifQ==</vt:lpwstr>
  </property>
  <property fmtid="{D5CDD505-2E9C-101B-9397-08002B2CF9AE}" pid="3" name="ICV">
    <vt:lpwstr>E347C288140B4085BBBF37C7A892C1E5</vt:lpwstr>
  </property>
  <property fmtid="{D5CDD505-2E9C-101B-9397-08002B2CF9AE}" pid="4" name="KSOProductBuildVer">
    <vt:lpwstr>2052-11.1.0.10009</vt:lpwstr>
  </property>
</Properties>
</file>