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原子吸收分光光度计行业相关公司筹备报告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4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_Toc29142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(七)、原子吸收分光光度计项目建设必要性分析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_Toc30989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_Toc7410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四、原子吸收分光光度计筹建公司基本信息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_Toc7859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_Toc16377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五、原子吸收分光光度计项目概况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(二)、原子吸收分光光度计项目提出的理由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(三)、原子吸收分光光度计项目选址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(六)、原子吸收分光光度计项目投资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(七)、原子吸收分光光度计项目进度规划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eastAsia="zh-CN"/>
          </w:rPr>
          <w:t>(九)、原子吸收分光光度计项目综合评价</w:t>
        </w:r>
        <w:r>
          <w:tab/>
        </w:r>
        <w:r>
          <w:fldChar w:fldCharType="begin"/>
        </w:r>
        <w:r>
          <w:instrText xml:space="preserve"> PAGEREF _Toc14182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_Toc18447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(一)、原子吸收分光光度计项目进度安排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eastAsia="zh-CN"/>
          </w:rPr>
          <w:t>(二)、原子吸收分光光度计项目实施保障措施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_Toc12381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(五)、原子吸收分光光度计项目总投资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_Toc8873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_Toc32764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_Toc15687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_Toc31332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_Toc13644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_Toc9313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_Toc11650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_Toc16372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_Toc20156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eastAsia="zh-CN"/>
          </w:rPr>
          <w:t>(一)、原子吸收分光光度计项目背景分析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3" w:history="1">
        <w:r>
          <w:rPr>
            <w:rFonts w:ascii="仿宋" w:eastAsia="仿宋" w:hAnsi="仿宋" w:cs="仿宋" w:hint="eastAsia"/>
            <w:lang w:eastAsia="zh-CN"/>
          </w:rPr>
          <w:t>(二)、原子吸收分光光度计项目建设必要性分析</w:t>
        </w:r>
        <w:r>
          <w:tab/>
        </w:r>
        <w:r>
          <w:fldChar w:fldCharType="begin"/>
        </w:r>
        <w:r>
          <w:instrText xml:space="preserve"> PAGEREF _Toc9523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_Toc26685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_Toc13750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_Toc12476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_Toc6394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_Toc23457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4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7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5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00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https://d.book118.com/137020105166006034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原子吸收分光光度计行业相关公司筹备报告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原子吸收分光光度计行业相关公司筹备报告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原子吸收分光光度计行业相关公司筹备报告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原子吸收分光光度计行业相关公司筹备报告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原子吸收分光光度计行业相关公司筹备报告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7020105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2024-01-18T20:02:00Z</dcterms:created>
  <dcterms:modified xsi:type="dcterms:W3CDTF">2024-01-18T20:02:48Z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D221DDB80A6343C7B389ECB201C049A8_11</vt:lpwstr>
  </property>
  <property fmtid="{D5CDD505-2E9C-101B-9397-08002B2CF9AE}" pid="3" name="KSOProductBuildVer">
    <vt:lpwstr>2052-12.1.0.16120</vt:lpwstr>
  </property>
</Properties>
</file>