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混苯相关行业公司成立方案及可行性研究报告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一、混苯项目概况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(二)、混苯项目提出的理由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(三)、混苯项目选址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(六)、混苯项目投资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(七)、混苯项目进度规划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eastAsia="zh-CN"/>
          </w:rPr>
          <w:t>(九)、混苯项目综合评价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_Toc12080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(七)、混苯项目建设必要性分析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_Toc26806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(一)、混苯项目选址原则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(五)、混苯项目选址综合评价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(一)、混苯项目背景分析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(二)、混苯项目建设必要性分析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_Toc28815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_Toc10606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(五)、混苯项目总投资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十、混苯项目经济效益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(三)、混苯项目盈利能力分析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(一)、社会责任混苯项目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_Toc24678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57"/>
      <w:r>
        <w:rPr>
          <w:rFonts w:ascii="仿宋" w:eastAsia="仿宋" w:hAnsi="仿宋" w:cs="仿宋" w:hint="eastAsia"/>
          <w:sz w:val="28"/>
          <w:lang w:eastAsia="zh-CN"/>
        </w:rPr>
        <w:t>一、混苯项目概况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52"/>
      <w:r>
        <w:rPr>
          <w:rFonts w:ascii="仿宋" w:eastAsia="仿宋" w:hAnsi="仿宋" w:cs="仿宋" w:hint="eastAsia"/>
          <w:sz w:val="28"/>
          <w:lang w:eastAsia="zh-CN"/>
        </w:rPr>
        <w:t>(二)、混苯项目提出的理由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市场需求：随着人们对生活品质的追求，对混苯的需求也在不断增加。市场上对于高品质、符合个性化需求的混苯需求量大，因此混苯项目可以满足这一市场需求。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利润空间：混苯行业的利润空间较大，通过生产和销售高品质的混苯，可以获得可观的利润。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https://d.book118.com/138060025130006036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8060025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2024-02-04T06:45:00Z</dcterms:created>
  <dcterms:modified xsi:type="dcterms:W3CDTF">2024-02-04T06:45:12Z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D794D2E63E30438BBA254DA68FD0E00A_11</vt:lpwstr>
  </property>
  <property fmtid="{D5CDD505-2E9C-101B-9397-08002B2CF9AE}" pid="3" name="KSOProductBuildVer">
    <vt:lpwstr>2052-12.1.0.16250</vt:lpwstr>
  </property>
</Properties>
</file>