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93BCA" w14:paraId="66B876C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93BCA" w14:paraId="0F93D68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93BCA" w14:paraId="640355E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93BCA" w:rsidRPr="00493BCA" w14:paraId="2411432E" w14:textId="39DB34B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93BCA">
        <w:rPr>
          <w:rFonts w:ascii="宋体" w:eastAsia="宋体" w:hAnsi="宋体" w:hint="eastAsia"/>
          <w:b/>
          <w:sz w:val="60"/>
        </w:rPr>
        <w:t>微球载体材料项目指标评估报告</w:t>
      </w:r>
    </w:p>
    <w:p w:rsidR="00493BCA" w:rsidP="00493BCA" w14:paraId="11D5B2B2" w14:textId="2FC7EE64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93BCA">
        <w:rPr>
          <w:rFonts w:ascii="仿宋" w:eastAsia="仿宋" w:hAnsi="仿宋" w:hint="eastAsia"/>
          <w:b/>
          <w:sz w:val="40"/>
        </w:rPr>
        <w:t>目录</w:t>
      </w:r>
    </w:p>
    <w:p w:rsidR="00493BCA" w14:paraId="3A5EF688" w14:textId="70337DB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_Toc153667894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93BCA" w14:paraId="682495F2" w14:textId="6095F6B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一、微球载体材料项目概论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_Toc153667895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93BCA" w14:paraId="5E995D3F" w14:textId="6A70C5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(一)、微球载体材料项目名称及投资人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_Toc153667896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93BCA" w14:paraId="3C9B2F26" w14:textId="489C66A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_Toc153667897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93BCA" w14:paraId="286CA8E9" w14:textId="26F6E2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_Toc153667898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93BCA" w14:paraId="6B98BFE5" w14:textId="73B728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_Toc153667899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93BCA" w14:paraId="5E069872" w14:textId="6F561B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(五)、微球载体材料项目建设背景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93BCA" w14:paraId="3E1328C1" w14:textId="7EF56A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93BCA" w14:paraId="000F37B4" w14:textId="628A83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93BCA" w14:paraId="62D8A1B8" w14:textId="1F34B1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493BCA" w14:paraId="2BC10BEE" w14:textId="30D2AB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(二)、微球载体材料项目技术工艺简要分析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93BCA" w14:paraId="27F362C8" w14:textId="188B941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93BCA" w14:paraId="3F216AC6" w14:textId="173152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(四)、微球载体材料项目技术流程简述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493BCA" w14:paraId="0009F8CA" w14:textId="0505E9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93BCA" w14:paraId="1999FC1B" w14:textId="218EA7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93BCA" w14:paraId="43695D6B" w14:textId="54FB1B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493BCA" w14:paraId="3C31AF8D" w14:textId="7E1BFB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93BCA" w14:paraId="59288824" w14:textId="785AB6D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93BCA" w14:paraId="02FBB7B5" w14:textId="743458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93BCA" w14:paraId="0DC33A14" w14:textId="1C1C25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93BCA" w14:paraId="1597C1E6" w14:textId="288D42AF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93BCA" w14:paraId="79F65A9C" w14:textId="2B13092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五、环保分析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93BCA" w14:paraId="7AFF0C81" w14:textId="5D7A8C9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(一)、建设期环境影响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_Toc153667916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493BCA" w14:paraId="258F9831" w14:textId="0C956D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(二)、营运期环境评价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93BCA" w14:paraId="10CE55DD" w14:textId="3F2700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(三)、环境管理与控制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93BCA" w14:paraId="56C0AC64" w14:textId="6259EA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(四)、环境改善与建议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_Toc153667919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493BCA" w14:paraId="38A25F81" w14:textId="72CF44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93BCA" w14:paraId="4836B646" w14:textId="5FDA1B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_Toc153667921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93BCA" w14:paraId="75FB702C" w14:textId="09F763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(二)、市场定位策略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_Toc153667922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493BCA" w14:paraId="4A0B3288" w14:textId="25CE3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(三)、产品定价策略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_Toc153667923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93BCA" w14:paraId="2A9E70A3" w14:textId="73688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(四)、促销与广告策略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_Toc153667924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93BCA" w14:paraId="1B53DFE7" w14:textId="76705D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(五)、分销渠道策略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_Toc153667925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493BCA" w14:paraId="7BC16DB7" w14:textId="473285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(六)、市场份额预测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_Toc153667926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493BCA" w14:paraId="469B0CA7" w14:textId="3A81BDF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93BCA" w14:paraId="45413038" w14:textId="5F05C25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(一)、微球载体材料项目风险分析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_Toc153667928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493BCA" w14:paraId="70E3AE1B" w14:textId="377E5E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(二)、微球载体材料项目风险对策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_Toc153667929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493BCA" w14:paraId="699B32E0" w14:textId="6DA5611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_Toc153667930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93BCA" w14:paraId="01FB98F7" w14:textId="1A5E6B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_Toc153667931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493BCA" w14:paraId="2C27EA30" w14:textId="2516770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_Toc153667932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493BCA" w14:paraId="124FFE99" w14:textId="400566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_Toc153667933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93BCA" w14:paraId="21E6DED1" w14:textId="72D7BA3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_Toc153667934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93BCA" w14:paraId="30FECA59" w14:textId="6E0B0B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_Toc153667935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493BCA" w14:paraId="39A58AAE" w14:textId="3C8F50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_Toc153667936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https://d.book118.com/138071045044006027</w:t>
        </w:r>
      </w:hyperlink>
    </w:p>
    <w:p w:rsidR="00493BC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P="00D64287" w14:paraId="5EEA16C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93BCA" w14:paraId="085CC86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P="00D64287" w14:paraId="55794994" w14:textId="49DB72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93BCA" w14:paraId="06F836B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paraId="60714D40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P="00D642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93BC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P="00D64287" w14:textId="49DB72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93BC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P="00D6428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93BC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P="00D64287" w14:textId="49DB72E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493BC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paraId="52345ED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RPr="00493BCA" w:rsidP="00493BCA" w14:paraId="20023260" w14:textId="75AD77B9">
    <w:pPr>
      <w:pStyle w:val="Header"/>
      <w:rPr>
        <w:rFonts w:ascii="仿宋" w:eastAsia="仿宋" w:hAnsi="仿宋"/>
      </w:rPr>
    </w:pPr>
    <w:r w:rsidRPr="00493BCA">
      <w:rPr>
        <w:rFonts w:ascii="仿宋" w:eastAsia="仿宋" w:hAnsi="仿宋" w:hint="eastAsia"/>
      </w:rPr>
      <w:t>微球载体材料项目指标评估报告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paraId="4A3CA605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RPr="00493BCA" w:rsidP="00493BCA" w14:textId="75AD77B9">
    <w:pPr>
      <w:pStyle w:val="Header"/>
      <w:rPr>
        <w:rFonts w:ascii="仿宋" w:eastAsia="仿宋" w:hAnsi="仿宋"/>
      </w:rPr>
    </w:pPr>
    <w:r w:rsidRPr="00493BCA">
      <w:rPr>
        <w:rFonts w:ascii="仿宋" w:eastAsia="仿宋" w:hAnsi="仿宋" w:hint="eastAsia"/>
      </w:rPr>
      <w:t>微球载体材料项目指标评估报告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:rsidRPr="00493BCA" w:rsidP="00493BCA" w14:textId="75AD77B9">
    <w:pPr>
      <w:pStyle w:val="Header"/>
      <w:rPr>
        <w:rFonts w:ascii="仿宋" w:eastAsia="仿宋" w:hAnsi="仿宋"/>
      </w:rPr>
    </w:pPr>
    <w:r w:rsidRPr="00493BCA">
      <w:rPr>
        <w:rFonts w:ascii="仿宋" w:eastAsia="仿宋" w:hAnsi="仿宋" w:hint="eastAsia"/>
      </w:rPr>
      <w:t>微球载体材料项目指标评估报告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3BC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BCA"/>
    <w:rsid w:val="00493BCA"/>
    <w:rsid w:val="00933F50"/>
    <w:rsid w:val="00D6428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748541"/>
  <w15:chartTrackingRefBased/>
  <w15:docId w15:val="{589AC0F8-79A0-4039-A0C0-783CCA33D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93B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93BC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93BC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93BC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93BC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93BC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93B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93BC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93BCA"/>
  </w:style>
  <w:style w:type="paragraph" w:styleId="TOC1">
    <w:name w:val="toc 1"/>
    <w:basedOn w:val="Normal"/>
    <w:next w:val="Normal"/>
    <w:autoRedefine/>
    <w:uiPriority w:val="39"/>
    <w:unhideWhenUsed/>
    <w:rsid w:val="00493BCA"/>
  </w:style>
  <w:style w:type="paragraph" w:styleId="TOC2">
    <w:name w:val="toc 2"/>
    <w:basedOn w:val="Normal"/>
    <w:next w:val="Normal"/>
    <w:autoRedefine/>
    <w:uiPriority w:val="39"/>
    <w:unhideWhenUsed/>
    <w:rsid w:val="00493BC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38071045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3600</Words>
  <Characters>20522</Characters>
  <Application>Microsoft Office Word</Application>
  <DocSecurity>0</DocSecurity>
  <Lines>171</Lines>
  <Paragraphs>48</Paragraphs>
  <ScaleCrop>false</ScaleCrop>
  <Company/>
  <LinksUpToDate>false</LinksUpToDate>
  <CharactersWithSpaces>24074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2023-12-16T17:10:00Z</dcterms:created>
  <dcterms:modified xsi:type="dcterms:W3CDTF">2023-12-16T17:11:00Z</dcterms:modified>
</cp:coreProperties>
</file>