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D224AC" w14:paraId="04BBD068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第一章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概述</w:t>
      </w:r>
      <w:r>
        <w:br/>
      </w:r>
    </w:p>
    <w:p w:rsidR="00D224AC" w14:paraId="3436D609" w14:textId="77777777">
      <w:r>
        <w:rPr>
          <w:rFonts w:ascii="仿宋" w:eastAsia="仿宋" w:hAnsi="仿宋" w:cs="仿宋"/>
          <w:b/>
          <w:bCs/>
          <w:sz w:val="32"/>
          <w:szCs w:val="32"/>
        </w:rPr>
        <w:t>一、项目概况</w:t>
      </w:r>
    </w:p>
    <w:p w:rsidR="00D224AC" w14:paraId="36BDF03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（一）项目名称</w:t>
      </w:r>
    </w:p>
    <w:p w:rsidR="00D224AC" w14:paraId="2FB5126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截止阀项目</w:t>
      </w:r>
    </w:p>
    <w:p w:rsidR="00D224AC" w14:paraId="508F912B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（二）项目选址</w:t>
      </w:r>
    </w:p>
    <w:p w:rsidR="00D224AC" w14:paraId="2EC10EB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</w:t>
      </w:r>
    </w:p>
    <w:p w:rsidR="00D224AC" w14:paraId="3F5E5221" w14:textId="77777777">
      <w:pPr>
        <w:ind w:firstLine="600"/>
      </w:pPr>
    </w:p>
    <w:p w:rsidR="00D224AC" w14:paraId="2081990D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（三）项目用地规模</w:t>
      </w:r>
    </w:p>
    <w:p w:rsidR="00D224AC" w14:paraId="26D9522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项目总用地面积</w:t>
      </w:r>
      <w:r>
        <w:rPr>
          <w:rFonts w:ascii="仿宋" w:eastAsia="仿宋" w:hAnsi="仿宋" w:cs="仿宋"/>
          <w:sz w:val="30"/>
          <w:szCs w:val="30"/>
        </w:rPr>
        <w:t>22898.11</w:t>
      </w:r>
      <w:r>
        <w:rPr>
          <w:rFonts w:ascii="仿宋" w:eastAsia="仿宋" w:hAnsi="仿宋" w:cs="仿宋"/>
          <w:sz w:val="30"/>
          <w:szCs w:val="30"/>
        </w:rPr>
        <w:t>平方米（折合约</w:t>
      </w:r>
      <w:r>
        <w:rPr>
          <w:rFonts w:ascii="仿宋" w:eastAsia="仿宋" w:hAnsi="仿宋" w:cs="仿宋"/>
          <w:sz w:val="30"/>
          <w:szCs w:val="30"/>
        </w:rPr>
        <w:t>34.33</w:t>
      </w:r>
      <w:r>
        <w:rPr>
          <w:rFonts w:ascii="仿宋" w:eastAsia="仿宋" w:hAnsi="仿宋" w:cs="仿宋"/>
          <w:sz w:val="30"/>
          <w:szCs w:val="30"/>
        </w:rPr>
        <w:t>亩）。</w:t>
      </w:r>
    </w:p>
    <w:p w:rsidR="00D224AC" w14:paraId="7A307D9F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（四）项目用地控制指标</w:t>
      </w:r>
    </w:p>
    <w:p w:rsidR="00D224AC" w14:paraId="3150417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该工程规划建筑系数</w:t>
      </w:r>
      <w:r>
        <w:rPr>
          <w:rFonts w:ascii="仿宋" w:eastAsia="仿宋" w:hAnsi="仿宋" w:cs="仿宋"/>
          <w:sz w:val="30"/>
          <w:szCs w:val="30"/>
        </w:rPr>
        <w:t>79.12%</w:t>
      </w:r>
      <w:r>
        <w:rPr>
          <w:rFonts w:ascii="仿宋" w:eastAsia="仿宋" w:hAnsi="仿宋" w:cs="仿宋"/>
          <w:sz w:val="30"/>
          <w:szCs w:val="30"/>
        </w:rPr>
        <w:t>，建筑容积率</w:t>
      </w:r>
      <w:r>
        <w:rPr>
          <w:rFonts w:ascii="仿宋" w:eastAsia="仿宋" w:hAnsi="仿宋" w:cs="仿宋"/>
          <w:sz w:val="30"/>
          <w:szCs w:val="30"/>
        </w:rPr>
        <w:t>1.40</w:t>
      </w:r>
      <w:r>
        <w:rPr>
          <w:rFonts w:ascii="仿宋" w:eastAsia="仿宋" w:hAnsi="仿宋" w:cs="仿宋"/>
          <w:sz w:val="30"/>
          <w:szCs w:val="30"/>
        </w:rPr>
        <w:t>，建设区域绿化覆盖率</w:t>
      </w:r>
      <w:r>
        <w:rPr>
          <w:rFonts w:ascii="仿宋" w:eastAsia="仿宋" w:hAnsi="仿宋" w:cs="仿宋"/>
          <w:sz w:val="30"/>
          <w:szCs w:val="30"/>
        </w:rPr>
        <w:t>6.58%</w:t>
      </w:r>
      <w:r>
        <w:rPr>
          <w:rFonts w:ascii="仿宋" w:eastAsia="仿宋" w:hAnsi="仿宋" w:cs="仿宋"/>
          <w:sz w:val="30"/>
          <w:szCs w:val="30"/>
        </w:rPr>
        <w:t>，固定资产投资强度</w:t>
      </w:r>
      <w:r>
        <w:rPr>
          <w:rFonts w:ascii="仿宋" w:eastAsia="仿宋" w:hAnsi="仿宋" w:cs="仿宋"/>
          <w:sz w:val="30"/>
          <w:szCs w:val="30"/>
        </w:rPr>
        <w:t>160.34</w:t>
      </w:r>
      <w:r>
        <w:rPr>
          <w:rFonts w:ascii="仿宋" w:eastAsia="仿宋" w:hAnsi="仿宋" w:cs="仿宋"/>
          <w:sz w:val="30"/>
          <w:szCs w:val="30"/>
        </w:rPr>
        <w:t>万元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亩。</w:t>
      </w:r>
    </w:p>
    <w:p w:rsidR="00D224AC" w14:paraId="6EEC19B7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（五）土建工程指标</w:t>
      </w:r>
    </w:p>
    <w:p w:rsidR="00D224AC" w14:paraId="72A3771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项目净用地面积</w:t>
      </w:r>
      <w:r>
        <w:rPr>
          <w:rFonts w:ascii="仿宋" w:eastAsia="仿宋" w:hAnsi="仿宋" w:cs="仿宋"/>
          <w:sz w:val="30"/>
          <w:szCs w:val="30"/>
        </w:rPr>
        <w:t>22898.11</w:t>
      </w:r>
      <w:r>
        <w:rPr>
          <w:rFonts w:ascii="仿宋" w:eastAsia="仿宋" w:hAnsi="仿宋" w:cs="仿宋"/>
          <w:sz w:val="30"/>
          <w:szCs w:val="30"/>
        </w:rPr>
        <w:t>平方米，建筑物基底占地面积</w:t>
      </w:r>
      <w:r>
        <w:rPr>
          <w:rFonts w:ascii="仿宋" w:eastAsia="仿宋" w:hAnsi="仿宋" w:cs="仿宋"/>
          <w:sz w:val="30"/>
          <w:szCs w:val="30"/>
        </w:rPr>
        <w:t>18116.98</w:t>
      </w:r>
      <w:r>
        <w:rPr>
          <w:rFonts w:ascii="仿宋" w:eastAsia="仿宋" w:hAnsi="仿宋" w:cs="仿宋"/>
          <w:sz w:val="30"/>
          <w:szCs w:val="30"/>
        </w:rPr>
        <w:t>平方米，总建筑面积</w:t>
      </w:r>
      <w:r>
        <w:rPr>
          <w:rFonts w:ascii="仿宋" w:eastAsia="仿宋" w:hAnsi="仿宋" w:cs="仿宋"/>
          <w:sz w:val="30"/>
          <w:szCs w:val="30"/>
        </w:rPr>
        <w:t>32057.35</w:t>
      </w:r>
      <w:r>
        <w:rPr>
          <w:rFonts w:ascii="仿宋" w:eastAsia="仿宋" w:hAnsi="仿宋" w:cs="仿宋"/>
          <w:sz w:val="30"/>
          <w:szCs w:val="30"/>
        </w:rPr>
        <w:t>平方米，其中：规划建设主体工程</w:t>
      </w:r>
      <w:r>
        <w:rPr>
          <w:rFonts w:ascii="仿宋" w:eastAsia="仿宋" w:hAnsi="仿宋" w:cs="仿宋"/>
          <w:sz w:val="30"/>
          <w:szCs w:val="30"/>
        </w:rPr>
        <w:t>23234.20</w:t>
      </w:r>
      <w:r>
        <w:rPr>
          <w:rFonts w:ascii="仿宋" w:eastAsia="仿宋" w:hAnsi="仿宋" w:cs="仿宋"/>
          <w:sz w:val="30"/>
          <w:szCs w:val="30"/>
        </w:rPr>
        <w:t>平方米，项目规划绿化面积</w:t>
      </w:r>
      <w:r>
        <w:rPr>
          <w:rFonts w:ascii="仿宋" w:eastAsia="仿宋" w:hAnsi="仿宋" w:cs="仿宋"/>
          <w:sz w:val="30"/>
          <w:szCs w:val="30"/>
        </w:rPr>
        <w:t>2110.94</w:t>
      </w:r>
      <w:r>
        <w:rPr>
          <w:rFonts w:ascii="仿宋" w:eastAsia="仿宋" w:hAnsi="仿宋" w:cs="仿宋"/>
          <w:sz w:val="30"/>
          <w:szCs w:val="30"/>
        </w:rPr>
        <w:t>平方米。</w:t>
      </w:r>
    </w:p>
    <w:p w:rsidR="00D224AC" w14:paraId="041D9AA3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（六）设备选型方案</w:t>
      </w:r>
    </w:p>
    <w:p w:rsidR="00D224AC" w14:paraId="7EC1FF8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项目计划购置设备共计</w:t>
      </w:r>
      <w:r>
        <w:rPr>
          <w:rFonts w:ascii="仿宋" w:eastAsia="仿宋" w:hAnsi="仿宋" w:cs="仿宋"/>
          <w:sz w:val="30"/>
          <w:szCs w:val="30"/>
        </w:rPr>
        <w:t>112</w:t>
      </w:r>
      <w:r>
        <w:rPr>
          <w:rFonts w:ascii="仿宋" w:eastAsia="仿宋" w:hAnsi="仿宋" w:cs="仿宋"/>
          <w:sz w:val="30"/>
          <w:szCs w:val="30"/>
        </w:rPr>
        <w:t>台（套），设备购置费</w:t>
      </w:r>
      <w:r>
        <w:rPr>
          <w:rFonts w:ascii="仿宋" w:eastAsia="仿宋" w:hAnsi="仿宋" w:cs="仿宋"/>
          <w:sz w:val="30"/>
          <w:szCs w:val="30"/>
        </w:rPr>
        <w:t>2398.65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D224AC" w14:paraId="73740314" w14:textId="41DEA52B">
      <w:pPr>
        <w:ind w:firstLine="600"/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D224AC" w:rsidRPr="00D224AC" w14:paraId="62B4E61B" w14:textId="50EC92D1">
                  <w:pPr>
                    <w:rPr>
                      <w:rFonts w:ascii="黑体" w:eastAsia="黑体"/>
                      <w:sz w:val="24"/>
                    </w:rPr>
                  </w:pPr>
                  <w:r w:rsidRPr="00D224AC">
                    <w:rPr>
                      <w:rFonts w:ascii="黑体" w:eastAsia="黑体" w:hint="eastAsia"/>
                      <w:sz w:val="24"/>
                    </w:rPr>
                    <w:t>截止阀项目可行性分析报告 全文共1页，当前为第1页。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0"/>
          <w:szCs w:val="30"/>
        </w:rPr>
        <w:t>（七）节能分析</w:t>
      </w:r>
    </w:p>
    <w:p w:rsidR="00D224AC" w14:paraId="44A702F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、项目年用电量</w:t>
      </w:r>
      <w:r>
        <w:rPr>
          <w:rFonts w:ascii="仿宋" w:eastAsia="仿宋" w:hAnsi="仿宋" w:cs="仿宋"/>
          <w:sz w:val="30"/>
          <w:szCs w:val="30"/>
        </w:rPr>
        <w:t>636933.05</w:t>
      </w:r>
      <w:r>
        <w:rPr>
          <w:rFonts w:ascii="仿宋" w:eastAsia="仿宋" w:hAnsi="仿宋" w:cs="仿宋"/>
          <w:sz w:val="30"/>
          <w:szCs w:val="30"/>
        </w:rPr>
        <w:t>千瓦时，折合</w:t>
      </w:r>
      <w:r>
        <w:rPr>
          <w:rFonts w:ascii="仿宋" w:eastAsia="仿宋" w:hAnsi="仿宋" w:cs="仿宋"/>
          <w:sz w:val="30"/>
          <w:szCs w:val="30"/>
        </w:rPr>
        <w:t>78.28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D224AC" w14:paraId="562A6CF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、项目年总用水量</w:t>
      </w:r>
      <w:r>
        <w:rPr>
          <w:rFonts w:ascii="仿宋" w:eastAsia="仿宋" w:hAnsi="仿宋" w:cs="仿宋"/>
          <w:sz w:val="30"/>
          <w:szCs w:val="30"/>
        </w:rPr>
        <w:t>8787.96</w:t>
      </w:r>
      <w:r>
        <w:rPr>
          <w:rFonts w:ascii="仿宋" w:eastAsia="仿宋" w:hAnsi="仿宋" w:cs="仿宋"/>
          <w:sz w:val="30"/>
          <w:szCs w:val="30"/>
        </w:rPr>
        <w:t>立方米，折合</w:t>
      </w:r>
      <w:r>
        <w:rPr>
          <w:rFonts w:ascii="仿宋" w:eastAsia="仿宋" w:hAnsi="仿宋" w:cs="仿宋"/>
          <w:sz w:val="30"/>
          <w:szCs w:val="30"/>
        </w:rPr>
        <w:t>0.75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D224AC" w14:paraId="34A31D64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截止阀项目投资建设项目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，年用电量</w:t>
      </w:r>
      <w:r>
        <w:rPr>
          <w:rFonts w:ascii="仿宋" w:eastAsia="仿宋" w:hAnsi="仿宋" w:cs="仿宋"/>
          <w:sz w:val="30"/>
          <w:szCs w:val="30"/>
        </w:rPr>
        <w:t>636933.05</w:t>
      </w:r>
      <w:r>
        <w:rPr>
          <w:rFonts w:ascii="仿宋" w:eastAsia="仿宋" w:hAnsi="仿宋" w:cs="仿宋"/>
          <w:sz w:val="30"/>
          <w:szCs w:val="30"/>
        </w:rPr>
        <w:t>千瓦时，年总用水量</w:t>
      </w:r>
      <w:r>
        <w:rPr>
          <w:rFonts w:ascii="仿宋" w:eastAsia="仿宋" w:hAnsi="仿宋" w:cs="仿宋"/>
          <w:sz w:val="30"/>
          <w:szCs w:val="30"/>
        </w:rPr>
        <w:t>8787.96</w:t>
      </w:r>
      <w:r>
        <w:rPr>
          <w:rFonts w:ascii="仿宋" w:eastAsia="仿宋" w:hAnsi="仿宋" w:cs="仿宋"/>
          <w:sz w:val="30"/>
          <w:szCs w:val="30"/>
        </w:rPr>
        <w:t>立方米，项目年综合总耗能量（当量值）</w:t>
      </w:r>
      <w:r>
        <w:rPr>
          <w:rFonts w:ascii="仿宋" w:eastAsia="仿宋" w:hAnsi="仿宋" w:cs="仿宋"/>
          <w:sz w:val="30"/>
          <w:szCs w:val="30"/>
        </w:rPr>
        <w:t>79.03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年。达产年综合节能量</w:t>
      </w:r>
      <w:r>
        <w:rPr>
          <w:rFonts w:ascii="仿宋" w:eastAsia="仿宋" w:hAnsi="仿宋" w:cs="仿宋"/>
          <w:sz w:val="30"/>
          <w:szCs w:val="30"/>
        </w:rPr>
        <w:t>21.01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年，项目总节能率</w:t>
      </w:r>
      <w:r>
        <w:rPr>
          <w:rFonts w:ascii="仿宋" w:eastAsia="仿宋" w:hAnsi="仿宋" w:cs="仿宋"/>
          <w:sz w:val="30"/>
          <w:szCs w:val="30"/>
        </w:rPr>
        <w:t>22.60%</w:t>
      </w:r>
      <w:r>
        <w:rPr>
          <w:rFonts w:ascii="仿宋" w:eastAsia="仿宋" w:hAnsi="仿宋" w:cs="仿宋"/>
          <w:sz w:val="30"/>
          <w:szCs w:val="30"/>
        </w:rPr>
        <w:t>，能源利用效果良好。</w:t>
      </w:r>
    </w:p>
    <w:p w:rsidR="00D224AC" w14:paraId="70AB611D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（八）环境保护</w:t>
      </w:r>
    </w:p>
    <w:p w:rsidR="00D224AC" w14:paraId="79B982E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高新区发展规划，符合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高新区产业结构调整规划和国家的产业发展政策；对产生的各类污染物都采取了切实可行的治理措施，严格控制在国家规定的排放标准内，项目建设不会对区域生态环境产生明显的影响。</w:t>
      </w:r>
    </w:p>
    <w:p w:rsidR="00D224AC" w14:paraId="5CE0C5CB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（九）项目总投资及资金构成</w:t>
      </w:r>
    </w:p>
    <w:p w:rsidR="00D224AC" w14:paraId="3610D4CA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项目预计总投资</w:t>
      </w:r>
      <w:r>
        <w:rPr>
          <w:rFonts w:ascii="仿宋" w:eastAsia="仿宋" w:hAnsi="仿宋" w:cs="仿宋"/>
          <w:sz w:val="30"/>
          <w:szCs w:val="30"/>
        </w:rPr>
        <w:t>6886.30</w:t>
      </w:r>
      <w:r>
        <w:rPr>
          <w:rFonts w:ascii="仿宋" w:eastAsia="仿宋" w:hAnsi="仿宋" w:cs="仿宋"/>
          <w:sz w:val="30"/>
          <w:szCs w:val="30"/>
        </w:rPr>
        <w:t>万元，其中：固定资产投资</w:t>
      </w:r>
      <w:r>
        <w:rPr>
          <w:rFonts w:ascii="仿宋" w:eastAsia="仿宋" w:hAnsi="仿宋" w:cs="仿宋"/>
          <w:sz w:val="30"/>
          <w:szCs w:val="30"/>
        </w:rPr>
        <w:t>5504.47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79.93%</w:t>
      </w:r>
      <w:r>
        <w:rPr>
          <w:rFonts w:ascii="仿宋" w:eastAsia="仿宋" w:hAnsi="仿宋" w:cs="仿宋"/>
          <w:sz w:val="30"/>
          <w:szCs w:val="30"/>
        </w:rPr>
        <w:t>；流动资金</w:t>
      </w:r>
      <w:r>
        <w:rPr>
          <w:rFonts w:ascii="仿宋" w:eastAsia="仿宋" w:hAnsi="仿宋" w:cs="仿宋"/>
          <w:sz w:val="30"/>
          <w:szCs w:val="30"/>
        </w:rPr>
        <w:t>1381.83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20.07%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D224AC" w14:paraId="3EC00D45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（十）资金筹措</w:t>
      </w:r>
    </w:p>
    <w:p w:rsidR="00D224AC" w14:paraId="68C9D945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该项目现阶段投资均由企业自筹。</w:t>
      </w:r>
    </w:p>
    <w:p w:rsidR="00D224AC" w14:paraId="22A117AA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（十一）项目预期经济效益规划目标</w:t>
      </w:r>
    </w:p>
    <w:p w:rsidR="00D224AC" w14:paraId="1915A84E" w14:textId="1EC9432E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D224AC" w:rsidRPr="00D224AC" w14:paraId="71047CB9" w14:textId="5431A6C3">
                  <w:pPr>
                    <w:rPr>
                      <w:rFonts w:ascii="黑体" w:eastAsia="黑体"/>
                      <w:sz w:val="24"/>
                    </w:rPr>
                  </w:pPr>
                  <w:r w:rsidRPr="00D224AC">
                    <w:rPr>
                      <w:rFonts w:ascii="黑体" w:eastAsia="黑体" w:hint="eastAsia"/>
                      <w:sz w:val="24"/>
                    </w:rPr>
                    <w:t>截止阀项目可行性分析报告 全文共2页，当前为第2页。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预期达产年营业收入</w:t>
      </w:r>
      <w:r>
        <w:rPr>
          <w:rFonts w:ascii="仿宋" w:eastAsia="仿宋" w:hAnsi="仿宋" w:cs="仿宋"/>
          <w:sz w:val="30"/>
          <w:szCs w:val="30"/>
        </w:rPr>
        <w:t>10375.00</w:t>
      </w:r>
      <w:r>
        <w:rPr>
          <w:rFonts w:ascii="仿宋" w:eastAsia="仿宋" w:hAnsi="仿宋" w:cs="仿宋"/>
          <w:sz w:val="30"/>
          <w:szCs w:val="30"/>
        </w:rPr>
        <w:t>万元，总成本费用</w:t>
      </w:r>
      <w:r>
        <w:rPr>
          <w:rFonts w:ascii="仿宋" w:eastAsia="仿宋" w:hAnsi="仿宋" w:cs="仿宋"/>
          <w:sz w:val="30"/>
          <w:szCs w:val="30"/>
        </w:rPr>
        <w:t>8014.97</w:t>
      </w:r>
      <w:r>
        <w:rPr>
          <w:rFonts w:ascii="仿宋" w:eastAsia="仿宋" w:hAnsi="仿宋" w:cs="仿宋"/>
          <w:sz w:val="30"/>
          <w:szCs w:val="30"/>
        </w:rPr>
        <w:t>万元，税金及附加</w:t>
      </w:r>
      <w:r>
        <w:rPr>
          <w:rFonts w:ascii="仿宋" w:eastAsia="仿宋" w:hAnsi="仿宋" w:cs="仿宋"/>
          <w:sz w:val="30"/>
          <w:szCs w:val="30"/>
        </w:rPr>
        <w:t>130.65</w:t>
      </w:r>
      <w:r>
        <w:rPr>
          <w:rFonts w:ascii="仿宋" w:eastAsia="仿宋" w:hAnsi="仿宋" w:cs="仿宋"/>
          <w:sz w:val="30"/>
          <w:szCs w:val="30"/>
        </w:rPr>
        <w:t>万元，利润总额</w:t>
      </w:r>
      <w:r>
        <w:rPr>
          <w:rFonts w:ascii="仿宋" w:eastAsia="仿宋" w:hAnsi="仿宋" w:cs="仿宋"/>
          <w:sz w:val="30"/>
          <w:szCs w:val="30"/>
        </w:rPr>
        <w:t>2360.03</w:t>
      </w:r>
      <w:r>
        <w:rPr>
          <w:rFonts w:ascii="仿宋" w:eastAsia="仿宋" w:hAnsi="仿宋" w:cs="仿宋"/>
          <w:sz w:val="30"/>
          <w:szCs w:val="30"/>
        </w:rPr>
        <w:t>万元，利税总额</w:t>
      </w:r>
      <w:r>
        <w:rPr>
          <w:rFonts w:ascii="仿宋" w:eastAsia="仿宋" w:hAnsi="仿宋" w:cs="仿宋"/>
          <w:sz w:val="30"/>
          <w:szCs w:val="30"/>
        </w:rPr>
        <w:t>2816.20</w:t>
      </w:r>
    </w:p>
    <w:p w:rsidR="00D224AC" w14:textId="1EC9432E">
      <w:pPr>
        <w:ind w:firstLine="600"/>
      </w:pPr>
      <w:r>
        <w:rPr>
          <w:rFonts w:ascii="仿宋" w:eastAsia="仿宋" w:hAnsi="仿宋" w:cs="仿宋"/>
          <w:sz w:val="30"/>
          <w:szCs w:val="30"/>
        </w:rPr>
        <w:t>万元，税后净利润</w:t>
      </w:r>
      <w:r>
        <w:rPr>
          <w:rFonts w:ascii="仿宋" w:eastAsia="仿宋" w:hAnsi="仿宋" w:cs="仿宋"/>
          <w:sz w:val="30"/>
          <w:szCs w:val="30"/>
        </w:rPr>
        <w:t>1770.02</w:t>
      </w:r>
      <w:r>
        <w:rPr>
          <w:rFonts w:ascii="仿宋" w:eastAsia="仿宋" w:hAnsi="仿宋" w:cs="仿宋"/>
          <w:sz w:val="30"/>
          <w:szCs w:val="30"/>
        </w:rPr>
        <w:t>万元，达产年纳税总额</w:t>
      </w:r>
      <w:r>
        <w:rPr>
          <w:rFonts w:ascii="仿宋" w:eastAsia="仿宋" w:hAnsi="仿宋" w:cs="仿宋"/>
          <w:sz w:val="30"/>
          <w:szCs w:val="30"/>
        </w:rPr>
        <w:t>1046.18</w:t>
      </w:r>
      <w:r>
        <w:rPr>
          <w:rFonts w:ascii="仿宋" w:eastAsia="仿宋" w:hAnsi="仿宋" w:cs="仿宋"/>
          <w:sz w:val="30"/>
          <w:szCs w:val="30"/>
        </w:rPr>
        <w:t>万元；达产年投资利润</w:t>
      </w:r>
      <w:r>
        <w:rPr>
          <w:rFonts w:ascii="仿宋" w:eastAsia="仿宋" w:hAnsi="仿宋" w:cs="仿宋"/>
          <w:sz w:val="30"/>
          <w:szCs w:val="30"/>
        </w:rPr>
        <w:t>率</w:t>
      </w:r>
      <w:r>
        <w:rPr>
          <w:rFonts w:ascii="仿宋" w:eastAsia="仿宋" w:hAnsi="仿宋" w:cs="仿宋"/>
          <w:sz w:val="30"/>
          <w:szCs w:val="30"/>
        </w:rPr>
        <w:t>34.27%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40.90%</w:t>
      </w:r>
      <w:r>
        <w:rPr>
          <w:rFonts w:ascii="仿宋" w:eastAsia="仿宋" w:hAnsi="仿宋" w:cs="仿宋"/>
          <w:sz w:val="30"/>
          <w:szCs w:val="30"/>
        </w:rPr>
        <w:t>，投资回报率</w:t>
      </w:r>
      <w:r>
        <w:rPr>
          <w:rFonts w:ascii="仿宋" w:eastAsia="仿宋" w:hAnsi="仿宋" w:cs="仿宋"/>
          <w:sz w:val="30"/>
          <w:szCs w:val="30"/>
        </w:rPr>
        <w:t>25.70%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5.39</w:t>
      </w:r>
      <w:r>
        <w:rPr>
          <w:rFonts w:ascii="仿宋" w:eastAsia="仿宋" w:hAnsi="仿宋" w:cs="仿宋"/>
          <w:sz w:val="30"/>
          <w:szCs w:val="30"/>
        </w:rPr>
        <w:t>年，提供就业职位</w:t>
      </w:r>
      <w:r>
        <w:rPr>
          <w:rFonts w:ascii="仿宋" w:eastAsia="仿宋" w:hAnsi="仿宋" w:cs="仿宋"/>
          <w:sz w:val="30"/>
          <w:szCs w:val="30"/>
        </w:rPr>
        <w:t>189</w:t>
      </w:r>
      <w:r>
        <w:rPr>
          <w:rFonts w:ascii="仿宋" w:eastAsia="仿宋" w:hAnsi="仿宋" w:cs="仿宋"/>
          <w:sz w:val="30"/>
          <w:szCs w:val="30"/>
        </w:rPr>
        <w:t>个。</w:t>
      </w:r>
    </w:p>
    <w:p w:rsidR="00D224AC" w14:paraId="6EE6801D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（十二）进度规划</w:t>
      </w:r>
    </w:p>
    <w:p w:rsidR="00D224AC" w14:paraId="1BCDD93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本期工程项目建设期限规划</w:t>
      </w:r>
      <w:r>
        <w:rPr>
          <w:rFonts w:ascii="仿宋" w:eastAsia="仿宋" w:hAnsi="仿宋" w:cs="仿宋"/>
          <w:sz w:val="30"/>
          <w:szCs w:val="30"/>
        </w:rPr>
        <w:t>12</w:t>
      </w:r>
      <w:r>
        <w:rPr>
          <w:rFonts w:ascii="仿宋" w:eastAsia="仿宋" w:hAnsi="仿宋" w:cs="仿宋"/>
          <w:sz w:val="30"/>
          <w:szCs w:val="30"/>
        </w:rPr>
        <w:t>个月。</w:t>
      </w:r>
    </w:p>
    <w:p w:rsidR="00D224AC" w14:paraId="4311DBA2" w14:textId="77777777">
      <w:pPr>
        <w:ind w:firstLine="600"/>
      </w:pPr>
    </w:p>
    <w:p w:rsidR="00D224AC" w14:paraId="1F239D7C" w14:textId="77777777">
      <w:r>
        <w:rPr>
          <w:rFonts w:ascii="仿宋" w:eastAsia="仿宋" w:hAnsi="仿宋" w:cs="仿宋"/>
          <w:b/>
          <w:bCs/>
          <w:sz w:val="32"/>
          <w:szCs w:val="32"/>
        </w:rPr>
        <w:t>二、项目评价</w:t>
      </w:r>
    </w:p>
    <w:p w:rsidR="00D224AC" w14:paraId="345D6A6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、本期工程项目符合国家产业发展政策和规划要求，符合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高新区及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高新区截止阀行业布局和结构调整政策；项目的建设对促进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高新区截止阀产业结构、技术结构、组织结构、产品结构的调整优化有着积极的推动意义。</w:t>
      </w:r>
    </w:p>
    <w:p w:rsidR="00D224AC" w14:paraId="7EC7A86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公司为适应国内外市场需求，拟建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截止阀项目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，本期工程项目的建设能够有力促进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高新区经济发展，为社会提供就业职位</w:t>
      </w:r>
      <w:r>
        <w:rPr>
          <w:rFonts w:ascii="仿宋" w:eastAsia="仿宋" w:hAnsi="仿宋" w:cs="仿宋"/>
          <w:sz w:val="30"/>
          <w:szCs w:val="30"/>
        </w:rPr>
        <w:t>189</w:t>
      </w:r>
      <w:r>
        <w:rPr>
          <w:rFonts w:ascii="仿宋" w:eastAsia="仿宋" w:hAnsi="仿宋" w:cs="仿宋"/>
          <w:sz w:val="30"/>
          <w:szCs w:val="30"/>
        </w:rPr>
        <w:t>个，达产年纳税总额</w:t>
      </w:r>
      <w:r>
        <w:rPr>
          <w:rFonts w:ascii="仿宋" w:eastAsia="仿宋" w:hAnsi="仿宋" w:cs="仿宋"/>
          <w:sz w:val="30"/>
          <w:szCs w:val="30"/>
        </w:rPr>
        <w:t>1046.18</w:t>
      </w:r>
      <w:r>
        <w:rPr>
          <w:rFonts w:ascii="仿宋" w:eastAsia="仿宋" w:hAnsi="仿宋" w:cs="仿宋"/>
          <w:sz w:val="30"/>
          <w:szCs w:val="30"/>
        </w:rPr>
        <w:t>万元，可以促进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高新区区域经济的繁荣发展和社会稳定，为地方财政收入做出积极的贡献。</w:t>
      </w:r>
    </w:p>
    <w:p w:rsidR="00D224AC" w14:paraId="4C94D0C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、项目达产年投资利润率</w:t>
      </w:r>
      <w:r>
        <w:rPr>
          <w:rFonts w:ascii="仿宋" w:eastAsia="仿宋" w:hAnsi="仿宋" w:cs="仿宋"/>
          <w:sz w:val="30"/>
          <w:szCs w:val="30"/>
        </w:rPr>
        <w:t>34.27%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40.90%</w:t>
      </w:r>
      <w:r>
        <w:rPr>
          <w:rFonts w:ascii="仿宋" w:eastAsia="仿宋" w:hAnsi="仿宋" w:cs="仿宋"/>
          <w:sz w:val="30"/>
          <w:szCs w:val="30"/>
        </w:rPr>
        <w:t>，全部投资回报率</w:t>
      </w:r>
      <w:r>
        <w:rPr>
          <w:rFonts w:ascii="仿宋" w:eastAsia="仿宋" w:hAnsi="仿宋" w:cs="仿宋"/>
          <w:sz w:val="30"/>
          <w:szCs w:val="30"/>
        </w:rPr>
        <w:t>25.70%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5.39</w:t>
      </w:r>
      <w:r>
        <w:rPr>
          <w:rFonts w:ascii="仿宋" w:eastAsia="仿宋" w:hAnsi="仿宋" w:cs="仿宋"/>
          <w:sz w:val="30"/>
          <w:szCs w:val="30"/>
        </w:rPr>
        <w:t>年，固定资产投资回收期</w:t>
      </w:r>
      <w:r>
        <w:rPr>
          <w:rFonts w:ascii="仿宋" w:eastAsia="仿宋" w:hAnsi="仿宋" w:cs="仿宋"/>
          <w:sz w:val="30"/>
          <w:szCs w:val="30"/>
        </w:rPr>
        <w:t>5.39</w:t>
      </w:r>
      <w:r>
        <w:rPr>
          <w:rFonts w:ascii="仿宋" w:eastAsia="仿宋" w:hAnsi="仿宋" w:cs="仿宋"/>
          <w:sz w:val="30"/>
          <w:szCs w:val="30"/>
        </w:rPr>
        <w:t>年（含建设期），项目具有较强的盈利能力和抗风险能力。</w:t>
      </w:r>
    </w:p>
    <w:p w:rsidR="00D224AC" w14:paraId="041A869D" w14:textId="0FD773DD">
      <w:pPr>
        <w:ind w:firstLine="600"/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D224AC" w:rsidRPr="00D224AC" w14:paraId="0CA442E9" w14:textId="14A79D38">
                  <w:pPr>
                    <w:rPr>
                      <w:rFonts w:ascii="黑体" w:eastAsia="黑体"/>
                      <w:sz w:val="24"/>
                    </w:rPr>
                  </w:pPr>
                  <w:r w:rsidRPr="00D224AC">
                    <w:rPr>
                      <w:rFonts w:ascii="黑体" w:eastAsia="黑体" w:hint="eastAsia"/>
                      <w:sz w:val="24"/>
                    </w:rPr>
                    <w:t>截止阀项目可行性分析报告 全文共3页，当前为第3页。</w:t>
                  </w:r>
                </w:p>
              </w:txbxContent>
            </v:textbox>
          </v:shape>
        </w:pict>
      </w:r>
    </w:p>
    <w:p w:rsidR="00D224AC" w14:textId="0FD773DD">
      <w:pPr>
        <w:ind w:firstLine="600"/>
      </w:pPr>
      <w:r>
        <w:rPr>
          <w:rFonts w:ascii="仿宋" w:eastAsia="仿宋" w:hAnsi="仿宋" w:cs="仿宋"/>
          <w:sz w:val="30"/>
          <w:szCs w:val="30"/>
        </w:rPr>
        <w:t>开展产融合作工作，有利于缓解小微企业融资难融资贵问题。政府及其部门应当采取有力措施帮助担保机构降低风险，减少损失。通过政府财政资金引导，构建财政、再担保机构、担保机构风险共担的担保代偿补偿</w:t>
      </w:r>
      <w:r>
        <w:rPr>
          <w:rFonts w:ascii="仿宋" w:eastAsia="仿宋" w:hAnsi="仿宋" w:cs="仿宋"/>
          <w:sz w:val="30"/>
          <w:szCs w:val="30"/>
        </w:rPr>
        <w:t>机制，是市场化条件下促进担保机构健康发展，推进担保体系建设的有益探索和实践。</w:t>
      </w:r>
    </w:p>
    <w:p w:rsidR="00D224AC" w14:paraId="08AAF57A" w14:textId="77777777">
      <w:pPr>
        <w:ind w:firstLine="600"/>
      </w:pPr>
    </w:p>
    <w:p w:rsidR="00D224AC" w14:paraId="219804E4" w14:textId="77777777">
      <w:r>
        <w:rPr>
          <w:rFonts w:ascii="仿宋" w:eastAsia="仿宋" w:hAnsi="仿宋" w:cs="仿宋"/>
          <w:b/>
          <w:bCs/>
          <w:sz w:val="32"/>
          <w:szCs w:val="32"/>
        </w:rPr>
        <w:t>三、主要经济指标</w:t>
      </w:r>
      <w:r>
        <w:br/>
      </w:r>
    </w:p>
    <w:p w:rsidR="00D224AC" w14:paraId="600061D0" w14:textId="7D472623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D224AC" w:rsidRPr="00D224AC" w14:paraId="29780DF8" w14:textId="7DBCBD3B">
                  <w:pPr>
                    <w:rPr>
                      <w:rFonts w:ascii="黑体" w:eastAsia="黑体"/>
                      <w:sz w:val="24"/>
                    </w:rPr>
                  </w:pPr>
                  <w:r w:rsidRPr="00D224AC">
                    <w:rPr>
                      <w:rFonts w:ascii="黑体" w:eastAsia="黑体" w:hint="eastAsia"/>
                      <w:sz w:val="24"/>
                    </w:rPr>
                    <w:t>截止阀项目可行性分析报告 全文共4页，当前为第4页。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主要经济指标一览表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3F07D1D6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2000" w:type="dxa"/>
            <w:shd w:val="clear" w:color="auto" w:fill="auto"/>
            <w:vAlign w:val="center"/>
          </w:tcPr>
          <w:p w:rsidR="00D224AC" w:rsidRPr="00722E63" w14:paraId="09B5513E" w14:textId="77777777">
            <w:r w:rsidRPr="00722E63">
              <w:rPr>
                <w:rFonts w:ascii="仿宋" w:eastAsia="仿宋" w:hAnsi="仿宋"/>
                <w:b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224AC" w:rsidRPr="00722E63" w14:paraId="0BFA617D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224AC" w:rsidRPr="00722E63" w14:paraId="1F7AA119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224AC" w:rsidRPr="00722E63" w14:paraId="3E8307C3" w14:textId="77777777"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D224AC" w:rsidRPr="00722E63" w14:paraId="43CD88D9" w14:textId="77777777">
            <w:r w:rsidRPr="00722E63">
              <w:rPr>
                <w:rFonts w:ascii="仿宋" w:eastAsia="仿宋" w:hAnsi="仿宋"/>
                <w:b/>
              </w:rPr>
              <w:t>备注</w:t>
            </w:r>
          </w:p>
        </w:tc>
      </w:tr>
      <w:tr w14:paraId="0F71060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2A09D2E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5EC27A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占地面积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FB92B2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DBA0F1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22898.11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5E2234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34.33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</w:tr>
      <w:tr w14:paraId="1443BBC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7E02330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56D967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容积率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832797F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36BD94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B7C227B" w14:textId="77777777"/>
        </w:tc>
      </w:tr>
      <w:tr w14:paraId="5869BB6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058774C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8977B3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建筑系数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65FAC8D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F6B6B7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79.12%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705E688" w14:textId="77777777"/>
        </w:tc>
      </w:tr>
      <w:tr w14:paraId="116702D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6B467F7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A958C9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投资强度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63E6C5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/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3CE50D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160.34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D012EA3" w14:textId="77777777"/>
        </w:tc>
      </w:tr>
      <w:tr w14:paraId="3200EA8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37E429C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7246C7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基底面积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B613C7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C5A508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18116.98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FD0A2C2" w14:textId="77777777"/>
        </w:tc>
      </w:tr>
      <w:tr w14:paraId="0C10469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683144C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528986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总建筑面积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16B88E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56FC57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32057.35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BF6F48B" w14:textId="77777777"/>
        </w:tc>
      </w:tr>
      <w:tr w14:paraId="6F451A7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6770333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669BF9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1E6D77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FE40BF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2110.94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AAC4E4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绿化率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6.58%</w:t>
            </w:r>
          </w:p>
        </w:tc>
      </w:tr>
      <w:tr w14:paraId="602274C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9154B6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0FA982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8AB823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6AFF38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6886.30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71DDFE0" w14:textId="77777777"/>
        </w:tc>
      </w:tr>
      <w:tr w14:paraId="6E71893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24E7FA4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27917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A84EC8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872731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5504.47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9B561B0" w14:textId="77777777"/>
        </w:tc>
      </w:tr>
      <w:tr w14:paraId="34BCF7A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14A9A22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ABE7B3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88A175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4AF4CF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2462.23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4275A38" w14:textId="77777777"/>
        </w:tc>
      </w:tr>
      <w:tr w14:paraId="25F59C2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0767FD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D1231D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E0EF8C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F6B6EF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35.76%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78CF73C" w14:textId="77777777"/>
        </w:tc>
      </w:tr>
      <w:tr w14:paraId="09ED1DC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A74587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C728DF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1BD3A8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37B72A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2398.65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1E99B06" w14:textId="77777777"/>
        </w:tc>
      </w:tr>
      <w:tr w14:paraId="40BE6E2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689C4B0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EF6854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26326A4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0CE507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34.83%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5F20534" w14:textId="77777777"/>
        </w:tc>
      </w:tr>
      <w:tr w14:paraId="5D0BA7E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649505A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40744B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5E4FBC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C9BB11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643.59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BE5E194" w14:textId="77777777"/>
        </w:tc>
      </w:tr>
      <w:tr w14:paraId="5632B03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2335518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F84ED7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9962CF8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147F7E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9.35%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0FEB355" w14:textId="77777777"/>
        </w:tc>
      </w:tr>
      <w:tr w14:paraId="0887555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719F6D9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C3B655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DAB7247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54BE61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79.93%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BC5A63E" w14:textId="77777777"/>
        </w:tc>
      </w:tr>
      <w:tr w14:paraId="7234915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AE2BD8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78CED3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474E0F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2E683E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1381.83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05EDC42" w14:textId="77777777"/>
        </w:tc>
      </w:tr>
    </w:tbl>
    <w:p>
      <w:pPr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31A5D285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65B792E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E8AECC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2AB4240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F19598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20.07%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A8D814A" w14:textId="77777777"/>
        </w:tc>
      </w:tr>
      <w:tr w14:paraId="4E77795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189FB9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586212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5B1D53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24C895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10375.00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D3DFF48" w14:textId="77777777"/>
        </w:tc>
      </w:tr>
      <w:tr w14:paraId="22C83BB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8771F7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CFF647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总成本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CBEC8B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E27861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8014.97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D514B73" w14:textId="77777777"/>
        </w:tc>
      </w:tr>
      <w:tr w14:paraId="189CC89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76A8AE0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0284F3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5744F7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A18870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2360.03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A01F83B" w14:textId="77777777"/>
        </w:tc>
      </w:tr>
      <w:tr w14:paraId="7C4ECEC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1C8754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24789D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D7F082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D68388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1770.02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24D58A7" w14:textId="77777777"/>
        </w:tc>
      </w:tr>
      <w:tr w14:paraId="75BC892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765F15B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8D0BF2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所得税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B424BD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964E0B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E0E4D69" w14:textId="77777777"/>
        </w:tc>
      </w:tr>
      <w:tr w14:paraId="5490069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CE5F54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D00994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增值税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B0476B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54ACFC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325.52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212C156" w14:textId="77777777"/>
        </w:tc>
      </w:tr>
      <w:tr w14:paraId="24CBECD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34599C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CD7DB4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税金及附加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004685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423D64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130.65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DE13C1C" w14:textId="77777777"/>
        </w:tc>
      </w:tr>
      <w:tr w14:paraId="29553B7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3E49D8C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20F5BD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纳税总额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242E40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B32BEB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1046.18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4CBCBC6" w14:textId="77777777"/>
        </w:tc>
      </w:tr>
      <w:tr w14:paraId="1552BC7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5D79B4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B6CB21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3F9A24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AD464C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2816.20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12AE2FB" w14:textId="77777777"/>
        </w:tc>
      </w:tr>
      <w:tr w14:paraId="1A3FAE6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221599E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1BEA10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投资利润率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934E036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C8A60D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34.27%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3B10CA9" w14:textId="77777777"/>
        </w:tc>
      </w:tr>
      <w:tr w14:paraId="6FE87BB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1812545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239C2C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投资利税率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CF12E58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B8BC3B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40.90%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BDFB326" w14:textId="77777777"/>
        </w:tc>
      </w:tr>
      <w:tr w14:paraId="1D9ABB1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4DEFD3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9A3EEE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投资回报率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11022C6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312FB7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25.70%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A46EA63" w14:textId="77777777"/>
        </w:tc>
      </w:tr>
      <w:tr w14:paraId="6678D88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4086D7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25C880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回收期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2DC7DC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FD1ABA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5.39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19B2411E" w14:textId="77777777"/>
        </w:tc>
      </w:tr>
      <w:tr w14:paraId="3AE0DB7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51717C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1F7B5E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70A813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台（套）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90BDF1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77A5377" w14:textId="77777777"/>
        </w:tc>
      </w:tr>
      <w:tr w14:paraId="46E69B2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5F5038E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3A3B32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年用电量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5A1C088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千瓦时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080E3F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636933.05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BB62CEE" w14:textId="77777777"/>
        </w:tc>
      </w:tr>
      <w:tr w14:paraId="598459A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17D9F8F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030C32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年用水量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9BB2AC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立方米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C63C61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8787.96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AB33EFD" w14:textId="77777777"/>
        </w:tc>
      </w:tr>
      <w:tr w14:paraId="239C3C9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56F810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1B4E57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总能耗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73D3175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4331EA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79.03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82CA3FF" w14:textId="77777777"/>
        </w:tc>
      </w:tr>
      <w:tr w14:paraId="3210B6C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3BCE17B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C71C38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3668394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ED2C2D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22.60%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68AB363" w14:textId="77777777"/>
        </w:tc>
      </w:tr>
      <w:tr w14:paraId="4502425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641CE8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59C2A9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331BBD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A466EE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21.01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B1879B8" w14:textId="77777777"/>
        </w:tc>
      </w:tr>
      <w:tr w14:paraId="451D1D0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02B8BE4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4698BF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员工数量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602BE74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人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F53E65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0B7C569" w14:textId="77777777"/>
        </w:tc>
      </w:tr>
    </w:tbl>
    <w:p w:rsidR="00D224AC" w14:paraId="08EF146C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 xml:space="preserve"> </w:t>
      </w:r>
      <w:r>
        <w:br/>
      </w:r>
    </w:p>
    <w:p w:rsidR="00D224AC" w14:paraId="56EF3146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第二章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承办单位概况</w:t>
      </w:r>
      <w:r>
        <w:br/>
      </w:r>
    </w:p>
    <w:p w:rsidR="00D224AC" w14:paraId="3142338E" w14:textId="77777777">
      <w:pPr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  <w:r>
        <w:rPr>
          <w:rFonts w:ascii="仿宋" w:eastAsia="仿宋" w:hAnsi="仿宋" w:cs="仿宋"/>
          <w:b/>
          <w:bCs/>
          <w:sz w:val="32"/>
          <w:szCs w:val="32"/>
        </w:rPr>
        <w:t>一、项目承办单位基本情况</w:t>
      </w:r>
    </w:p>
    <w:p w:rsidR="00D224AC" w14:paraId="53C0A25B" w14:textId="4CB46DFA">
      <w:pPr>
        <w:ind w:firstLine="600"/>
      </w:pPr>
      <w:r>
        <w:rPr>
          <w:rFonts w:ascii="仿宋" w:eastAsia="仿宋" w:hAnsi="仿宋" w:cs="仿宋"/>
          <w:b/>
          <w:bCs/>
          <w:noProof/>
          <w:sz w:val="30"/>
          <w:szCs w:val="30"/>
        </w:rPr>
        <w:pict>
          <v:shape id="PageShape5" o:spid="_x0000_s1029" type="#_x0000_t202" style="width:500pt;height:5pt;margin-top:787pt;margin-left:0;mso-wrap-style:square;position:absolute;visibility:hidden;z-index:251662336">
            <v:textbox>
              <w:txbxContent>
                <w:p w:rsidR="00D224AC" w:rsidRPr="00D224AC" w14:paraId="2BDEE814" w14:textId="217A0E4D">
                  <w:pPr>
                    <w:rPr>
                      <w:rFonts w:ascii="黑体" w:eastAsia="黑体"/>
                      <w:sz w:val="24"/>
                    </w:rPr>
                  </w:pPr>
                  <w:r w:rsidRPr="00D224AC">
                    <w:rPr>
                      <w:rFonts w:ascii="黑体" w:eastAsia="黑体" w:hint="eastAsia"/>
                      <w:sz w:val="24"/>
                    </w:rPr>
                    <w:t>截止阀项目可行性分析报告 全文共5页，当前为第5页。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0"/>
          <w:szCs w:val="30"/>
        </w:rPr>
        <w:t>（一）公司名称</w:t>
      </w:r>
    </w:p>
    <w:p w:rsidR="00D224AC" w14:paraId="202159BF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公司</w:t>
      </w:r>
    </w:p>
    <w:p w:rsidR="00D224AC" w14:paraId="3A7CC250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（二）公司简介</w:t>
      </w:r>
    </w:p>
    <w:p w:rsidR="00D224AC" w14:paraId="5F374D4E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公司全面推行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政府、市场、投资、消费、经营、企业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六位一体合作共赢的市场战略，以高度的社会责任积极响应政府城市发展号召，融入各级城市的建设与发展，在商业模式思路上领先业界，对服务区域经济与社会发展做出了突出贡献。</w:t>
      </w:r>
      <w:r>
        <w:rPr>
          <w:rFonts w:ascii="仿宋" w:eastAsia="仿宋" w:hAnsi="仿宋" w:cs="仿宋"/>
          <w:sz w:val="30"/>
          <w:szCs w:val="30"/>
        </w:rPr>
        <w:t xml:space="preserve"> </w:t>
      </w:r>
    </w:p>
    <w:p w:rsidR="00D224AC" w14:paraId="679D85CC" w14:textId="77777777">
      <w:pPr>
        <w:ind w:firstLine="600"/>
      </w:pPr>
    </w:p>
    <w:p w:rsidR="00D224AC" w14:paraId="2122C27F" w14:textId="77777777">
      <w:r>
        <w:rPr>
          <w:rFonts w:ascii="仿宋" w:eastAsia="仿宋" w:hAnsi="仿宋" w:cs="仿宋"/>
          <w:b/>
          <w:bCs/>
          <w:sz w:val="32"/>
          <w:szCs w:val="32"/>
        </w:rPr>
        <w:t>二、公司经济效益分析</w:t>
      </w:r>
    </w:p>
    <w:p w:rsidR="00D224AC" w14:paraId="4D8C3E6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上一年度，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公司实现营业收入</w:t>
      </w:r>
      <w:r>
        <w:rPr>
          <w:rFonts w:ascii="仿宋" w:eastAsia="仿宋" w:hAnsi="仿宋" w:cs="仿宋"/>
          <w:sz w:val="30"/>
          <w:szCs w:val="30"/>
        </w:rPr>
        <w:t>5750.24</w:t>
      </w:r>
      <w:r>
        <w:rPr>
          <w:rFonts w:ascii="仿宋" w:eastAsia="仿宋" w:hAnsi="仿宋" w:cs="仿宋"/>
          <w:sz w:val="30"/>
          <w:szCs w:val="30"/>
        </w:rPr>
        <w:t>万元，同比增长</w:t>
      </w:r>
      <w:r>
        <w:rPr>
          <w:rFonts w:ascii="仿宋" w:eastAsia="仿宋" w:hAnsi="仿宋" w:cs="仿宋"/>
          <w:sz w:val="30"/>
          <w:szCs w:val="30"/>
        </w:rPr>
        <w:t>12.98%</w:t>
      </w:r>
      <w:r>
        <w:rPr>
          <w:rFonts w:ascii="仿宋" w:eastAsia="仿宋" w:hAnsi="仿宋" w:cs="仿宋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660.62</w:t>
      </w:r>
      <w:r>
        <w:rPr>
          <w:rFonts w:ascii="仿宋" w:eastAsia="仿宋" w:hAnsi="仿宋" w:cs="仿宋"/>
          <w:sz w:val="30"/>
          <w:szCs w:val="30"/>
        </w:rPr>
        <w:t>万元）。其中，主营业业务截止阀生产及销售收入为</w:t>
      </w:r>
      <w:r>
        <w:rPr>
          <w:rFonts w:ascii="仿宋" w:eastAsia="仿宋" w:hAnsi="仿宋" w:cs="仿宋"/>
          <w:sz w:val="30"/>
          <w:szCs w:val="30"/>
        </w:rPr>
        <w:t>4713.59</w:t>
      </w:r>
      <w:r>
        <w:rPr>
          <w:rFonts w:ascii="仿宋" w:eastAsia="仿宋" w:hAnsi="仿宋" w:cs="仿宋"/>
          <w:sz w:val="30"/>
          <w:szCs w:val="30"/>
        </w:rPr>
        <w:t>万元，占营业总收入的</w:t>
      </w:r>
      <w:r>
        <w:rPr>
          <w:rFonts w:ascii="仿宋" w:eastAsia="仿宋" w:hAnsi="仿宋" w:cs="仿宋"/>
          <w:sz w:val="30"/>
          <w:szCs w:val="30"/>
        </w:rPr>
        <w:t>81.97%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D224AC" w14:paraId="1841EA94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根据初步统计测算，公司实现利润总额</w:t>
      </w:r>
      <w:r>
        <w:rPr>
          <w:rFonts w:ascii="仿宋" w:eastAsia="仿宋" w:hAnsi="仿宋" w:cs="仿宋"/>
          <w:sz w:val="30"/>
          <w:szCs w:val="30"/>
        </w:rPr>
        <w:t>1353.90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148.94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12.36%</w:t>
      </w:r>
      <w:r>
        <w:rPr>
          <w:rFonts w:ascii="仿宋" w:eastAsia="仿宋" w:hAnsi="仿宋" w:cs="仿宋"/>
          <w:sz w:val="30"/>
          <w:szCs w:val="30"/>
        </w:rPr>
        <w:t>；实现净利润</w:t>
      </w:r>
      <w:r>
        <w:rPr>
          <w:rFonts w:ascii="仿宋" w:eastAsia="仿宋" w:hAnsi="仿宋" w:cs="仿宋"/>
          <w:sz w:val="30"/>
          <w:szCs w:val="30"/>
        </w:rPr>
        <w:t>1015.43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207.79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25.73%</w:t>
      </w:r>
      <w:r>
        <w:rPr>
          <w:rFonts w:ascii="仿宋" w:eastAsia="仿宋" w:hAnsi="仿宋" w:cs="仿宋"/>
          <w:sz w:val="30"/>
          <w:szCs w:val="30"/>
        </w:rPr>
        <w:t>。</w:t>
      </w:r>
      <w:r>
        <w:br/>
      </w:r>
    </w:p>
    <w:p w:rsidR="00D224AC" w14:paraId="33D0F35A" w14:textId="62835AF0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D224AC" w:rsidRPr="00D224AC" w14:paraId="5188091F" w14:textId="6AD2D57B">
                  <w:pPr>
                    <w:rPr>
                      <w:rFonts w:ascii="黑体" w:eastAsia="黑体"/>
                      <w:sz w:val="24"/>
                    </w:rPr>
                  </w:pPr>
                  <w:r w:rsidRPr="00D224AC">
                    <w:rPr>
                      <w:rFonts w:ascii="黑体" w:eastAsia="黑体" w:hint="eastAsia"/>
                      <w:sz w:val="24"/>
                    </w:rPr>
                    <w:t>截止阀项目可行性分析报告 全文共6页，当前为第6页。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上年度主要经济指标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3350"/>
        <w:gridCol w:w="3350"/>
        <w:gridCol w:w="3350"/>
      </w:tblGrid>
      <w:tr w14:paraId="6120A6A6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3350" w:type="dxa"/>
            <w:shd w:val="clear" w:color="auto" w:fill="auto"/>
            <w:vAlign w:val="center"/>
          </w:tcPr>
          <w:p w:rsidR="00D224AC" w:rsidRPr="00722E63" w14:paraId="72149763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D224AC" w:rsidRPr="00722E63" w14:paraId="1B00AD0C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D224AC" w:rsidRPr="00722E63" w14:paraId="03FB7769" w14:textId="77777777">
            <w:pPr>
              <w:jc w:val="center"/>
            </w:pPr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</w:tr>
      <w:tr w14:paraId="3CB8FCF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3CA60E4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完成营业收入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497EFA8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75D2DF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5750.24</w:t>
            </w:r>
          </w:p>
        </w:tc>
      </w:tr>
      <w:tr w14:paraId="1A97A72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1FCCD42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完成主营业务收入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FF4199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286708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4713.59</w:t>
            </w:r>
          </w:p>
        </w:tc>
      </w:tr>
      <w:tr w14:paraId="5C44FBB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D224AC" w:rsidRPr="00722E63" w14:paraId="46F3B71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主营业务收入占比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0EC4C5BB" w14:textId="77777777"/>
        </w:tc>
        <w:tc>
          <w:tcPr>
            <w:tcW w:w="0" w:type="dxa"/>
            <w:shd w:val="clear" w:color="auto" w:fill="auto"/>
            <w:vAlign w:val="center"/>
          </w:tcPr>
          <w:p w:rsidR="00D224AC" w:rsidRPr="00722E63" w14:paraId="2DE2438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81.97%</w:t>
            </w:r>
          </w:p>
        </w:tc>
      </w:tr>
    </w:tbl>
    <w:p>
      <w:r>
        <w:br/>
      </w:r>
      <w:r>
        <w:br/>
      </w:r>
    </w:p>
    <w:p>
      <w:pPr>
        <w:spacing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https://d.book118.com/138107140130006024</w:t>
        </w:r>
      </w:hyperlink>
    </w:p>
    <w:p/>
    <w:sectPr w:rsidSect="00A02F19">
      <w:headerReference w:type="default" r:id="rId10"/>
      <w:type w:val="nextPage"/>
      <w:pgSz w:w="12240" w:h="15840"/>
      <w:pgMar w:top="1800" w:right="1200" w:bottom="1200" w:left="1200" w:header="720" w:footer="720" w:gutter="0"/>
      <w:pgNumType w:start="6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4AC" w:rsidP="00D224AC" w14:paraId="46018C92" w14:textId="36F075A9">
    <w:pPr>
      <w:jc w:val="center"/>
    </w:pPr>
    <w:r>
      <w:rPr>
        <w:rFonts w:ascii="仿宋" w:eastAsia="仿宋" w:hAnsi="仿宋" w:cs="仿宋" w:hint="eastAsia"/>
        <w:sz w:val="20"/>
        <w:szCs w:val="20"/>
      </w:rPr>
      <w:t>截止阀项目可行性分析报告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4AC" w:rsidP="00D224AC" w14:textId="36F075A9">
    <w:pPr>
      <w:jc w:val="center"/>
    </w:pPr>
    <w:r>
      <w:rPr>
        <w:rFonts w:ascii="仿宋" w:eastAsia="仿宋" w:hAnsi="仿宋" w:cs="仿宋" w:hint="eastAsia"/>
        <w:sz w:val="20"/>
        <w:szCs w:val="20"/>
      </w:rPr>
      <w:t>截止阀项目可行性分析报告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4AC" w:rsidP="00D224AC" w14:textId="36F075A9">
    <w:pPr>
      <w:jc w:val="center"/>
    </w:pPr>
    <w:r>
      <w:rPr>
        <w:rFonts w:ascii="仿宋" w:eastAsia="仿宋" w:hAnsi="仿宋" w:cs="仿宋" w:hint="eastAsia"/>
        <w:sz w:val="20"/>
        <w:szCs w:val="20"/>
      </w:rPr>
      <w:t>截止阀项目可行性分析报告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4AC" w:rsidP="00D224AC" w14:textId="36F075A9">
    <w:pPr>
      <w:jc w:val="center"/>
    </w:pPr>
    <w:r>
      <w:rPr>
        <w:rFonts w:ascii="仿宋" w:eastAsia="仿宋" w:hAnsi="仿宋" w:cs="仿宋" w:hint="eastAsia"/>
        <w:sz w:val="20"/>
        <w:szCs w:val="20"/>
      </w:rPr>
      <w:t>截止阀项目可行性分析报告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4AC" w:rsidP="00D224AC" w14:textId="36F075A9">
    <w:pPr>
      <w:jc w:val="center"/>
    </w:pPr>
    <w:r>
      <w:rPr>
        <w:rFonts w:ascii="仿宋" w:eastAsia="仿宋" w:hAnsi="仿宋" w:cs="仿宋" w:hint="eastAsia"/>
        <w:sz w:val="20"/>
        <w:szCs w:val="20"/>
      </w:rPr>
      <w:t>截止阀项目可行性分析报告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4AC" w:rsidP="00D224AC" w14:textId="36F075A9">
    <w:pPr>
      <w:jc w:val="center"/>
    </w:pPr>
    <w:r>
      <w:rPr>
        <w:rFonts w:ascii="仿宋" w:eastAsia="仿宋" w:hAnsi="仿宋" w:cs="仿宋" w:hint="eastAsia"/>
        <w:sz w:val="20"/>
        <w:szCs w:val="20"/>
      </w:rPr>
      <w:t>截止阀项目可行性分析报告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67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722E63"/>
    <w:rsid w:val="00A02F19"/>
    <w:rsid w:val="00A94AF2"/>
    <w:rsid w:val="00D224AC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30B11D"/>
  <w15:docId w15:val="{952223CA-4A8D-45B5-8FDB-1BD1EE6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224A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224A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224A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224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yperlink" Target="https://d.book118.com/1381071401300060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8901</Words>
  <Characters>10505</Characters>
  <Application>Microsoft Office Word</Application>
  <DocSecurity>0</DocSecurity>
  <Lines>875</Lines>
  <Paragraphs>924</Paragraphs>
  <ScaleCrop>false</ScaleCrop>
  <Company>officegen</Company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2024-01-05T09:17:00Z</dcterms:created>
  <dcterms:modified xsi:type="dcterms:W3CDTF">2024-01-05T09:17:00Z</dcterms:modified>
</cp:coreProperties>
</file>