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  <w:bookmarkStart w:id="0" w:name="_GoBack"/>
      <w:bookmarkEnd w:id="0"/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  <w:r>
        <w:rPr>
          <w:rFonts w:ascii="微软雅黑" w:eastAsia="微软雅黑" w:hAnsi="微软雅黑" w:cs="微软雅黑"/>
          <w:b/>
          <w:bCs/>
          <w:color w:val="2D54A0"/>
          <w:spacing w:val="9"/>
          <w:sz w:val="59"/>
          <w:szCs w:val="59"/>
        </w:rPr>
        <w:t>2024年管理咨询行业趋势报</w:t>
      </w:r>
      <w:r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  <w:t>告</w:t>
      </w: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 w:hint="default"/>
          <w:b/>
          <w:bCs/>
          <w:color w:val="2D54A0"/>
          <w:spacing w:val="8"/>
          <w:sz w:val="44"/>
          <w:szCs w:val="44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微软雅黑" w:eastAsia="微软雅黑" w:hAnsi="微软雅黑" w:cs="微软雅黑" w:hint="eastAsia"/>
          <w:b/>
          <w:bCs/>
          <w:color w:val="2D54A0"/>
          <w:spacing w:val="8"/>
          <w:sz w:val="44"/>
          <w:szCs w:val="44"/>
          <w:lang w:val="en-US" w:eastAsia="zh-CN"/>
        </w:rPr>
        <w:t>《2024年最新评估分析》</w:t>
      </w:r>
    </w:p>
    <w:p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 w:val="0"/>
          <w:color w:val="2E54A1" w:themeColor="accent1" w:themeShade="BF"/>
          <w:sz w:val="40"/>
        </w:rPr>
      </w:pPr>
      <w:r>
        <w:rPr>
          <w:rFonts w:ascii="微软雅黑" w:eastAsia="微软雅黑" w:hAnsi="微软雅黑" w:cs="微软雅黑" w:hint="eastAsia"/>
          <w:b/>
          <w:bCs w:val="0"/>
          <w:color w:val="2E54A1" w:themeColor="accent1" w:themeShade="BF"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32400" w:history="1">
        <w:r>
          <w:rPr>
            <w:rFonts w:ascii="微软雅黑" w:eastAsia="微软雅黑" w:hAnsi="微软雅黑" w:cs="微软雅黑" w:hint="eastAsia"/>
            <w:color w:val="001CAC" w:themeColor="hyperlink" w:themeShade="BF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_Toc32400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370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一、环境与社会责任</w:t>
        </w:r>
        <w:r>
          <w:tab/>
        </w:r>
        <w:r>
          <w:fldChar w:fldCharType="begin"/>
        </w:r>
        <w:r>
          <w:instrText xml:space="preserve"> PAGEREF _Toc15370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3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(一)、环境影响评估</w:t>
        </w:r>
        <w:r>
          <w:tab/>
        </w:r>
        <w:r>
          <w:fldChar w:fldCharType="begin"/>
        </w:r>
        <w:r>
          <w:instrText xml:space="preserve"> PAGEREF _Toc31137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05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(二)、社会责任与可持续发展</w:t>
        </w:r>
        <w:r>
          <w:tab/>
        </w:r>
        <w:r>
          <w:fldChar w:fldCharType="begin"/>
        </w:r>
        <w:r>
          <w:instrText xml:space="preserve"> PAGEREF _Toc29053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756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二、管理咨询行业人才招聘与发展</w:t>
        </w:r>
        <w:r>
          <w:tab/>
        </w:r>
        <w:r>
          <w:fldChar w:fldCharType="begin"/>
        </w:r>
        <w:r>
          <w:instrText xml:space="preserve"> PAGEREF _Toc32756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811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(一)、人才需求分析</w:t>
        </w:r>
        <w:r>
          <w:tab/>
        </w:r>
        <w:r>
          <w:fldChar w:fldCharType="begin"/>
        </w:r>
        <w:r>
          <w:instrText xml:space="preserve"> PAGEREF _Toc6811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371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(二)、招聘计划与流程</w:t>
        </w:r>
        <w:r>
          <w:tab/>
        </w:r>
        <w:r>
          <w:fldChar w:fldCharType="begin"/>
        </w:r>
        <w:r>
          <w:instrText xml:space="preserve"> PAGEREF _Toc16371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61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(三)、员工培训与发展</w:t>
        </w:r>
        <w:r>
          <w:tab/>
        </w:r>
        <w:r>
          <w:fldChar w:fldCharType="begin"/>
        </w:r>
        <w:r>
          <w:instrText xml:space="preserve"> PAGEREF _Toc22961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210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(四)、绩效考核与激励</w:t>
        </w:r>
        <w:r>
          <w:tab/>
        </w:r>
        <w:r>
          <w:fldChar w:fldCharType="begin"/>
        </w:r>
        <w:r>
          <w:instrText xml:space="preserve"> PAGEREF _Toc29210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06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(五)、人才流动与留存</w:t>
        </w:r>
        <w:r>
          <w:tab/>
        </w:r>
        <w:r>
          <w:fldChar w:fldCharType="begin"/>
        </w:r>
        <w:r>
          <w:instrText xml:space="preserve"> PAGEREF _Toc12065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689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三、市场营销与推广策略</w:t>
        </w:r>
        <w:r>
          <w:tab/>
        </w:r>
        <w:r>
          <w:fldChar w:fldCharType="begin"/>
        </w:r>
        <w:r>
          <w:instrText xml:space="preserve"> PAGEREF _Toc32689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56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(一)、目标市场分析</w:t>
        </w:r>
        <w:r>
          <w:tab/>
        </w:r>
        <w:r>
          <w:fldChar w:fldCharType="begin"/>
        </w:r>
        <w:r>
          <w:instrText xml:space="preserve"> PAGEREF _Toc26565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14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(二)、市场定位与竞争分析</w:t>
        </w:r>
        <w:r>
          <w:tab/>
        </w:r>
        <w:r>
          <w:fldChar w:fldCharType="begin"/>
        </w:r>
        <w:r>
          <w:instrText xml:space="preserve"> PAGEREF _Toc4146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42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(三)、推广与宣传策略</w:t>
        </w:r>
        <w:r>
          <w:tab/>
        </w:r>
        <w:r>
          <w:fldChar w:fldCharType="begin"/>
        </w:r>
        <w:r>
          <w:instrText xml:space="preserve"> PAGEREF _Toc27427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125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四、项目技术流程</w:t>
        </w:r>
        <w:r>
          <w:tab/>
        </w:r>
        <w:r>
          <w:fldChar w:fldCharType="begin"/>
        </w:r>
        <w:r>
          <w:instrText xml:space="preserve"> PAGEREF _Toc15125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63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(一)、技术方案选择</w:t>
        </w:r>
        <w:r>
          <w:tab/>
        </w:r>
        <w:r>
          <w:fldChar w:fldCharType="begin"/>
        </w:r>
        <w:r>
          <w:instrText xml:space="preserve"> PAGEREF _Toc20636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65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(二)、设备选型方案</w:t>
        </w:r>
        <w:r>
          <w:tab/>
        </w:r>
        <w:r>
          <w:fldChar w:fldCharType="begin"/>
        </w:r>
        <w:r>
          <w:instrText xml:space="preserve"> PAGEREF _Toc18656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844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(三)、技术流程与工艺设计</w:t>
        </w:r>
        <w:r>
          <w:tab/>
        </w:r>
        <w:r>
          <w:fldChar w:fldCharType="begin"/>
        </w:r>
        <w:r>
          <w:instrText xml:space="preserve"> PAGEREF _Toc6844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37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五、管理咨询行业制度建设与执行</w:t>
        </w:r>
        <w:r>
          <w:tab/>
        </w:r>
        <w:r>
          <w:fldChar w:fldCharType="begin"/>
        </w:r>
        <w:r>
          <w:instrText xml:space="preserve"> PAGEREF _Toc1437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7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(一)、公司制度体系规划</w:t>
        </w:r>
        <w:r>
          <w:tab/>
        </w:r>
        <w:r>
          <w:fldChar w:fldCharType="begin"/>
        </w:r>
        <w:r>
          <w:instrText xml:space="preserve"> PAGEREF _Toc12879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6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(二)、员工手册编制与更新</w:t>
        </w:r>
        <w:r>
          <w:tab/>
        </w:r>
        <w:r>
          <w:fldChar w:fldCharType="begin"/>
        </w:r>
        <w:r>
          <w:instrText xml:space="preserve"> PAGEREF _Toc30762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160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(三)、制度宣导与培训</w:t>
        </w:r>
        <w:r>
          <w:tab/>
        </w:r>
        <w:r>
          <w:fldChar w:fldCharType="begin"/>
        </w:r>
        <w:r>
          <w:instrText xml:space="preserve"> PAGEREF _Toc18160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531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(四)、主要防范措施</w:t>
        </w:r>
        <w:r>
          <w:tab/>
        </w:r>
        <w:r>
          <w:fldChar w:fldCharType="begin"/>
        </w:r>
        <w:r>
          <w:instrText xml:space="preserve"> PAGEREF _Toc11531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31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(五)、制度优化与更新</w:t>
        </w:r>
        <w:r>
          <w:tab/>
        </w:r>
        <w:r>
          <w:fldChar w:fldCharType="begin"/>
        </w:r>
        <w:r>
          <w:instrText xml:space="preserve"> PAGEREF _Toc10531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868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六、管理咨询行业质量管理方案</w:t>
        </w:r>
        <w:r>
          <w:tab/>
        </w:r>
        <w:r>
          <w:fldChar w:fldCharType="begin"/>
        </w:r>
        <w:r>
          <w:instrText xml:space="preserve"> PAGEREF _Toc30868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67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(一)、管理咨询行业质量管理要求</w:t>
        </w:r>
        <w:r>
          <w:tab/>
        </w:r>
        <w:r>
          <w:fldChar w:fldCharType="begin"/>
        </w:r>
        <w:r>
          <w:instrText xml:space="preserve"> PAGEREF _Toc4672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1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(二)、管理咨询行业服务质量管理方案</w:t>
        </w:r>
        <w:r>
          <w:tab/>
        </w:r>
        <w:r>
          <w:fldChar w:fldCharType="begin"/>
        </w:r>
        <w:r>
          <w:instrText xml:space="preserve"> PAGEREF _Toc29615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47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(三)、管理咨询行业质量成本管理方案</w:t>
        </w:r>
        <w:r>
          <w:tab/>
        </w:r>
        <w:r>
          <w:fldChar w:fldCharType="begin"/>
        </w:r>
        <w:r>
          <w:instrText xml:space="preserve"> PAGEREF _Toc12473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361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七、制度建设与管理</w:t>
        </w:r>
        <w:r>
          <w:tab/>
        </w:r>
        <w:r>
          <w:fldChar w:fldCharType="begin"/>
        </w:r>
        <w:r>
          <w:instrText xml:space="preserve"> PAGEREF _Toc20361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27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_Toc17276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360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(二)、内部控制与审计</w:t>
        </w:r>
        <w:r>
          <w:tab/>
        </w:r>
        <w:r>
          <w:fldChar w:fldCharType="begin"/>
        </w:r>
        <w:r>
          <w:instrText xml:space="preserve"> PAGEREF _Toc16360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60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(三)、法律法规合规体系</w:t>
        </w:r>
        <w:r>
          <w:tab/>
        </w:r>
        <w:r>
          <w:fldChar w:fldCharType="begin"/>
        </w:r>
        <w:r>
          <w:instrText xml:space="preserve"> PAGEREF _Toc9605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30973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八、管理咨询行业财务管理分析</w:t>
        </w:r>
        <w:r>
          <w:tab/>
        </w:r>
        <w:r>
          <w:fldChar w:fldCharType="begin"/>
        </w:r>
        <w:r>
          <w:instrText xml:space="preserve"> PAGEREF _Toc30973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401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(一)、管理咨询行业财务管理制度</w:t>
        </w:r>
        <w:r>
          <w:tab/>
        </w:r>
        <w:r>
          <w:fldChar w:fldCharType="begin"/>
        </w:r>
        <w:r>
          <w:instrText xml:space="preserve"> PAGEREF _Toc29401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83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(二)、管理咨询行业经济效益分析</w:t>
        </w:r>
        <w:r>
          <w:tab/>
        </w:r>
        <w:r>
          <w:fldChar w:fldCharType="begin"/>
        </w:r>
        <w:r>
          <w:instrText xml:space="preserve"> PAGEREF _Toc25833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361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(三)、管理咨询行业收入及成本核算</w:t>
        </w:r>
        <w:r>
          <w:tab/>
        </w:r>
        <w:r>
          <w:fldChar w:fldCharType="begin"/>
        </w:r>
        <w:r>
          <w:instrText xml:space="preserve"> PAGEREF _Toc31361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71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(四)、管理咨询行业成本管理</w:t>
        </w:r>
        <w:r>
          <w:tab/>
        </w:r>
        <w:r>
          <w:fldChar w:fldCharType="begin"/>
        </w:r>
        <w:r>
          <w:instrText xml:space="preserve"> PAGEREF _Toc5713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396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九、可持续发展与绿色经营</w:t>
        </w:r>
        <w:r>
          <w:tab/>
        </w:r>
        <w:r>
          <w:fldChar w:fldCharType="begin"/>
        </w:r>
        <w:r>
          <w:instrText xml:space="preserve"> PAGEREF _Toc3396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0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(一)、可持续发展战略与目标</w:t>
        </w:r>
        <w:r>
          <w:tab/>
        </w:r>
        <w:r>
          <w:fldChar w:fldCharType="begin"/>
        </w:r>
        <w:r>
          <w:instrText xml:space="preserve"> PAGEREF _Toc26809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49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(二)、环保政策与实践</w:t>
        </w:r>
        <w:r>
          <w:tab/>
        </w:r>
        <w:r>
          <w:fldChar w:fldCharType="begin"/>
        </w:r>
        <w:r>
          <w:instrText xml:space="preserve"> PAGEREF _Toc30499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4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(三)、资源利用与循环经济</w:t>
        </w:r>
        <w:r>
          <w:tab/>
        </w:r>
        <w:r>
          <w:fldChar w:fldCharType="begin"/>
        </w:r>
        <w:r>
          <w:instrText xml:space="preserve"> PAGEREF _Toc1143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69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(四)、碳中和与生态足迹</w:t>
        </w:r>
        <w:r>
          <w:tab/>
        </w:r>
        <w:r>
          <w:fldChar w:fldCharType="begin"/>
        </w:r>
        <w:r>
          <w:instrText xml:space="preserve"> PAGEREF _Toc8693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517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十、管理咨询行业运营管理及商业模式分析</w:t>
        </w:r>
        <w:r>
          <w:tab/>
        </w:r>
        <w:r>
          <w:fldChar w:fldCharType="begin"/>
        </w:r>
        <w:r>
          <w:instrText xml:space="preserve"> PAGEREF _Toc27517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49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(一)、管理咨询行业数字化发展方案</w:t>
        </w:r>
        <w:r>
          <w:tab/>
        </w:r>
        <w:r>
          <w:fldChar w:fldCharType="begin"/>
        </w:r>
        <w:r>
          <w:instrText xml:space="preserve"> PAGEREF _Toc4492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10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(二)、管理咨询行业新型运营方式</w:t>
        </w:r>
        <w:r>
          <w:tab/>
        </w:r>
        <w:r>
          <w:fldChar w:fldCharType="begin"/>
        </w:r>
        <w:r>
          <w:instrText xml:space="preserve"> PAGEREF _Toc7510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4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(三)、管理咨询行业风险管理</w:t>
        </w:r>
        <w:r>
          <w:tab/>
        </w:r>
        <w:r>
          <w:fldChar w:fldCharType="begin"/>
        </w:r>
        <w:r>
          <w:instrText xml:space="preserve"> PAGEREF _Toc11846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114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十一、管理咨询行业市场营销分析</w:t>
        </w:r>
        <w:r>
          <w:tab/>
        </w:r>
        <w:r>
          <w:fldChar w:fldCharType="begin"/>
        </w:r>
        <w:r>
          <w:instrText xml:space="preserve"> PAGEREF _Toc5114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94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(一)、管理咨询行业市场营销总体思路</w:t>
        </w:r>
        <w:r>
          <w:tab/>
        </w:r>
        <w:r>
          <w:fldChar w:fldCharType="begin"/>
        </w:r>
        <w:r>
          <w:instrText xml:space="preserve"> PAGEREF _Toc14594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35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(二)、管理咨询行业组织市场分析</w:t>
        </w:r>
        <w:r>
          <w:tab/>
        </w:r>
        <w:r>
          <w:fldChar w:fldCharType="begin"/>
        </w:r>
        <w:r>
          <w:instrText xml:space="preserve"> PAGEREF _Toc10352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494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(三)、管理咨询行业目标市场营销战略</w:t>
        </w:r>
        <w:r>
          <w:tab/>
        </w:r>
        <w:r>
          <w:fldChar w:fldCharType="begin"/>
        </w:r>
        <w:r>
          <w:instrText xml:space="preserve"> PAGEREF _Toc23494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55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(四)、管理咨询行业定价策略</w:t>
        </w:r>
        <w:r>
          <w:tab/>
        </w:r>
        <w:r>
          <w:fldChar w:fldCharType="begin"/>
        </w:r>
        <w:r>
          <w:instrText xml:space="preserve"> PAGEREF _Toc9558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37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(五)、管理咨询行业促销策略</w:t>
        </w:r>
        <w:r>
          <w:tab/>
        </w:r>
        <w:r>
          <w:fldChar w:fldCharType="begin"/>
        </w:r>
        <w:r>
          <w:instrText xml:space="preserve"> PAGEREF _Toc9376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06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(六)、管理咨询行业品牌策略</w:t>
        </w:r>
        <w:r>
          <w:tab/>
        </w:r>
        <w:r>
          <w:fldChar w:fldCharType="begin"/>
        </w:r>
        <w:r>
          <w:instrText xml:space="preserve"> PAGEREF _Toc16066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73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(七)、管理咨询行业关系营销</w:t>
        </w:r>
        <w:r>
          <w:tab/>
        </w:r>
        <w:r>
          <w:fldChar w:fldCharType="begin"/>
        </w:r>
        <w:r>
          <w:instrText xml:space="preserve"> PAGEREF _Toc25737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734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(八)、管理咨询行业体验营销</w:t>
        </w:r>
        <w:r>
          <w:tab/>
        </w:r>
        <w:r>
          <w:fldChar w:fldCharType="begin"/>
        </w:r>
        <w:r>
          <w:instrText xml:space="preserve"> PAGEREF _Toc8734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30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(九)、管理咨询行业互联网营销</w:t>
        </w:r>
        <w:r>
          <w:tab/>
        </w:r>
        <w:r>
          <w:fldChar w:fldCharType="begin"/>
        </w:r>
        <w:r>
          <w:instrText xml:space="preserve"> PAGEREF _Toc31308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707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十二、质量管理与持续改进</w:t>
        </w:r>
        <w:r>
          <w:tab/>
        </w:r>
        <w:r>
          <w:fldChar w:fldCharType="begin"/>
        </w:r>
        <w:r>
          <w:instrText xml:space="preserve"> PAGEREF _Toc9707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4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_Toc4547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334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(二)、生产过程控制与优化</w:t>
        </w:r>
        <w:r>
          <w:tab/>
        </w:r>
        <w:r>
          <w:fldChar w:fldCharType="begin"/>
        </w:r>
        <w:r>
          <w:instrText xml:space="preserve"> PAGEREF _Toc8334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06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(三)、产品质量检验与测试</w:t>
        </w:r>
        <w:r>
          <w:tab/>
        </w:r>
        <w:r>
          <w:fldChar w:fldCharType="begin"/>
        </w:r>
        <w:r>
          <w:instrText xml:space="preserve"> PAGEREF _Toc25066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5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(四)、用户反馈与质量改进</w:t>
        </w:r>
        <w:r>
          <w:tab/>
        </w:r>
        <w:r>
          <w:fldChar w:fldCharType="begin"/>
        </w:r>
        <w:r>
          <w:instrText xml:space="preserve"> PAGEREF _Toc26257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r>
        <w:fldChar w:fldCharType="end"/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https://d.book118.com/138112112010006030</w:t>
        </w:r>
      </w:hyperlink>
    </w:p>
    <w:p/>
    <w:sectPr>
      <w:headerReference w:type="default" r:id="rId9"/>
      <w:footerReference w:type="default" r:id="rId10"/>
      <w:type w:val="nextPage"/>
      <w:pgSz w:w="11906" w:h="16838"/>
      <w:pgMar w:top="1440" w:right="1800" w:bottom="1440" w:left="1800" w:header="851" w:footer="992" w:gutter="0"/>
      <w:pgNumType w:start="3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2775B3"/>
    <w:rsid w:val="02623C3C"/>
    <w:rsid w:val="03734037"/>
    <w:rsid w:val="13614867"/>
    <w:rsid w:val="3DAC44EE"/>
    <w:rsid w:val="453746B4"/>
    <w:rsid w:val="482775B3"/>
    <w:rsid w:val="49C53810"/>
    <w:rsid w:val="4E155AC7"/>
    <w:rsid w:val="50930768"/>
    <w:rsid w:val="62A91464"/>
    <w:rsid w:val="692E1C42"/>
    <w:rsid w:val="6CF5071B"/>
  </w:rsids>
  <w:docVars>
    <w:docVar w:name="commondata" w:val="eyJoZGlkIjoiYjEzZTI3MzIxYzUxM2E3Y2YyMDVhZDRkMWU5YjExZDg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 w:qFormat="1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 w:qFormat="1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autoRedefine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autoRedefine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autoRedefine/>
    <w:semiHidden/>
    <w:qFormat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autoRedefine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autoRedefine/>
    <w:qFormat/>
    <w:pPr>
      <w:ind w:left="420" w:leftChars="200"/>
    </w:pPr>
  </w:style>
  <w:style w:type="character" w:styleId="PageNumber">
    <w:name w:val="page number"/>
    <w:basedOn w:val="DefaultParagraphFont"/>
    <w:autoRedefine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yperlink" Target="https://d.book118.com/138112112010006030" TargetMode="Externa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小海豹</cp:lastModifiedBy>
  <cp:revision>1</cp:revision>
  <dcterms:created xsi:type="dcterms:W3CDTF">2023-12-10T12:06:00Z</dcterms:created>
  <dcterms:modified xsi:type="dcterms:W3CDTF">2024-01-17T07:06:53Z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1E39AA5D4B7F4B19B7D16FD992F8235D_13</vt:lpwstr>
  </property>
  <property fmtid="{D5CDD505-2E9C-101B-9397-08002B2CF9AE}" pid="3" name="KSOProductBuildVer">
    <vt:lpwstr>2052-12.1.0.16120</vt:lpwstr>
  </property>
</Properties>
</file>