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82" w:lineRule="auto"/>
        <w:rPr>
          <w:rFonts w:ascii="Arial"/>
          <w:sz w:val="21"/>
        </w:rPr>
      </w:pPr>
    </w:p>
    <w:p>
      <w:pPr>
        <w:spacing w:line="283" w:lineRule="auto"/>
        <w:rPr>
          <w:rFonts w:ascii="Arial"/>
          <w:sz w:val="21"/>
        </w:rPr>
      </w:pPr>
    </w:p>
    <w:p>
      <w:pPr>
        <w:spacing w:before="101" w:line="231" w:lineRule="auto"/>
        <w:ind w:left="3243" w:right="1621" w:hanging="1638"/>
        <w:outlineLvl w:val="0"/>
        <w:rPr>
          <w:rFonts w:ascii="SimHei" w:eastAsia="SimHei" w:hAnsi="SimHei" w:cs="SimHei"/>
          <w:sz w:val="31"/>
          <w:szCs w:val="31"/>
        </w:rPr>
      </w:pPr>
      <w:r>
        <w:rPr>
          <w:rFonts w:ascii="SimHei" w:eastAsia="SimHei" w:hAnsi="SimHei" w:cs="SimHei"/>
          <w:spacing w:val="7"/>
          <w:sz w:val="31"/>
          <w:szCs w:val="31"/>
        </w:rPr>
        <w:t>自动化系统与集成</w:t>
      </w:r>
      <w:r>
        <w:rPr>
          <w:rFonts w:ascii="SimHei" w:eastAsia="SimHei" w:hAnsi="SimHei" w:cs="SimHei"/>
          <w:spacing w:val="7"/>
          <w:sz w:val="31"/>
          <w:szCs w:val="31"/>
        </w:rPr>
        <w:t xml:space="preserve"> </w:t>
      </w:r>
      <w:r>
        <w:rPr>
          <w:rFonts w:ascii="SimHei" w:eastAsia="SimHei" w:hAnsi="SimHei" w:cs="SimHei"/>
          <w:spacing w:val="7"/>
          <w:sz w:val="31"/>
          <w:szCs w:val="31"/>
        </w:rPr>
        <w:t>面向制造的数字孪生框架</w:t>
      </w:r>
      <w:r>
        <w:rPr>
          <w:rFonts w:ascii="SimHei" w:eastAsia="SimHei" w:hAnsi="SimHei" w:cs="SimHei"/>
          <w:sz w:val="31"/>
          <w:szCs w:val="31"/>
        </w:rPr>
        <w:t xml:space="preserve"> </w:t>
      </w:r>
      <w:r>
        <w:rPr>
          <w:rFonts w:ascii="SimHei" w:eastAsia="SimHei" w:hAnsi="SimHei" w:cs="SimHei"/>
          <w:spacing w:val="5"/>
          <w:sz w:val="31"/>
          <w:szCs w:val="31"/>
        </w:rPr>
        <w:t>第</w:t>
      </w:r>
      <w:r>
        <w:rPr>
          <w:rFonts w:ascii="SimHei" w:eastAsia="SimHei" w:hAnsi="SimHei" w:cs="SimHei"/>
          <w:spacing w:val="-72"/>
          <w:sz w:val="31"/>
          <w:szCs w:val="31"/>
        </w:rPr>
        <w:t xml:space="preserve"> </w:t>
      </w:r>
      <w:r>
        <w:rPr>
          <w:rFonts w:ascii="SimHei" w:eastAsia="SimHei" w:hAnsi="SimHei" w:cs="SimHei"/>
          <w:spacing w:val="5"/>
          <w:sz w:val="31"/>
          <w:szCs w:val="31"/>
        </w:rPr>
        <w:t>4</w:t>
      </w:r>
      <w:r>
        <w:rPr>
          <w:rFonts w:ascii="SimHei" w:eastAsia="SimHei" w:hAnsi="SimHei" w:cs="SimHei"/>
          <w:spacing w:val="-55"/>
          <w:sz w:val="31"/>
          <w:szCs w:val="31"/>
        </w:rPr>
        <w:t xml:space="preserve"> </w:t>
      </w:r>
      <w:r>
        <w:rPr>
          <w:rFonts w:ascii="SimHei" w:eastAsia="SimHei" w:hAnsi="SimHei" w:cs="SimHei"/>
          <w:spacing w:val="5"/>
          <w:sz w:val="31"/>
          <w:szCs w:val="31"/>
        </w:rPr>
        <w:t>部分：信息交换</w:t>
      </w:r>
    </w:p>
    <w:p>
      <w:pPr>
        <w:spacing w:line="320" w:lineRule="auto"/>
        <w:rPr>
          <w:rFonts w:ascii="Arial"/>
          <w:sz w:val="21"/>
        </w:rPr>
      </w:pPr>
    </w:p>
    <w:p>
      <w:pPr>
        <w:spacing w:line="320" w:lineRule="auto"/>
        <w:rPr>
          <w:rFonts w:ascii="Arial"/>
          <w:sz w:val="21"/>
        </w:rPr>
      </w:pPr>
    </w:p>
    <w:p>
      <w:pPr>
        <w:spacing w:before="68" w:line="221" w:lineRule="auto"/>
        <w:ind w:left="14"/>
        <w:rPr>
          <w:rFonts w:ascii="SimHei" w:eastAsia="SimHei" w:hAnsi="SimHei" w:cs="SimHei"/>
          <w:sz w:val="21"/>
          <w:szCs w:val="21"/>
        </w:rPr>
      </w:pPr>
      <w:r>
        <w:rPr>
          <w:rFonts w:ascii="SimHei" w:eastAsia="SimHei" w:hAnsi="SimHei" w:cs="SimHei"/>
          <w:spacing w:val="-8"/>
          <w:sz w:val="21"/>
          <w:szCs w:val="21"/>
        </w:rPr>
        <w:t>1</w:t>
      </w:r>
      <w:r>
        <w:rPr>
          <w:rFonts w:ascii="SimHei" w:eastAsia="SimHei" w:hAnsi="SimHei" w:cs="SimHei"/>
          <w:spacing w:val="5"/>
          <w:sz w:val="21"/>
          <w:szCs w:val="21"/>
        </w:rPr>
        <w:t xml:space="preserve">  </w:t>
      </w:r>
      <w:r>
        <w:rPr>
          <w:rFonts w:ascii="SimHei" w:eastAsia="SimHei" w:hAnsi="SimHei" w:cs="SimHei"/>
          <w:spacing w:val="-8"/>
          <w:sz w:val="21"/>
          <w:szCs w:val="21"/>
        </w:rPr>
        <w:t>范围</w:t>
      </w:r>
    </w:p>
    <w:p>
      <w:pPr>
        <w:spacing w:line="302" w:lineRule="auto"/>
        <w:rPr>
          <w:rFonts w:ascii="Arial"/>
          <w:sz w:val="21"/>
        </w:rPr>
      </w:pPr>
    </w:p>
    <w:p>
      <w:pPr>
        <w:pStyle w:val="BodyText"/>
        <w:spacing w:before="68" w:line="312" w:lineRule="exact"/>
        <w:ind w:left="424"/>
      </w:pPr>
      <w:r>
        <w:rPr>
          <w:spacing w:val="-1"/>
          <w:position w:val="7"/>
        </w:rPr>
        <w:t>本文件规定了参考体系结构中实体之间信息交换的技术要求。</w:t>
      </w:r>
    </w:p>
    <w:p>
      <w:pPr>
        <w:pStyle w:val="BodyText"/>
        <w:spacing w:line="219" w:lineRule="auto"/>
        <w:ind w:left="447"/>
      </w:pPr>
      <w:r>
        <w:rPr>
          <w:spacing w:val="-3"/>
        </w:rPr>
        <w:t>以下网络中信息交换的要求属于本文件范围：</w:t>
      </w:r>
    </w:p>
    <w:p>
      <w:pPr>
        <w:pStyle w:val="BodyText"/>
        <w:spacing w:before="62" w:line="313" w:lineRule="exact"/>
        <w:ind w:left="427"/>
      </w:pPr>
      <w:r>
        <w:rPr>
          <w:position w:val="7"/>
        </w:rPr>
        <w:t>——连接用户实体和数字孪生实体的用户网络；</w:t>
      </w:r>
    </w:p>
    <w:p>
      <w:pPr>
        <w:pStyle w:val="BodyText"/>
        <w:spacing w:line="220" w:lineRule="auto"/>
        <w:ind w:left="427"/>
      </w:pPr>
      <w:r>
        <w:rPr>
          <w:spacing w:val="-1"/>
        </w:rPr>
        <w:t>——连接数字孪生实体内子实体的业务网络；</w:t>
      </w:r>
    </w:p>
    <w:p>
      <w:pPr>
        <w:pStyle w:val="BodyText"/>
        <w:spacing w:before="61" w:line="312" w:lineRule="exact"/>
        <w:ind w:left="427"/>
      </w:pPr>
      <w:r>
        <w:rPr>
          <w:spacing w:val="-1"/>
          <w:position w:val="7"/>
        </w:rPr>
        <w:t>——将设备通信实体连接到数字孪生实体和用户实体的接入网络；</w:t>
      </w:r>
    </w:p>
    <w:p>
      <w:pPr>
        <w:pStyle w:val="BodyText"/>
        <w:spacing w:before="1" w:line="220" w:lineRule="auto"/>
        <w:ind w:left="427"/>
      </w:pPr>
      <w:r>
        <w:rPr>
          <w:spacing w:val="-1"/>
        </w:rPr>
        <w:t>——将设备通信实体与可观测制造元素相连接的邻近网络。</w:t>
      </w:r>
    </w:p>
    <w:p>
      <w:pPr>
        <w:spacing w:line="302" w:lineRule="auto"/>
        <w:rPr>
          <w:rFonts w:ascii="Arial"/>
          <w:sz w:val="21"/>
        </w:rPr>
      </w:pPr>
    </w:p>
    <w:p>
      <w:pPr>
        <w:spacing w:before="69" w:line="220" w:lineRule="auto"/>
        <w:ind w:left="2"/>
        <w:rPr>
          <w:rFonts w:ascii="SimHei" w:eastAsia="SimHei" w:hAnsi="SimHei" w:cs="SimHei"/>
          <w:sz w:val="21"/>
          <w:szCs w:val="21"/>
        </w:rPr>
      </w:pPr>
      <w:r>
        <w:rPr>
          <w:rFonts w:ascii="SimHei" w:eastAsia="SimHei" w:hAnsi="SimHei" w:cs="SimHei"/>
          <w:spacing w:val="-1"/>
          <w:sz w:val="21"/>
          <w:szCs w:val="21"/>
        </w:rPr>
        <w:t>2</w:t>
      </w:r>
      <w:r>
        <w:rPr>
          <w:rFonts w:ascii="SimHei" w:eastAsia="SimHei" w:hAnsi="SimHei" w:cs="SimHei"/>
          <w:spacing w:val="-1"/>
          <w:sz w:val="21"/>
          <w:szCs w:val="21"/>
        </w:rPr>
        <w:t xml:space="preserve">  </w:t>
      </w:r>
      <w:r>
        <w:rPr>
          <w:rFonts w:ascii="SimHei" w:eastAsia="SimHei" w:hAnsi="SimHei" w:cs="SimHei"/>
          <w:spacing w:val="-1"/>
          <w:sz w:val="21"/>
          <w:szCs w:val="21"/>
        </w:rPr>
        <w:t>规范性引用文件</w:t>
      </w:r>
    </w:p>
    <w:p>
      <w:pPr>
        <w:spacing w:line="305" w:lineRule="auto"/>
        <w:rPr>
          <w:rFonts w:ascii="Arial"/>
          <w:sz w:val="21"/>
        </w:rPr>
      </w:pPr>
    </w:p>
    <w:p>
      <w:pPr>
        <w:pStyle w:val="BodyText"/>
        <w:spacing w:before="68" w:line="256" w:lineRule="auto"/>
        <w:ind w:left="2" w:firstLine="428"/>
        <w:jc w:val="both"/>
      </w:pPr>
      <w:r>
        <w:rPr>
          <w:spacing w:val="-6"/>
        </w:rPr>
        <w:t>下列文件中的内容通过文中的规范性引用而构成本文件必不可少的条款。其中，注日期的引用文件，</w:t>
      </w:r>
      <w:r>
        <w:rPr>
          <w:spacing w:val="5"/>
        </w:rPr>
        <w:t xml:space="preserve"> </w:t>
      </w:r>
      <w:r>
        <w:rPr>
          <w:spacing w:val="-4"/>
        </w:rPr>
        <w:t>仅该日期对应的版本适用于本文件；</w:t>
      </w:r>
      <w:r>
        <w:rPr>
          <w:spacing w:val="-27"/>
        </w:rPr>
        <w:t xml:space="preserve"> </w:t>
      </w:r>
      <w:r>
        <w:rPr>
          <w:spacing w:val="-4"/>
        </w:rPr>
        <w:t>不注日期的引用文件，其最新版本（包括所有的修改单）适用于本</w:t>
      </w:r>
      <w:r>
        <w:t xml:space="preserve"> </w:t>
      </w:r>
      <w:r>
        <w:rPr>
          <w:spacing w:val="-8"/>
        </w:rPr>
        <w:t>文件。</w:t>
      </w:r>
    </w:p>
    <w:p>
      <w:pPr>
        <w:pStyle w:val="BodyText"/>
        <w:spacing w:before="63" w:line="254" w:lineRule="auto"/>
        <w:ind w:left="10" w:right="58" w:firstLine="425"/>
        <w:jc w:val="both"/>
      </w:pPr>
      <w:r>
        <w:t>ISO</w:t>
      </w:r>
      <w:r>
        <w:rPr>
          <w:spacing w:val="76"/>
        </w:rPr>
        <w:t xml:space="preserve"> </w:t>
      </w:r>
      <w:r>
        <w:rPr>
          <w:spacing w:val="9"/>
        </w:rPr>
        <w:t>23247-1</w:t>
      </w:r>
      <w:r>
        <w:t xml:space="preserve">  </w:t>
      </w:r>
      <w:r>
        <w:rPr>
          <w:spacing w:val="9"/>
        </w:rPr>
        <w:t>自动化系统与集成</w:t>
      </w:r>
      <w:r>
        <w:rPr>
          <w:spacing w:val="41"/>
        </w:rPr>
        <w:t xml:space="preserve"> </w:t>
      </w:r>
      <w:r>
        <w:rPr>
          <w:spacing w:val="9"/>
        </w:rPr>
        <w:t>面向制造的数字孪生系统框架</w:t>
      </w:r>
      <w:r>
        <w:rPr>
          <w:spacing w:val="41"/>
        </w:rPr>
        <w:t xml:space="preserve"> </w:t>
      </w:r>
      <w:r>
        <w:rPr>
          <w:spacing w:val="9"/>
        </w:rPr>
        <w:t>第1部分：概述和一</w:t>
      </w:r>
      <w:r>
        <w:rPr>
          <w:spacing w:val="8"/>
        </w:rPr>
        <w:t>般原则</w:t>
      </w:r>
      <w:r>
        <w:t xml:space="preserve"> </w:t>
      </w:r>
      <w:r>
        <w:t>（Automation</w:t>
      </w:r>
      <w:r>
        <w:rPr>
          <w:spacing w:val="27"/>
        </w:rPr>
        <w:t xml:space="preserve"> </w:t>
      </w:r>
      <w:r>
        <w:t>systems and</w:t>
      </w:r>
      <w:r>
        <w:rPr>
          <w:spacing w:val="32"/>
        </w:rPr>
        <w:t xml:space="preserve"> </w:t>
      </w:r>
      <w:r>
        <w:t xml:space="preserve">integration </w:t>
      </w:r>
      <w:r>
        <w:rPr>
          <w:rFonts w:ascii="Times New Roman" w:eastAsia="Times New Roman" w:hAnsi="Times New Roman" w:cs="Times New Roman"/>
        </w:rPr>
        <w:t>—</w:t>
      </w:r>
      <w:r>
        <w:rPr>
          <w:rFonts w:ascii="Times New Roman" w:eastAsia="Times New Roman" w:hAnsi="Times New Roman" w:cs="Times New Roman"/>
          <w:spacing w:val="10"/>
        </w:rPr>
        <w:t xml:space="preserve">  </w:t>
      </w:r>
      <w:r>
        <w:t>di</w:t>
      </w:r>
      <w:r>
        <w:rPr>
          <w:spacing w:val="-1"/>
        </w:rPr>
        <w:t>gital twin</w:t>
      </w:r>
      <w:r>
        <w:rPr>
          <w:spacing w:val="23"/>
        </w:rPr>
        <w:t xml:space="preserve"> </w:t>
      </w:r>
      <w:r>
        <w:rPr>
          <w:spacing w:val="-1"/>
        </w:rPr>
        <w:t>framework</w:t>
      </w:r>
      <w:r>
        <w:rPr>
          <w:spacing w:val="21"/>
        </w:rPr>
        <w:t xml:space="preserve"> </w:t>
      </w:r>
      <w:r>
        <w:rPr>
          <w:spacing w:val="-1"/>
        </w:rPr>
        <w:t>for manufacturing</w:t>
      </w:r>
      <w:r>
        <w:rPr>
          <w:spacing w:val="10"/>
        </w:rPr>
        <w:t xml:space="preserve"> </w:t>
      </w:r>
      <w:r>
        <w:rPr>
          <w:rFonts w:ascii="Times New Roman" w:eastAsia="Times New Roman" w:hAnsi="Times New Roman" w:cs="Times New Roman"/>
          <w:spacing w:val="-1"/>
        </w:rPr>
        <w:t>—</w:t>
      </w:r>
      <w:r>
        <w:rPr>
          <w:rFonts w:ascii="Times New Roman" w:eastAsia="Times New Roman" w:hAnsi="Times New Roman" w:cs="Times New Roman"/>
          <w:spacing w:val="5"/>
        </w:rPr>
        <w:t xml:space="preserve">  </w:t>
      </w:r>
      <w:r>
        <w:rPr>
          <w:spacing w:val="-1"/>
        </w:rPr>
        <w:t>Part</w:t>
      </w:r>
      <w:r>
        <w:rPr>
          <w:spacing w:val="1"/>
        </w:rPr>
        <w:t xml:space="preserve"> </w:t>
      </w:r>
      <w:r>
        <w:rPr>
          <w:spacing w:val="-1"/>
        </w:rPr>
        <w:t>1: Overview and</w:t>
      </w:r>
      <w:r>
        <w:rPr>
          <w:spacing w:val="20"/>
        </w:rPr>
        <w:t xml:space="preserve"> </w:t>
      </w:r>
      <w:r>
        <w:rPr>
          <w:spacing w:val="-1"/>
        </w:rPr>
        <w:t>general principles）</w:t>
      </w:r>
    </w:p>
    <w:p>
      <w:pPr>
        <w:pStyle w:val="BodyText"/>
        <w:spacing w:before="66" w:line="261" w:lineRule="auto"/>
        <w:ind w:left="4" w:right="57" w:firstLine="430"/>
        <w:jc w:val="both"/>
      </w:pPr>
      <w:r>
        <w:rPr>
          <w:spacing w:val="-1"/>
        </w:rPr>
        <w:t>ISO 23247-2</w:t>
      </w:r>
      <w:r>
        <w:rPr>
          <w:spacing w:val="47"/>
        </w:rPr>
        <w:t xml:space="preserve"> </w:t>
      </w:r>
      <w:r>
        <w:rPr>
          <w:spacing w:val="-1"/>
        </w:rPr>
        <w:t>自动化系统与集成 面向制造的数字孪生系统框架 第2部分：参考架构（Automation</w:t>
      </w:r>
      <w:r>
        <w:t xml:space="preserve"> </w:t>
      </w:r>
      <w:r>
        <w:t>systems and</w:t>
      </w:r>
      <w:r>
        <w:rPr>
          <w:spacing w:val="32"/>
        </w:rPr>
        <w:t xml:space="preserve"> </w:t>
      </w:r>
      <w:r>
        <w:t xml:space="preserve">integration </w:t>
      </w:r>
      <w:r>
        <w:rPr>
          <w:rFonts w:ascii="Times New Roman" w:eastAsia="Times New Roman" w:hAnsi="Times New Roman" w:cs="Times New Roman"/>
        </w:rPr>
        <w:t xml:space="preserve">—  </w:t>
      </w:r>
      <w:r>
        <w:t>digital twin</w:t>
      </w:r>
      <w:r>
        <w:rPr>
          <w:spacing w:val="19"/>
        </w:rPr>
        <w:t xml:space="preserve"> </w:t>
      </w:r>
      <w:r>
        <w:t>framew</w:t>
      </w:r>
      <w:r>
        <w:rPr>
          <w:spacing w:val="-1"/>
        </w:rPr>
        <w:t>ork</w:t>
      </w:r>
      <w:r>
        <w:rPr>
          <w:spacing w:val="22"/>
        </w:rPr>
        <w:t xml:space="preserve"> </w:t>
      </w:r>
      <w:r>
        <w:rPr>
          <w:spacing w:val="-1"/>
        </w:rPr>
        <w:t>for</w:t>
      </w:r>
      <w:r>
        <w:rPr>
          <w:spacing w:val="12"/>
        </w:rPr>
        <w:t xml:space="preserve"> </w:t>
      </w:r>
      <w:r>
        <w:rPr>
          <w:spacing w:val="-1"/>
        </w:rPr>
        <w:t>manufacturing</w:t>
      </w:r>
      <w:r>
        <w:rPr>
          <w:spacing w:val="5"/>
        </w:rPr>
        <w:t xml:space="preserve"> </w:t>
      </w:r>
      <w:r>
        <w:rPr>
          <w:rFonts w:ascii="Times New Roman" w:eastAsia="Times New Roman" w:hAnsi="Times New Roman" w:cs="Times New Roman"/>
          <w:spacing w:val="-1"/>
        </w:rPr>
        <w:t>—</w:t>
      </w:r>
      <w:r>
        <w:rPr>
          <w:rFonts w:ascii="Times New Roman" w:eastAsia="Times New Roman" w:hAnsi="Times New Roman" w:cs="Times New Roman"/>
          <w:spacing w:val="7"/>
        </w:rPr>
        <w:t xml:space="preserve">  </w:t>
      </w:r>
      <w:r>
        <w:rPr>
          <w:spacing w:val="-1"/>
        </w:rPr>
        <w:t>Part</w:t>
      </w:r>
      <w:r>
        <w:rPr>
          <w:spacing w:val="20"/>
        </w:rPr>
        <w:t xml:space="preserve"> </w:t>
      </w:r>
      <w:r>
        <w:rPr>
          <w:spacing w:val="-1"/>
        </w:rPr>
        <w:t>2:</w:t>
      </w:r>
      <w:r>
        <w:rPr>
          <w:spacing w:val="17"/>
        </w:rPr>
        <w:t xml:space="preserve"> </w:t>
      </w:r>
      <w:r>
        <w:rPr>
          <w:spacing w:val="-1"/>
        </w:rPr>
        <w:t>Reference</w:t>
      </w:r>
      <w:r>
        <w:t xml:space="preserve"> </w:t>
      </w:r>
      <w:r>
        <w:rPr>
          <w:spacing w:val="-1"/>
        </w:rPr>
        <w:t>architecture）</w:t>
      </w:r>
    </w:p>
    <w:p>
      <w:pPr>
        <w:spacing w:line="288" w:lineRule="auto"/>
        <w:rPr>
          <w:rFonts w:ascii="Arial"/>
          <w:sz w:val="21"/>
        </w:rPr>
      </w:pPr>
    </w:p>
    <w:p>
      <w:pPr>
        <w:spacing w:before="69" w:line="221" w:lineRule="auto"/>
        <w:ind w:left="3"/>
        <w:rPr>
          <w:rFonts w:ascii="SimHei" w:eastAsia="SimHei" w:hAnsi="SimHei" w:cs="SimHei"/>
          <w:sz w:val="21"/>
          <w:szCs w:val="21"/>
        </w:rPr>
      </w:pPr>
      <w:r>
        <w:rPr>
          <w:rFonts w:ascii="SimHei" w:eastAsia="SimHei" w:hAnsi="SimHei" w:cs="SimHei"/>
          <w:spacing w:val="-1"/>
          <w:sz w:val="21"/>
          <w:szCs w:val="21"/>
        </w:rPr>
        <w:t>3</w:t>
      </w:r>
      <w:r>
        <w:rPr>
          <w:rFonts w:ascii="SimHei" w:eastAsia="SimHei" w:hAnsi="SimHei" w:cs="SimHei"/>
          <w:spacing w:val="-1"/>
          <w:sz w:val="21"/>
          <w:szCs w:val="21"/>
        </w:rPr>
        <w:t xml:space="preserve">  </w:t>
      </w:r>
      <w:r>
        <w:rPr>
          <w:rFonts w:ascii="SimHei" w:eastAsia="SimHei" w:hAnsi="SimHei" w:cs="SimHei"/>
          <w:spacing w:val="-1"/>
          <w:sz w:val="21"/>
          <w:szCs w:val="21"/>
        </w:rPr>
        <w:t>术语和定义</w:t>
      </w:r>
    </w:p>
    <w:p>
      <w:pPr>
        <w:spacing w:line="302" w:lineRule="auto"/>
        <w:rPr>
          <w:rFonts w:ascii="Arial"/>
          <w:sz w:val="21"/>
        </w:rPr>
      </w:pPr>
    </w:p>
    <w:p>
      <w:pPr>
        <w:pStyle w:val="BodyText"/>
        <w:spacing w:before="69" w:line="312" w:lineRule="exact"/>
        <w:ind w:left="435"/>
      </w:pPr>
      <w:r>
        <w:rPr>
          <w:spacing w:val="-1"/>
          <w:position w:val="7"/>
        </w:rPr>
        <w:t>ISO 23247-1界定的以及下列术语和定义适用于本</w:t>
      </w:r>
      <w:r>
        <w:rPr>
          <w:spacing w:val="-2"/>
          <w:position w:val="7"/>
        </w:rPr>
        <w:t>文件。</w:t>
      </w:r>
    </w:p>
    <w:p>
      <w:pPr>
        <w:pStyle w:val="BodyText"/>
        <w:spacing w:before="1" w:line="220" w:lineRule="auto"/>
        <w:ind w:left="435"/>
      </w:pPr>
      <w:r>
        <w:rPr>
          <w:spacing w:val="-2"/>
        </w:rPr>
        <w:t>ISO和IEC维护用于标准化的术语数据库网址如下：</w:t>
      </w:r>
    </w:p>
    <w:p>
      <w:pPr>
        <w:pStyle w:val="BodyText"/>
        <w:spacing w:before="61" w:line="312" w:lineRule="exact"/>
        <w:ind w:left="427"/>
        <w:sectPr>
          <w:headerReference w:type="default" r:id="rId4"/>
          <w:footerReference w:type="default" r:id="rId5"/>
          <w:pgSz w:w="11907" w:h="16839"/>
          <w:pgMar w:top="1659" w:right="1070" w:bottom="1311" w:left="1423" w:header="1448" w:footer="1133" w:gutter="0"/>
          <w:cols w:space="708"/>
        </w:sectPr>
      </w:pPr>
      <w:r>
        <w:rPr>
          <w:spacing w:val="-2"/>
          <w:position w:val="7"/>
        </w:rPr>
        <w:t>——ISO</w:t>
      </w:r>
      <w:r>
        <w:rPr>
          <w:spacing w:val="-45"/>
          <w:position w:val="7"/>
        </w:rPr>
        <w:t xml:space="preserve"> </w:t>
      </w:r>
      <w:r>
        <w:rPr>
          <w:spacing w:val="-2"/>
          <w:position w:val="7"/>
        </w:rPr>
        <w:t>在线浏览平台网址：</w:t>
      </w:r>
      <w:r>
        <w:rPr>
          <w:spacing w:val="-24"/>
          <w:position w:val="7"/>
        </w:rPr>
        <w:t xml:space="preserve"> </w:t>
      </w:r>
      <w:hyperlink r:id="rId6" w:history="1">
        <w:r>
          <w:rPr>
            <w:spacing w:val="-2"/>
            <w:position w:val="7"/>
          </w:rPr>
          <w:t>https://www</w:t>
        </w:r>
        <w:r>
          <w:rPr>
            <w:spacing w:val="-3"/>
            <w:position w:val="7"/>
          </w:rPr>
          <w:t>.iso.org/obp</w:t>
        </w:r>
      </w:hyperlink>
    </w:p>
    <w:p>
      <w:pPr>
        <w:pStyle w:val="BodyText"/>
        <w:spacing w:before="1" w:line="214" w:lineRule="auto"/>
        <w:ind w:left="427"/>
      </w:pPr>
      <w:r>
        <w:rPr>
          <w:spacing w:val="-3"/>
        </w:rPr>
        <w:t>——IEC 电工百科网址：</w:t>
      </w:r>
      <w:r>
        <w:rPr>
          <w:spacing w:val="-25"/>
        </w:rPr>
        <w:t xml:space="preserve"> </w:t>
      </w:r>
      <w:hyperlink r:id="rId7" w:history="1">
        <w:r>
          <w:rPr>
            <w:spacing w:val="-3"/>
          </w:rPr>
          <w:t>http://www.electr</w:t>
        </w:r>
        <w:r>
          <w:rPr>
            <w:spacing w:val="-4"/>
          </w:rPr>
          <w:t>opedia.org</w:t>
        </w:r>
      </w:hyperlink>
    </w:p>
    <w:p>
      <w:pPr>
        <w:spacing w:before="94" w:line="536" w:lineRule="exact"/>
        <w:rPr>
          <w:rFonts w:ascii="SimHei" w:eastAsia="SimHei" w:hAnsi="SimHei" w:cs="SimHei"/>
          <w:sz w:val="21"/>
          <w:szCs w:val="21"/>
        </w:rPr>
      </w:pPr>
      <w:r>
        <w:rPr>
          <w:rFonts w:ascii="Arial" w:eastAsia="Arial" w:hAnsi="Arial" w:cs="Arial"/>
          <w:spacing w:val="1"/>
          <w:position w:val="30"/>
          <w:sz w:val="13"/>
          <w:szCs w:val="13"/>
        </w:rPr>
        <w:t>3</w:t>
      </w:r>
      <w:r>
        <w:rPr>
          <w:rFonts w:ascii="Arial" w:eastAsia="Arial" w:hAnsi="Arial" w:cs="Arial"/>
          <w:spacing w:val="1"/>
          <w:position w:val="30"/>
          <w:sz w:val="13"/>
          <w:szCs w:val="13"/>
        </w:rPr>
        <w:t xml:space="preserve">  </w:t>
      </w:r>
      <w:r>
        <w:rPr>
          <w:rFonts w:ascii="Arial" w:eastAsia="Arial" w:hAnsi="Arial" w:cs="Arial"/>
          <w:spacing w:val="1"/>
          <w:position w:val="30"/>
          <w:sz w:val="13"/>
          <w:szCs w:val="13"/>
        </w:rPr>
        <w:t>.1</w:t>
      </w:r>
      <w:r>
        <w:rPr>
          <w:rFonts w:ascii="Arial" w:eastAsia="Arial" w:hAnsi="Arial" w:cs="Arial"/>
          <w:spacing w:val="2"/>
          <w:position w:val="30"/>
          <w:sz w:val="13"/>
          <w:szCs w:val="13"/>
        </w:rPr>
        <w:t xml:space="preserve">    </w:t>
      </w:r>
      <w:r>
        <w:rPr>
          <w:rFonts w:ascii="SimHei" w:eastAsia="SimHei" w:hAnsi="SimHei" w:cs="SimHei"/>
          <w:spacing w:val="1"/>
          <w:position w:val="-4"/>
          <w:sz w:val="21"/>
          <w:szCs w:val="21"/>
        </w:rPr>
        <w:t>设备通信实体</w:t>
      </w:r>
    </w:p>
    <w:p>
      <w:pPr>
        <w:pStyle w:val="BodyText"/>
        <w:spacing w:before="151" w:line="220" w:lineRule="auto"/>
        <w:ind w:left="424"/>
      </w:pPr>
      <w:r>
        <w:rPr>
          <w:spacing w:val="-1"/>
        </w:rPr>
        <w:t>提供设备通信的（一组）系统或设备。</w:t>
      </w:r>
    </w:p>
    <w:p>
      <w:pPr>
        <w:pStyle w:val="BodyText"/>
        <w:spacing w:before="77" w:line="297" w:lineRule="exact"/>
        <w:ind w:left="372"/>
        <w:rPr>
          <w:sz w:val="18"/>
          <w:szCs w:val="18"/>
        </w:rPr>
      </w:pPr>
      <w:r>
        <w:rPr>
          <w:rFonts w:ascii="SimHei" w:eastAsia="SimHei" w:hAnsi="SimHei" w:cs="SimHei"/>
          <w:spacing w:val="-3"/>
          <w:position w:val="8"/>
          <w:sz w:val="18"/>
          <w:szCs w:val="18"/>
        </w:rPr>
        <w:t>示例：</w:t>
      </w:r>
      <w:r>
        <w:rPr>
          <w:rFonts w:ascii="SimHei" w:eastAsia="SimHei" w:hAnsi="SimHei" w:cs="SimHei"/>
          <w:spacing w:val="-3"/>
          <w:position w:val="8"/>
          <w:sz w:val="18"/>
          <w:szCs w:val="18"/>
        </w:rPr>
        <w:t xml:space="preserve"> </w:t>
      </w:r>
      <w:r>
        <w:rPr>
          <w:spacing w:val="-3"/>
          <w:position w:val="8"/>
          <w:sz w:val="18"/>
          <w:szCs w:val="18"/>
        </w:rPr>
        <w:t>单元控制器向制造单元内的设备发送指令，并从设</w:t>
      </w:r>
      <w:r>
        <w:rPr>
          <w:spacing w:val="-4"/>
          <w:position w:val="8"/>
          <w:sz w:val="18"/>
          <w:szCs w:val="18"/>
        </w:rPr>
        <w:t>备上的传感器收集结果。</w:t>
      </w:r>
    </w:p>
    <w:p>
      <w:pPr>
        <w:pStyle w:val="BodyText"/>
        <w:spacing w:before="1" w:line="217" w:lineRule="auto"/>
        <w:ind w:left="456"/>
      </w:pPr>
      <w:r>
        <w:rPr>
          <w:spacing w:val="-2"/>
        </w:rPr>
        <w:t>[来源：ISO 23247-2:2021,3.4]</w:t>
      </w:r>
    </w:p>
    <w:p>
      <w:pPr>
        <w:spacing w:before="90" w:line="194" w:lineRule="auto"/>
        <w:rPr>
          <w:rFonts w:ascii="SimHei" w:eastAsia="SimHei" w:hAnsi="SimHei" w:cs="SimHei"/>
          <w:sz w:val="21"/>
          <w:szCs w:val="21"/>
        </w:rPr>
      </w:pPr>
      <w:r>
        <w:rPr>
          <w:rFonts w:ascii="Arial" w:eastAsia="Arial" w:hAnsi="Arial" w:cs="Arial"/>
          <w:position w:val="9"/>
          <w:sz w:val="21"/>
          <w:szCs w:val="21"/>
        </w:rPr>
        <w:t>3.2</w:t>
      </w:r>
      <w:r>
        <w:rPr>
          <w:rFonts w:ascii="Arial" w:eastAsia="Arial" w:hAnsi="Arial" w:cs="Arial"/>
          <w:position w:val="9"/>
          <w:sz w:val="21"/>
          <w:szCs w:val="21"/>
        </w:rPr>
        <w:t xml:space="preserve">  </w:t>
      </w:r>
      <w:r>
        <w:rPr>
          <w:rFonts w:ascii="SimHei" w:eastAsia="SimHei" w:hAnsi="SimHei" w:cs="SimHei"/>
          <w:position w:val="-24"/>
          <w:sz w:val="21"/>
          <w:szCs w:val="21"/>
        </w:rPr>
        <w:t>数字孪生实体</w:t>
      </w:r>
    </w:p>
    <w:p>
      <w:pPr>
        <w:pStyle w:val="BodyText"/>
        <w:spacing w:before="149" w:line="326" w:lineRule="exact"/>
        <w:ind w:left="426"/>
      </w:pPr>
      <w:r>
        <w:rPr>
          <w:spacing w:val="-1"/>
          <w:position w:val="8"/>
        </w:rPr>
        <w:t>为数字孪生模型提供实现、管理、同步和模拟等功能的（一组）系统。</w:t>
      </w:r>
    </w:p>
    <w:p>
      <w:pPr>
        <w:pStyle w:val="BodyText"/>
        <w:spacing w:before="1" w:line="218" w:lineRule="auto"/>
        <w:ind w:left="372"/>
        <w:rPr>
          <w:sz w:val="18"/>
          <w:szCs w:val="18"/>
        </w:rPr>
      </w:pPr>
      <w:r>
        <w:rPr>
          <w:rFonts w:ascii="SimHei" w:eastAsia="SimHei" w:hAnsi="SimHei" w:cs="SimHei"/>
          <w:spacing w:val="-5"/>
          <w:sz w:val="18"/>
          <w:szCs w:val="18"/>
        </w:rPr>
        <w:t>示例：</w:t>
      </w:r>
      <w:r>
        <w:rPr>
          <w:rFonts w:ascii="SimHei" w:eastAsia="SimHei" w:hAnsi="SimHei" w:cs="SimHei"/>
          <w:spacing w:val="-5"/>
          <w:sz w:val="18"/>
          <w:szCs w:val="18"/>
        </w:rPr>
        <w:t xml:space="preserve"> </w:t>
      </w:r>
      <w:r>
        <w:rPr>
          <w:spacing w:val="-5"/>
          <w:sz w:val="18"/>
          <w:szCs w:val="18"/>
        </w:rPr>
        <w:t>为制造单元提供模拟、同步以及数据分析的系统。</w:t>
      </w:r>
    </w:p>
    <w:p>
      <w:pPr>
        <w:pStyle w:val="BodyText"/>
        <w:spacing w:before="84" w:line="218" w:lineRule="auto"/>
        <w:ind w:left="456"/>
      </w:pPr>
      <w:r>
        <w:rPr>
          <w:spacing w:val="-2"/>
        </w:rPr>
        <w:t>[来源：ISO 23247-2:2021,3.6]</w:t>
      </w:r>
    </w:p>
    <w:p>
      <w:pPr>
        <w:spacing w:line="218" w:lineRule="auto"/>
        <w:sectPr>
          <w:headerReference w:type="default" r:id="rId8"/>
          <w:footerReference w:type="default" r:id="rId9"/>
          <w:type w:val="nextPage"/>
          <w:pgSz w:w="11907" w:h="16839"/>
          <w:pgMar w:top="1659" w:right="1070" w:bottom="1311" w:left="1423" w:header="1448" w:footer="1133" w:gutter="0"/>
          <w:pgNumType w:start="2"/>
          <w:cols w:space="708"/>
          <w:titlePg w:val="0"/>
        </w:sectPr>
      </w:pPr>
    </w:p>
    <w:p>
      <w:pPr>
        <w:spacing w:line="284" w:lineRule="auto"/>
        <w:rPr>
          <w:rFonts w:ascii="Arial"/>
          <w:sz w:val="21"/>
        </w:rPr>
      </w:pPr>
    </w:p>
    <w:p>
      <w:pPr>
        <w:spacing w:before="61" w:line="155" w:lineRule="exact"/>
        <w:ind w:left="4"/>
        <w:rPr>
          <w:rFonts w:ascii="Arial" w:eastAsia="Arial" w:hAnsi="Arial" w:cs="Arial"/>
          <w:sz w:val="21"/>
          <w:szCs w:val="21"/>
        </w:rPr>
      </w:pPr>
      <w:r>
        <w:rPr>
          <w:rFonts w:ascii="Arial" w:eastAsia="Arial" w:hAnsi="Arial" w:cs="Arial"/>
          <w:spacing w:val="3"/>
          <w:position w:val="-3"/>
          <w:sz w:val="21"/>
          <w:szCs w:val="21"/>
        </w:rPr>
        <w:t>3.3</w:t>
      </w:r>
    </w:p>
    <w:p>
      <w:pPr>
        <w:spacing w:before="129" w:line="220" w:lineRule="auto"/>
        <w:ind w:left="431"/>
        <w:rPr>
          <w:rFonts w:ascii="SimHei" w:eastAsia="SimHei" w:hAnsi="SimHei" w:cs="SimHei"/>
          <w:sz w:val="21"/>
          <w:szCs w:val="21"/>
        </w:rPr>
      </w:pPr>
      <w:r>
        <w:rPr>
          <w:rFonts w:ascii="SimHei" w:eastAsia="SimHei" w:hAnsi="SimHei" w:cs="SimHei"/>
          <w:spacing w:val="-3"/>
          <w:sz w:val="21"/>
          <w:szCs w:val="21"/>
        </w:rPr>
        <w:t>用户实体</w:t>
      </w:r>
    </w:p>
    <w:p>
      <w:pPr>
        <w:pStyle w:val="BodyText"/>
        <w:spacing w:before="61" w:line="220" w:lineRule="auto"/>
        <w:ind w:left="428"/>
      </w:pPr>
      <w:r>
        <w:rPr>
          <w:spacing w:val="-1"/>
        </w:rPr>
        <w:t>使用数字孪生实体提供服务的人类用户、应用程序以及系统。</w:t>
      </w:r>
    </w:p>
    <w:p>
      <w:pPr>
        <w:pStyle w:val="BodyText"/>
        <w:spacing w:before="76" w:line="270" w:lineRule="auto"/>
        <w:ind w:left="21" w:right="2" w:firstLine="355"/>
        <w:rPr>
          <w:sz w:val="18"/>
          <w:szCs w:val="18"/>
        </w:rPr>
      </w:pPr>
      <w:r>
        <w:rPr>
          <w:rFonts w:ascii="SimHei" w:eastAsia="SimHei" w:hAnsi="SimHei" w:cs="SimHei"/>
          <w:spacing w:val="-3"/>
          <w:sz w:val="18"/>
          <w:szCs w:val="18"/>
        </w:rPr>
        <w:t>示例：</w:t>
      </w:r>
      <w:r>
        <w:rPr>
          <w:rFonts w:ascii="SimHei" w:eastAsia="SimHei" w:hAnsi="SimHei" w:cs="SimHei"/>
          <w:spacing w:val="-3"/>
          <w:sz w:val="18"/>
          <w:szCs w:val="18"/>
        </w:rPr>
        <w:t xml:space="preserve"> </w:t>
      </w:r>
      <w:r>
        <w:rPr>
          <w:spacing w:val="-3"/>
          <w:sz w:val="18"/>
          <w:szCs w:val="18"/>
        </w:rPr>
        <w:t>一种企业资源计划(ERP)系统， 使用数字孪</w:t>
      </w:r>
      <w:r>
        <w:rPr>
          <w:spacing w:val="-4"/>
          <w:sz w:val="18"/>
          <w:szCs w:val="18"/>
        </w:rPr>
        <w:t>生应用程序提供的应用程序编程接口(API)来更新其数据库中资源</w:t>
      </w:r>
      <w:r>
        <w:rPr>
          <w:sz w:val="18"/>
          <w:szCs w:val="18"/>
        </w:rPr>
        <w:t xml:space="preserve"> </w:t>
      </w:r>
      <w:r>
        <w:rPr>
          <w:spacing w:val="-7"/>
          <w:sz w:val="18"/>
          <w:szCs w:val="18"/>
        </w:rPr>
        <w:t>的当前状态。</w:t>
      </w:r>
    </w:p>
    <w:p>
      <w:pPr>
        <w:pStyle w:val="BodyText"/>
        <w:spacing w:before="82" w:line="218" w:lineRule="auto"/>
        <w:ind w:left="460"/>
      </w:pPr>
      <w:r>
        <w:rPr>
          <w:spacing w:val="-2"/>
        </w:rPr>
        <w:t>[来源：ISO 23247-2:2021, 3.8]</w:t>
      </w:r>
    </w:p>
    <w:p>
      <w:pPr>
        <w:spacing w:before="92" w:line="155" w:lineRule="exact"/>
        <w:ind w:left="4"/>
        <w:rPr>
          <w:rFonts w:ascii="Arial" w:eastAsia="Arial" w:hAnsi="Arial" w:cs="Arial"/>
          <w:sz w:val="21"/>
          <w:szCs w:val="21"/>
        </w:rPr>
      </w:pPr>
      <w:r>
        <w:rPr>
          <w:rFonts w:ascii="Arial" w:eastAsia="Arial" w:hAnsi="Arial" w:cs="Arial"/>
          <w:spacing w:val="6"/>
          <w:position w:val="-3"/>
          <w:sz w:val="21"/>
          <w:szCs w:val="21"/>
        </w:rPr>
        <w:t>3.4</w:t>
      </w:r>
    </w:p>
    <w:p>
      <w:pPr>
        <w:spacing w:before="129" w:line="220" w:lineRule="auto"/>
        <w:ind w:left="431"/>
        <w:rPr>
          <w:rFonts w:ascii="SimHei" w:eastAsia="SimHei" w:hAnsi="SimHei" w:cs="SimHei"/>
          <w:sz w:val="21"/>
          <w:szCs w:val="21"/>
        </w:rPr>
      </w:pPr>
      <w:r>
        <w:rPr>
          <w:rFonts w:ascii="SimHei" w:eastAsia="SimHei" w:hAnsi="SimHei" w:cs="SimHei"/>
          <w:spacing w:val="-2"/>
          <w:sz w:val="21"/>
          <w:szCs w:val="21"/>
        </w:rPr>
        <w:t>可视化</w:t>
      </w:r>
    </w:p>
    <w:p>
      <w:pPr>
        <w:pStyle w:val="BodyText"/>
        <w:spacing w:before="61" w:line="256" w:lineRule="auto"/>
        <w:ind w:left="371" w:right="353" w:firstLine="58"/>
        <w:rPr>
          <w:sz w:val="18"/>
          <w:szCs w:val="18"/>
        </w:rPr>
      </w:pPr>
      <w:r>
        <w:rPr>
          <w:spacing w:val="-1"/>
        </w:rPr>
        <w:t>《计算机绘图》利用计算机绘图与图像处理来呈现过程或对象的模型或特征，便于人们理解。</w:t>
      </w:r>
      <w:r>
        <w:rPr>
          <w:spacing w:val="6"/>
        </w:rPr>
        <w:t xml:space="preserve"> </w:t>
      </w:r>
      <w:r>
        <w:rPr>
          <w:rFonts w:ascii="SimHei" w:eastAsia="SimHei" w:hAnsi="SimHei" w:cs="SimHei"/>
          <w:spacing w:val="-1"/>
          <w:sz w:val="18"/>
          <w:szCs w:val="18"/>
        </w:rPr>
        <w:t>注1：</w:t>
      </w:r>
      <w:r>
        <w:rPr>
          <w:spacing w:val="-1"/>
          <w:sz w:val="18"/>
          <w:szCs w:val="18"/>
        </w:rPr>
        <w:t>示例：计算机数控（CNC）机床铣削铝块的可视化呈</w:t>
      </w:r>
      <w:r>
        <w:rPr>
          <w:spacing w:val="-2"/>
          <w:sz w:val="18"/>
          <w:szCs w:val="18"/>
        </w:rPr>
        <w:t>现。</w:t>
      </w:r>
    </w:p>
    <w:p>
      <w:pPr>
        <w:pStyle w:val="BodyText"/>
        <w:spacing w:before="84" w:line="625" w:lineRule="exact"/>
        <w:ind w:left="460"/>
      </w:pPr>
      <w:r>
        <w:rPr>
          <w:position w:val="32"/>
        </w:rPr>
        <w:t>[来源：ISO/IEC 2382:2015，</w:t>
      </w:r>
      <w:r>
        <w:rPr>
          <w:spacing w:val="-1"/>
          <w:position w:val="32"/>
        </w:rPr>
        <w:t>已修订，注1更改为制造示例。注2和注3已删除。]</w:t>
      </w:r>
    </w:p>
    <w:p>
      <w:pPr>
        <w:spacing w:line="219" w:lineRule="auto"/>
        <w:ind w:left="1"/>
        <w:rPr>
          <w:rFonts w:ascii="SimHei" w:eastAsia="SimHei" w:hAnsi="SimHei" w:cs="SimHei"/>
          <w:sz w:val="21"/>
          <w:szCs w:val="21"/>
        </w:rPr>
      </w:pPr>
      <w:r>
        <w:rPr>
          <w:rFonts w:ascii="SimHei" w:eastAsia="SimHei" w:hAnsi="SimHei" w:cs="SimHei"/>
          <w:sz w:val="21"/>
          <w:szCs w:val="21"/>
        </w:rPr>
        <w:t>4</w:t>
      </w:r>
      <w:r>
        <w:rPr>
          <w:rFonts w:ascii="SimHei" w:eastAsia="SimHei" w:hAnsi="SimHei" w:cs="SimHei"/>
          <w:sz w:val="21"/>
          <w:szCs w:val="21"/>
        </w:rPr>
        <w:t xml:space="preserve">  </w:t>
      </w:r>
      <w:r>
        <w:rPr>
          <w:rFonts w:ascii="SimHei" w:eastAsia="SimHei" w:hAnsi="SimHei" w:cs="SimHei"/>
          <w:sz w:val="21"/>
          <w:szCs w:val="21"/>
        </w:rPr>
        <w:t>数字孪生参考模型的网络视图</w:t>
      </w:r>
    </w:p>
    <w:p>
      <w:pPr>
        <w:spacing w:line="304" w:lineRule="auto"/>
        <w:rPr>
          <w:rFonts w:ascii="Arial"/>
          <w:sz w:val="21"/>
        </w:rPr>
      </w:pPr>
    </w:p>
    <w:p>
      <w:pPr>
        <w:spacing w:before="69" w:line="219" w:lineRule="auto"/>
        <w:rPr>
          <w:rFonts w:ascii="SimHei" w:eastAsia="SimHei" w:hAnsi="SimHei" w:cs="SimHei"/>
          <w:sz w:val="21"/>
          <w:szCs w:val="21"/>
        </w:rPr>
      </w:pPr>
      <w:r>
        <w:rPr>
          <w:rFonts w:ascii="Arial" w:eastAsia="Arial" w:hAnsi="Arial" w:cs="Arial"/>
          <w:spacing w:val="-3"/>
          <w:sz w:val="21"/>
          <w:szCs w:val="21"/>
        </w:rPr>
        <w:t>4.1</w:t>
      </w:r>
      <w:r>
        <w:rPr>
          <w:rFonts w:ascii="Arial" w:eastAsia="Arial" w:hAnsi="Arial" w:cs="Arial"/>
          <w:spacing w:val="4"/>
          <w:sz w:val="21"/>
          <w:szCs w:val="21"/>
        </w:rPr>
        <w:t xml:space="preserve">    </w:t>
      </w:r>
      <w:r>
        <w:rPr>
          <w:rFonts w:ascii="SimHei" w:eastAsia="SimHei" w:hAnsi="SimHei" w:cs="SimHei"/>
          <w:spacing w:val="-3"/>
          <w:sz w:val="21"/>
          <w:szCs w:val="21"/>
        </w:rPr>
        <w:t>概述</w:t>
      </w:r>
    </w:p>
    <w:p>
      <w:pPr>
        <w:pStyle w:val="BodyText"/>
        <w:spacing w:before="220" w:line="247" w:lineRule="auto"/>
        <w:ind w:left="26" w:firstLine="413"/>
      </w:pPr>
      <w:r>
        <w:t>ISO 23247-2定义了制造业数字孪生框架的参考模型，以及这些参考模型的功能视</w:t>
      </w:r>
      <w:r>
        <w:rPr>
          <w:spacing w:val="-1"/>
        </w:rPr>
        <w:t>图。本文件定义</w:t>
      </w:r>
      <w:r>
        <w:t xml:space="preserve"> </w:t>
      </w:r>
      <w:r>
        <w:rPr>
          <w:spacing w:val="-1"/>
        </w:rPr>
        <w:t>了一个网络视图。网络视图应适用于ISO 23247-2中给出的参考模型。</w:t>
      </w:r>
    </w:p>
    <w:p>
      <w:pPr>
        <w:pStyle w:val="BodyText"/>
        <w:spacing w:before="60" w:line="221" w:lineRule="auto"/>
        <w:ind w:left="448"/>
      </w:pPr>
      <w:r>
        <w:rPr>
          <w:spacing w:val="-1"/>
        </w:rPr>
        <w:t>图2给出了ISO23247-2参考模型中描述的用于连接实体的四种通</w:t>
      </w:r>
      <w:r>
        <w:rPr>
          <w:spacing w:val="-2"/>
        </w:rPr>
        <w:t>信网络。</w:t>
      </w:r>
    </w:p>
    <w:p>
      <w:pPr>
        <w:spacing w:before="88" w:line="5772" w:lineRule="exact"/>
        <w:ind w:firstLine="420"/>
        <w:sectPr>
          <w:headerReference w:type="default" r:id="rId10"/>
          <w:footerReference w:type="default" r:id="rId11"/>
          <w:pgSz w:w="11907" w:h="16839"/>
          <w:pgMar w:top="1659" w:right="1414" w:bottom="1310" w:left="1133" w:header="1448" w:footer="1133" w:gutter="0"/>
          <w:pgNumType w:start="3"/>
          <w:cols w:space="708"/>
        </w:sectPr>
      </w:pPr>
      <w:r>
        <w:rPr>
          <w:position w:val="-115"/>
        </w:rPr>
        <w:drawing>
          <wp:inline distT="0" distB="0" distL="0" distR="0">
            <wp:extent cx="5486400" cy="366522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2"/>
                    <a:stretch>
                      <a:fillRect/>
                    </a:stretch>
                  </pic:blipFill>
                  <pic:spPr>
                    <a:xfrm>
                      <a:off x="0" y="0"/>
                      <a:ext cx="5486400" cy="3665220"/>
                    </a:xfrm>
                    <a:prstGeom prst="rect">
                      <a:avLst/>
                    </a:prstGeom>
                  </pic:spPr>
                </pic:pic>
              </a:graphicData>
            </a:graphic>
          </wp:inline>
        </w:drawing>
      </w:r>
    </w:p>
    <w:p>
      <w:pPr>
        <w:spacing w:before="255" w:line="192" w:lineRule="auto"/>
        <w:ind w:left="18"/>
        <w:rPr>
          <w:rFonts w:ascii="Microsoft YaHei" w:eastAsia="Microsoft YaHei" w:hAnsi="Microsoft YaHei" w:cs="Microsoft YaHei"/>
          <w:sz w:val="18"/>
          <w:szCs w:val="18"/>
        </w:rPr>
      </w:pPr>
      <w:r>
        <w:rPr>
          <w:rFonts w:ascii="Microsoft YaHei" w:eastAsia="Microsoft YaHei" w:hAnsi="Microsoft YaHei" w:cs="Microsoft YaHei"/>
          <w:b/>
          <w:bCs/>
          <w:color w:val="221E1F"/>
          <w:spacing w:val="-4"/>
          <w:sz w:val="18"/>
          <w:szCs w:val="18"/>
        </w:rPr>
        <w:t>图标注释</w:t>
      </w:r>
    </w:p>
    <w:p>
      <w:pPr>
        <w:pStyle w:val="BodyText"/>
        <w:spacing w:before="44" w:line="220" w:lineRule="auto"/>
        <w:ind w:left="380"/>
        <w:rPr>
          <w:sz w:val="18"/>
          <w:szCs w:val="18"/>
        </w:rPr>
      </w:pPr>
      <w:r>
        <w:rPr>
          <w:spacing w:val="-1"/>
          <w:sz w:val="18"/>
          <w:szCs w:val="18"/>
        </w:rPr>
        <w:t>1 用户网络；2 业务网络；3 接入网络；4 邻近网络</w:t>
      </w:r>
    </w:p>
    <w:p>
      <w:pPr>
        <w:spacing w:before="239" w:line="219" w:lineRule="auto"/>
        <w:ind w:left="3068"/>
        <w:rPr>
          <w:rFonts w:ascii="SimHei" w:eastAsia="SimHei" w:hAnsi="SimHei" w:cs="SimHei"/>
          <w:sz w:val="21"/>
          <w:szCs w:val="21"/>
        </w:rPr>
      </w:pPr>
      <w:r>
        <w:rPr>
          <w:rFonts w:ascii="SimHei" w:eastAsia="SimHei" w:hAnsi="SimHei" w:cs="SimHei"/>
          <w:spacing w:val="-1"/>
          <w:sz w:val="21"/>
          <w:szCs w:val="21"/>
        </w:rPr>
        <w:t>图2</w:t>
      </w:r>
      <w:r>
        <w:rPr>
          <w:rFonts w:ascii="SimHei" w:eastAsia="SimHei" w:hAnsi="SimHei" w:cs="SimHei"/>
          <w:spacing w:val="-1"/>
          <w:sz w:val="21"/>
          <w:szCs w:val="21"/>
        </w:rPr>
        <w:t xml:space="preserve">  </w:t>
      </w:r>
      <w:r>
        <w:rPr>
          <w:rFonts w:ascii="SimHei" w:eastAsia="SimHei" w:hAnsi="SimHei" w:cs="SimHei"/>
          <w:spacing w:val="-1"/>
          <w:sz w:val="21"/>
          <w:szCs w:val="21"/>
        </w:rPr>
        <w:t>数字孪生参考模型的网络视图</w:t>
      </w:r>
    </w:p>
    <w:p>
      <w:pPr>
        <w:spacing w:before="218" w:line="215" w:lineRule="auto"/>
        <w:rPr>
          <w:rFonts w:ascii="SimHei" w:eastAsia="SimHei" w:hAnsi="SimHei" w:cs="SimHei"/>
          <w:sz w:val="21"/>
          <w:szCs w:val="21"/>
        </w:rPr>
      </w:pPr>
      <w:r>
        <w:rPr>
          <w:rFonts w:ascii="Arial" w:eastAsia="Arial" w:hAnsi="Arial" w:cs="Arial"/>
          <w:spacing w:val="1"/>
          <w:position w:val="1"/>
          <w:sz w:val="21"/>
          <w:szCs w:val="21"/>
        </w:rPr>
        <w:t>4.2</w:t>
      </w:r>
      <w:r>
        <w:rPr>
          <w:rFonts w:ascii="Arial" w:eastAsia="Arial" w:hAnsi="Arial" w:cs="Arial"/>
          <w:spacing w:val="18"/>
          <w:position w:val="1"/>
          <w:sz w:val="21"/>
          <w:szCs w:val="21"/>
        </w:rPr>
        <w:t xml:space="preserve">   </w:t>
      </w:r>
      <w:r>
        <w:rPr>
          <w:rFonts w:ascii="SimHei" w:eastAsia="SimHei" w:hAnsi="SimHei" w:cs="SimHei"/>
          <w:spacing w:val="1"/>
          <w:position w:val="-1"/>
          <w:sz w:val="21"/>
          <w:szCs w:val="21"/>
        </w:rPr>
        <w:t>用户网络</w:t>
      </w:r>
    </w:p>
    <w:p>
      <w:pPr>
        <w:spacing w:line="215" w:lineRule="auto"/>
        <w:rPr>
          <w:rFonts w:ascii="SimHei" w:eastAsia="SimHei" w:hAnsi="SimHei" w:cs="SimHei"/>
          <w:sz w:val="21"/>
          <w:szCs w:val="21"/>
        </w:rPr>
        <w:sectPr>
          <w:headerReference w:type="default" r:id="rId13"/>
          <w:footerReference w:type="default" r:id="rId14"/>
          <w:type w:val="nextPage"/>
          <w:pgSz w:w="11907" w:h="16839"/>
          <w:pgMar w:top="1659" w:right="1414" w:bottom="1310" w:left="1133" w:header="1448" w:footer="1133" w:gutter="0"/>
          <w:pgNumType w:start="4"/>
          <w:cols w:space="708"/>
          <w:titlePg w:val="0"/>
        </w:sectPr>
      </w:pPr>
    </w:p>
    <w:p>
      <w:pPr>
        <w:spacing w:line="249" w:lineRule="auto"/>
        <w:rPr>
          <w:rFonts w:ascii="Arial"/>
          <w:sz w:val="21"/>
        </w:rPr>
      </w:pPr>
    </w:p>
    <w:p>
      <w:pPr>
        <w:pStyle w:val="BodyText"/>
        <w:spacing w:before="68" w:line="248" w:lineRule="auto"/>
        <w:ind w:left="9" w:right="74" w:firstLine="420"/>
      </w:pPr>
      <w:r>
        <w:rPr>
          <w:spacing w:val="-2"/>
        </w:rPr>
        <w:t>用户网络连接用户实体和数字孪生实体。通过该网络，用户</w:t>
      </w:r>
      <w:r>
        <w:rPr>
          <w:spacing w:val="-3"/>
        </w:rPr>
        <w:t>实体可利用由数字孪生实体管理的数字</w:t>
      </w:r>
      <w:r>
        <w:t xml:space="preserve"> </w:t>
      </w:r>
      <w:r>
        <w:rPr>
          <w:spacing w:val="-5"/>
        </w:rPr>
        <w:t>孪生实例。</w:t>
      </w:r>
    </w:p>
    <w:p>
      <w:pPr>
        <w:pStyle w:val="BodyText"/>
        <w:spacing w:before="60" w:line="468" w:lineRule="exact"/>
        <w:ind w:left="430"/>
      </w:pPr>
      <w:r>
        <w:rPr>
          <w:spacing w:val="-1"/>
          <w:position w:val="19"/>
        </w:rPr>
        <w:t>用户网络可以是公共网络，也可以是专用的内联网。</w:t>
      </w:r>
    </w:p>
    <w:p>
      <w:pPr>
        <w:spacing w:line="214" w:lineRule="auto"/>
        <w:rPr>
          <w:rFonts w:ascii="SimHei" w:eastAsia="SimHei" w:hAnsi="SimHei" w:cs="SimHei"/>
          <w:sz w:val="21"/>
          <w:szCs w:val="21"/>
        </w:rPr>
      </w:pPr>
      <w:r>
        <w:rPr>
          <w:rFonts w:ascii="Arial" w:eastAsia="Arial" w:hAnsi="Arial" w:cs="Arial"/>
          <w:spacing w:val="1"/>
          <w:position w:val="1"/>
          <w:sz w:val="21"/>
          <w:szCs w:val="21"/>
        </w:rPr>
        <w:t>4.3</w:t>
      </w:r>
      <w:r>
        <w:rPr>
          <w:rFonts w:ascii="Arial" w:eastAsia="Arial" w:hAnsi="Arial" w:cs="Arial"/>
          <w:spacing w:val="17"/>
          <w:w w:val="101"/>
          <w:position w:val="1"/>
          <w:sz w:val="21"/>
          <w:szCs w:val="21"/>
        </w:rPr>
        <w:t xml:space="preserve">   </w:t>
      </w:r>
      <w:r>
        <w:rPr>
          <w:rFonts w:ascii="SimHei" w:eastAsia="SimHei" w:hAnsi="SimHei" w:cs="SimHei"/>
          <w:spacing w:val="1"/>
          <w:position w:val="-1"/>
          <w:sz w:val="21"/>
          <w:szCs w:val="21"/>
        </w:rPr>
        <w:t>服务网络</w:t>
      </w:r>
    </w:p>
    <w:p>
      <w:pPr>
        <w:pStyle w:val="BodyText"/>
        <w:spacing w:before="218" w:line="248" w:lineRule="auto"/>
        <w:ind w:left="12" w:right="74" w:firstLine="416"/>
      </w:pPr>
      <w:r>
        <w:rPr>
          <w:spacing w:val="-2"/>
        </w:rPr>
        <w:t>服务网络连接操作与管理子实体、应用程序与服务子实体、资源</w:t>
      </w:r>
      <w:r>
        <w:rPr>
          <w:spacing w:val="-3"/>
        </w:rPr>
        <w:t>访问与交换子实体。服务网络通常</w:t>
      </w:r>
      <w:r>
        <w:t xml:space="preserve"> </w:t>
      </w:r>
      <w:r>
        <w:rPr>
          <w:spacing w:val="-2"/>
        </w:rPr>
        <w:t>是运行基于IP协议的有线网络。</w:t>
      </w:r>
    </w:p>
    <w:p>
      <w:pPr>
        <w:pStyle w:val="BodyText"/>
        <w:spacing w:before="60" w:line="468" w:lineRule="exact"/>
        <w:ind w:left="432"/>
      </w:pPr>
      <w:r>
        <w:rPr>
          <w:position w:val="19"/>
        </w:rPr>
        <w:t>如果数字孪生实体是作为单独专用系统实施的，则不需</w:t>
      </w:r>
      <w:r>
        <w:rPr>
          <w:spacing w:val="-1"/>
          <w:position w:val="19"/>
        </w:rPr>
        <w:t>要服务网络。</w:t>
      </w:r>
    </w:p>
    <w:p>
      <w:pPr>
        <w:spacing w:before="1" w:line="214" w:lineRule="auto"/>
        <w:rPr>
          <w:rFonts w:ascii="SimHei" w:eastAsia="SimHei" w:hAnsi="SimHei" w:cs="SimHei"/>
          <w:sz w:val="21"/>
          <w:szCs w:val="21"/>
        </w:rPr>
      </w:pPr>
      <w:r>
        <w:rPr>
          <w:rFonts w:ascii="Arial" w:eastAsia="Arial" w:hAnsi="Arial" w:cs="Arial"/>
          <w:spacing w:val="3"/>
          <w:position w:val="1"/>
          <w:sz w:val="21"/>
          <w:szCs w:val="21"/>
        </w:rPr>
        <w:t>4.4</w:t>
      </w:r>
      <w:r>
        <w:rPr>
          <w:rFonts w:ascii="Arial" w:eastAsia="Arial" w:hAnsi="Arial" w:cs="Arial"/>
          <w:spacing w:val="13"/>
          <w:position w:val="1"/>
          <w:sz w:val="21"/>
          <w:szCs w:val="21"/>
        </w:rPr>
        <w:t xml:space="preserve">   </w:t>
      </w:r>
      <w:r>
        <w:rPr>
          <w:rFonts w:ascii="SimHei" w:eastAsia="SimHei" w:hAnsi="SimHei" w:cs="SimHei"/>
          <w:spacing w:val="3"/>
          <w:position w:val="-1"/>
          <w:sz w:val="21"/>
          <w:szCs w:val="21"/>
        </w:rPr>
        <w:t>接入网络</w:t>
      </w:r>
    </w:p>
    <w:p>
      <w:pPr>
        <w:pStyle w:val="BodyText"/>
        <w:spacing w:before="219" w:line="247" w:lineRule="auto"/>
        <w:ind w:left="8" w:right="74" w:firstLine="420"/>
      </w:pPr>
      <w:r>
        <w:t>接入网络连接设备通信实体与数字孪生实体和用户实体。数据采集子实体将从OME中采集的数据传</w:t>
      </w:r>
      <w:r>
        <w:rPr>
          <w:spacing w:val="5"/>
        </w:rPr>
        <w:t xml:space="preserve"> </w:t>
      </w:r>
      <w:r>
        <w:t>输到数字孪生实体。设备控制子实体通过传输用户实体或数字孪生实体下达的命令来控制OM</w:t>
      </w:r>
      <w:r>
        <w:rPr>
          <w:spacing w:val="-1"/>
        </w:rPr>
        <w:t>E。</w:t>
      </w:r>
    </w:p>
    <w:p>
      <w:pPr>
        <w:pStyle w:val="BodyText"/>
        <w:spacing w:before="62" w:line="247" w:lineRule="auto"/>
        <w:ind w:left="21" w:right="81" w:firstLine="406"/>
      </w:pPr>
      <w:r>
        <w:rPr>
          <w:spacing w:val="-4"/>
        </w:rPr>
        <w:t>接入网络可以是诸如局域网（LAN）的有线通信网</w:t>
      </w:r>
      <w:r>
        <w:rPr>
          <w:spacing w:val="-5"/>
        </w:rPr>
        <w:t>络，也可以是诸如无线局域网（WLAN）和移动（蜂</w:t>
      </w:r>
      <w:r>
        <w:t xml:space="preserve"> </w:t>
      </w:r>
      <w:r>
        <w:rPr>
          <w:spacing w:val="-5"/>
        </w:rPr>
        <w:t>窝式） 网络的无线通信网络。接入网通常采用基于IP的通信协议，</w:t>
      </w:r>
      <w:r>
        <w:rPr>
          <w:spacing w:val="-21"/>
        </w:rPr>
        <w:t xml:space="preserve"> </w:t>
      </w:r>
      <w:r>
        <w:rPr>
          <w:spacing w:val="-5"/>
        </w:rPr>
        <w:t>而不考</w:t>
      </w:r>
      <w:r>
        <w:rPr>
          <w:spacing w:val="-6"/>
        </w:rPr>
        <w:t>虑通信类型。</w:t>
      </w:r>
    </w:p>
    <w:p>
      <w:pPr>
        <w:spacing w:before="218" w:line="215" w:lineRule="auto"/>
        <w:ind w:left="1"/>
        <w:rPr>
          <w:rFonts w:ascii="SimHei" w:eastAsia="SimHei" w:hAnsi="SimHei" w:cs="SimHei"/>
          <w:sz w:val="21"/>
          <w:szCs w:val="21"/>
        </w:rPr>
      </w:pPr>
      <w:r>
        <w:rPr>
          <w:rFonts w:ascii="Arial" w:eastAsia="Arial" w:hAnsi="Arial" w:cs="Arial"/>
          <w:spacing w:val="2"/>
          <w:position w:val="1"/>
          <w:sz w:val="21"/>
          <w:szCs w:val="21"/>
        </w:rPr>
        <w:t>4.5</w:t>
      </w:r>
      <w:r>
        <w:rPr>
          <w:rFonts w:ascii="Arial" w:eastAsia="Arial" w:hAnsi="Arial" w:cs="Arial"/>
          <w:spacing w:val="15"/>
          <w:w w:val="101"/>
          <w:position w:val="1"/>
          <w:sz w:val="21"/>
          <w:szCs w:val="21"/>
        </w:rPr>
        <w:t xml:space="preserve">   </w:t>
      </w:r>
      <w:r>
        <w:rPr>
          <w:rFonts w:ascii="SimHei" w:eastAsia="SimHei" w:hAnsi="SimHei" w:cs="SimHei"/>
          <w:spacing w:val="2"/>
          <w:position w:val="-1"/>
          <w:sz w:val="21"/>
          <w:szCs w:val="21"/>
        </w:rPr>
        <w:t>邻近网络</w:t>
      </w:r>
    </w:p>
    <w:p>
      <w:pPr>
        <w:pStyle w:val="BodyText"/>
        <w:spacing w:before="219" w:line="247" w:lineRule="auto"/>
        <w:ind w:left="11" w:right="74" w:firstLine="416"/>
      </w:pPr>
      <w:r>
        <w:rPr>
          <w:spacing w:val="-2"/>
        </w:rPr>
        <w:t>邻近网络连接设备通信实体与OME。通过该网络，设备通信实体向作为工业设备的O</w:t>
      </w:r>
      <w:r>
        <w:rPr>
          <w:spacing w:val="-3"/>
        </w:rPr>
        <w:t>ME传输命令，并</w:t>
      </w:r>
      <w:r>
        <w:t xml:space="preserve"> </w:t>
      </w:r>
      <w:r>
        <w:rPr>
          <w:spacing w:val="-2"/>
        </w:rPr>
        <w:t>从作为工业传感器的OME中接收结果。</w:t>
      </w:r>
    </w:p>
    <w:p>
      <w:pPr>
        <w:pStyle w:val="BodyText"/>
        <w:spacing w:before="63" w:line="247" w:lineRule="auto"/>
        <w:ind w:left="7" w:firstLine="420"/>
      </w:pPr>
      <w:r>
        <w:rPr>
          <w:spacing w:val="-5"/>
        </w:rPr>
        <w:t>邻近网络可以是工业以太网，也可以是具有专门配置的专有网络。部分网络使用</w:t>
      </w:r>
      <w:r>
        <w:rPr>
          <w:spacing w:val="-6"/>
        </w:rPr>
        <w:t>的是IP以外的协议。</w:t>
      </w:r>
      <w:r>
        <w:t xml:space="preserve"> </w:t>
      </w:r>
      <w:r>
        <w:rPr>
          <w:spacing w:val="-3"/>
        </w:rPr>
        <w:t>但是， 如果OME以物理方式连接或集成至</w:t>
      </w:r>
      <w:r>
        <w:rPr>
          <w:spacing w:val="-4"/>
        </w:rPr>
        <w:t>设备通信实体，则不需要邻近网络。</w:t>
      </w:r>
    </w:p>
    <w:p>
      <w:pPr>
        <w:spacing w:line="303" w:lineRule="auto"/>
        <w:rPr>
          <w:rFonts w:ascii="Arial"/>
          <w:sz w:val="21"/>
        </w:rPr>
      </w:pPr>
    </w:p>
    <w:p>
      <w:pPr>
        <w:spacing w:before="68" w:line="219" w:lineRule="auto"/>
        <w:ind w:left="4"/>
        <w:rPr>
          <w:rFonts w:ascii="SimHei" w:eastAsia="SimHei" w:hAnsi="SimHei" w:cs="SimHei"/>
          <w:sz w:val="21"/>
          <w:szCs w:val="21"/>
        </w:rPr>
      </w:pPr>
      <w:r>
        <w:rPr>
          <w:rFonts w:ascii="SimHei" w:eastAsia="SimHei" w:hAnsi="SimHei" w:cs="SimHei"/>
          <w:spacing w:val="-1"/>
          <w:sz w:val="21"/>
          <w:szCs w:val="21"/>
        </w:rPr>
        <w:t>5</w:t>
      </w:r>
      <w:r>
        <w:rPr>
          <w:rFonts w:ascii="SimHei" w:eastAsia="SimHei" w:hAnsi="SimHei" w:cs="SimHei"/>
          <w:spacing w:val="-1"/>
          <w:sz w:val="21"/>
          <w:szCs w:val="21"/>
        </w:rPr>
        <w:t xml:space="preserve">  </w:t>
      </w:r>
      <w:r>
        <w:rPr>
          <w:rFonts w:ascii="SimHei" w:eastAsia="SimHei" w:hAnsi="SimHei" w:cs="SimHei"/>
          <w:spacing w:val="-1"/>
          <w:sz w:val="21"/>
          <w:szCs w:val="21"/>
        </w:rPr>
        <w:t>用户网络中信息交换的要求</w:t>
      </w:r>
    </w:p>
    <w:p>
      <w:pPr>
        <w:spacing w:line="305" w:lineRule="auto"/>
        <w:rPr>
          <w:rFonts w:ascii="Arial"/>
          <w:sz w:val="21"/>
        </w:rPr>
      </w:pPr>
    </w:p>
    <w:p>
      <w:pPr>
        <w:spacing w:before="68" w:line="219" w:lineRule="auto"/>
        <w:ind w:left="1"/>
        <w:rPr>
          <w:rFonts w:ascii="SimHei" w:eastAsia="SimHei" w:hAnsi="SimHei" w:cs="SimHei"/>
          <w:sz w:val="21"/>
          <w:szCs w:val="21"/>
        </w:rPr>
      </w:pPr>
      <w:r>
        <w:rPr>
          <w:rFonts w:ascii="Arial" w:eastAsia="Arial" w:hAnsi="Arial" w:cs="Arial"/>
          <w:spacing w:val="-4"/>
          <w:sz w:val="21"/>
          <w:szCs w:val="21"/>
        </w:rPr>
        <w:t>5.1</w:t>
      </w:r>
      <w:r>
        <w:rPr>
          <w:rFonts w:ascii="Arial" w:eastAsia="Arial" w:hAnsi="Arial" w:cs="Arial"/>
          <w:spacing w:val="5"/>
          <w:sz w:val="21"/>
          <w:szCs w:val="21"/>
        </w:rPr>
        <w:t xml:space="preserve">    </w:t>
      </w:r>
      <w:r>
        <w:rPr>
          <w:rFonts w:ascii="SimHei" w:eastAsia="SimHei" w:hAnsi="SimHei" w:cs="SimHei"/>
          <w:spacing w:val="-4"/>
          <w:sz w:val="21"/>
          <w:szCs w:val="21"/>
        </w:rPr>
        <w:t>概述</w:t>
      </w:r>
    </w:p>
    <w:p>
      <w:pPr>
        <w:pStyle w:val="BodyText"/>
        <w:spacing w:before="219" w:line="247" w:lineRule="auto"/>
        <w:ind w:left="8" w:right="74" w:firstLine="422"/>
      </w:pPr>
      <w:r>
        <w:rPr>
          <w:spacing w:val="-2"/>
        </w:rPr>
        <w:t>用户网络应能实现用户实体与数字孪生实体之间的信息交换</w:t>
      </w:r>
      <w:r>
        <w:rPr>
          <w:spacing w:val="-3"/>
        </w:rPr>
        <w:t>。应交换信息，以实现可视化、过程监</w:t>
      </w:r>
      <w:r>
        <w:t xml:space="preserve"> </w:t>
      </w:r>
      <w:r>
        <w:t>控、统计分析以及模拟等服务和应用程序。该类信息定义见ISO 2324</w:t>
      </w:r>
      <w:r>
        <w:rPr>
          <w:spacing w:val="-1"/>
        </w:rPr>
        <w:t>7-3。</w:t>
      </w:r>
    </w:p>
    <w:p>
      <w:pPr>
        <w:spacing w:before="218" w:line="223" w:lineRule="auto"/>
        <w:ind w:left="1"/>
        <w:rPr>
          <w:rFonts w:ascii="SimHei" w:eastAsia="SimHei" w:hAnsi="SimHei" w:cs="SimHei"/>
          <w:sz w:val="21"/>
          <w:szCs w:val="21"/>
        </w:rPr>
      </w:pPr>
      <w:r>
        <w:rPr>
          <w:rFonts w:ascii="Arial" w:eastAsia="Arial" w:hAnsi="Arial" w:cs="Arial"/>
          <w:spacing w:val="2"/>
          <w:sz w:val="21"/>
          <w:szCs w:val="21"/>
        </w:rPr>
        <w:t>5.2</w:t>
      </w:r>
      <w:r>
        <w:rPr>
          <w:rFonts w:ascii="Arial" w:eastAsia="Arial" w:hAnsi="Arial" w:cs="Arial"/>
          <w:spacing w:val="17"/>
          <w:sz w:val="21"/>
          <w:szCs w:val="21"/>
        </w:rPr>
        <w:t xml:space="preserve">   </w:t>
      </w:r>
      <w:r>
        <w:rPr>
          <w:rFonts w:ascii="SimHei" w:eastAsia="SimHei" w:hAnsi="SimHei" w:cs="SimHei"/>
          <w:spacing w:val="2"/>
          <w:sz w:val="21"/>
          <w:szCs w:val="21"/>
        </w:rPr>
        <w:t>配置</w:t>
      </w:r>
    </w:p>
    <w:p>
      <w:pPr>
        <w:pStyle w:val="BodyText"/>
        <w:spacing w:before="214" w:line="221" w:lineRule="auto"/>
        <w:ind w:left="430"/>
      </w:pPr>
      <w:r>
        <w:rPr>
          <w:spacing w:val="-1"/>
        </w:rPr>
        <w:t>用户网络应能够交付信息以将数字孪生配置为初始状态。</w:t>
      </w:r>
    </w:p>
    <w:p>
      <w:pPr>
        <w:pStyle w:val="BodyText"/>
        <w:spacing w:before="77" w:line="269" w:lineRule="auto"/>
        <w:ind w:left="7" w:right="76" w:firstLine="369"/>
        <w:rPr>
          <w:sz w:val="18"/>
          <w:szCs w:val="18"/>
        </w:rPr>
      </w:pPr>
      <w:r>
        <w:rPr>
          <w:rFonts w:ascii="SimHei" w:eastAsia="SimHei" w:hAnsi="SimHei" w:cs="SimHei"/>
          <w:sz w:val="18"/>
          <w:szCs w:val="18"/>
        </w:rPr>
        <w:t>示例1：</w:t>
      </w:r>
      <w:r>
        <w:rPr>
          <w:sz w:val="18"/>
          <w:szCs w:val="18"/>
        </w:rPr>
        <w:t>产品的数字孪生在其生命周期开始时根据产品生命周期管理(P</w:t>
      </w:r>
      <w:r>
        <w:rPr>
          <w:spacing w:val="-1"/>
          <w:sz w:val="18"/>
          <w:szCs w:val="18"/>
        </w:rPr>
        <w:t>LM)中包含的信息进行配置。这些信息可以是</w:t>
      </w:r>
      <w:r>
        <w:rPr>
          <w:sz w:val="18"/>
          <w:szCs w:val="18"/>
        </w:rPr>
        <w:t xml:space="preserve"> </w:t>
      </w:r>
      <w:r>
        <w:rPr>
          <w:spacing w:val="-7"/>
          <w:sz w:val="18"/>
          <w:szCs w:val="18"/>
        </w:rPr>
        <w:t>产品需求、</w:t>
      </w:r>
      <w:r>
        <w:rPr>
          <w:spacing w:val="39"/>
          <w:sz w:val="18"/>
          <w:szCs w:val="18"/>
        </w:rPr>
        <w:t xml:space="preserve"> </w:t>
      </w:r>
      <w:r>
        <w:rPr>
          <w:spacing w:val="-7"/>
          <w:sz w:val="18"/>
          <w:szCs w:val="18"/>
        </w:rPr>
        <w:t>3D</w:t>
      </w:r>
      <w:r>
        <w:rPr>
          <w:spacing w:val="-37"/>
          <w:sz w:val="18"/>
          <w:szCs w:val="18"/>
        </w:rPr>
        <w:t xml:space="preserve"> </w:t>
      </w:r>
      <w:r>
        <w:rPr>
          <w:spacing w:val="-7"/>
          <w:sz w:val="18"/>
          <w:szCs w:val="18"/>
        </w:rPr>
        <w:t>模型、配置、模拟模型及其可追溯性。</w:t>
      </w:r>
    </w:p>
    <w:p>
      <w:pPr>
        <w:pStyle w:val="BodyText"/>
        <w:spacing w:before="98" w:line="270" w:lineRule="auto"/>
        <w:ind w:left="11" w:right="76" w:firstLine="365"/>
        <w:rPr>
          <w:sz w:val="18"/>
          <w:szCs w:val="18"/>
        </w:rPr>
      </w:pPr>
      <w:r>
        <w:rPr>
          <w:rFonts w:ascii="SimHei" w:eastAsia="SimHei" w:hAnsi="SimHei" w:cs="SimHei"/>
          <w:sz w:val="18"/>
          <w:szCs w:val="18"/>
        </w:rPr>
        <w:t>示例2：</w:t>
      </w:r>
      <w:r>
        <w:rPr>
          <w:sz w:val="18"/>
          <w:szCs w:val="18"/>
        </w:rPr>
        <w:t>工作单元的数字孪生是在其生命周期开始时从 PLM 或其他</w:t>
      </w:r>
      <w:r>
        <w:rPr>
          <w:spacing w:val="-1"/>
          <w:sz w:val="18"/>
          <w:szCs w:val="18"/>
        </w:rPr>
        <w:t>数据源的信息中进行配置。这些信息可以是运动</w:t>
      </w:r>
      <w:r>
        <w:rPr>
          <w:sz w:val="18"/>
          <w:szCs w:val="18"/>
        </w:rPr>
        <w:t xml:space="preserve"> </w:t>
      </w:r>
      <w:r>
        <w:rPr>
          <w:spacing w:val="-3"/>
          <w:sz w:val="18"/>
          <w:szCs w:val="18"/>
        </w:rPr>
        <w:t>学、容量、能力、认证以及校准。</w:t>
      </w:r>
    </w:p>
    <w:p>
      <w:pPr>
        <w:pStyle w:val="BodyText"/>
        <w:spacing w:before="97" w:line="270" w:lineRule="auto"/>
        <w:ind w:left="7" w:right="76" w:firstLine="370"/>
        <w:rPr>
          <w:sz w:val="18"/>
          <w:szCs w:val="18"/>
        </w:rPr>
      </w:pPr>
      <w:r>
        <w:rPr>
          <w:rFonts w:ascii="SimHei" w:eastAsia="SimHei" w:hAnsi="SimHei" w:cs="SimHei"/>
          <w:sz w:val="18"/>
          <w:szCs w:val="18"/>
        </w:rPr>
        <w:t>示例3：</w:t>
      </w:r>
      <w:r>
        <w:rPr>
          <w:sz w:val="18"/>
          <w:szCs w:val="18"/>
        </w:rPr>
        <w:t>工艺中的数字孪生是在其生命周期开始时从 PLM 或其他数</w:t>
      </w:r>
      <w:r>
        <w:rPr>
          <w:spacing w:val="-1"/>
          <w:sz w:val="18"/>
          <w:szCs w:val="18"/>
        </w:rPr>
        <w:t>据源的信息中进行配置。这些信息可以是高级和</w:t>
      </w:r>
      <w:r>
        <w:rPr>
          <w:sz w:val="18"/>
          <w:szCs w:val="18"/>
        </w:rPr>
        <w:t xml:space="preserve"> </w:t>
      </w:r>
      <w:r>
        <w:rPr>
          <w:spacing w:val="-2"/>
          <w:sz w:val="18"/>
          <w:szCs w:val="18"/>
        </w:rPr>
        <w:t>低级的工艺计划、生产进度以及制造要求。</w:t>
      </w:r>
    </w:p>
    <w:p>
      <w:pPr>
        <w:spacing w:before="240" w:line="219" w:lineRule="auto"/>
        <w:ind w:left="1"/>
        <w:rPr>
          <w:rFonts w:ascii="SimHei" w:eastAsia="SimHei" w:hAnsi="SimHei" w:cs="SimHei"/>
          <w:sz w:val="21"/>
          <w:szCs w:val="21"/>
        </w:rPr>
        <w:sectPr>
          <w:headerReference w:type="default" r:id="rId15"/>
          <w:footerReference w:type="default" r:id="rId16"/>
          <w:pgSz w:w="11907" w:h="16839"/>
          <w:pgMar w:top="1659" w:right="1053" w:bottom="1310" w:left="1418" w:header="1448" w:footer="1133" w:gutter="0"/>
          <w:pgNumType w:start="5"/>
          <w:cols w:space="708"/>
        </w:sectPr>
      </w:pPr>
      <w:r>
        <w:rPr>
          <w:rFonts w:ascii="Arial" w:eastAsia="Arial" w:hAnsi="Arial" w:cs="Arial"/>
          <w:spacing w:val="1"/>
          <w:position w:val="1"/>
          <w:sz w:val="21"/>
          <w:szCs w:val="21"/>
        </w:rPr>
        <w:t>5.3</w:t>
      </w:r>
      <w:r>
        <w:rPr>
          <w:rFonts w:ascii="Arial" w:eastAsia="Arial" w:hAnsi="Arial" w:cs="Arial"/>
          <w:spacing w:val="17"/>
          <w:position w:val="1"/>
          <w:sz w:val="21"/>
          <w:szCs w:val="21"/>
        </w:rPr>
        <w:t xml:space="preserve">   </w:t>
      </w:r>
      <w:r>
        <w:rPr>
          <w:rFonts w:ascii="SimHei" w:eastAsia="SimHei" w:hAnsi="SimHei" w:cs="SimHei"/>
          <w:spacing w:val="1"/>
          <w:sz w:val="21"/>
          <w:szCs w:val="21"/>
        </w:rPr>
        <w:t>按需状态获取</w:t>
      </w:r>
    </w:p>
    <w:p>
      <w:pPr>
        <w:pStyle w:val="BodyText"/>
        <w:spacing w:before="219" w:line="312" w:lineRule="exact"/>
        <w:ind w:left="430"/>
      </w:pPr>
      <w:r>
        <w:rPr>
          <w:spacing w:val="-1"/>
          <w:position w:val="7"/>
        </w:rPr>
        <w:t>用户网络应能够传递以数字孪生所代表的OME当前状态的信息。</w:t>
      </w:r>
    </w:p>
    <w:p>
      <w:pPr>
        <w:pStyle w:val="BodyText"/>
        <w:spacing w:before="1" w:line="219" w:lineRule="auto"/>
        <w:ind w:left="430"/>
      </w:pPr>
      <w:r>
        <w:rPr>
          <w:spacing w:val="-1"/>
        </w:rPr>
        <w:t>用户网络应能够传递以数字孪生所代表的OME历史状态的信息。</w:t>
      </w:r>
    </w:p>
    <w:p>
      <w:pPr>
        <w:pStyle w:val="BodyText"/>
        <w:spacing w:before="77" w:line="219" w:lineRule="auto"/>
        <w:ind w:left="377"/>
        <w:rPr>
          <w:sz w:val="18"/>
          <w:szCs w:val="18"/>
        </w:rPr>
      </w:pPr>
      <w:r>
        <w:rPr>
          <w:rFonts w:ascii="SimHei" w:eastAsia="SimHei" w:hAnsi="SimHei" w:cs="SimHei"/>
          <w:spacing w:val="-1"/>
          <w:sz w:val="18"/>
          <w:szCs w:val="18"/>
        </w:rPr>
        <w:t>示例1：</w:t>
      </w:r>
      <w:r>
        <w:rPr>
          <w:spacing w:val="-1"/>
          <w:sz w:val="18"/>
          <w:szCs w:val="18"/>
        </w:rPr>
        <w:t>用户实体查询数字孪生实体，通过建立零件当前几何图形的可视化来显示机器的当前状态。</w:t>
      </w:r>
    </w:p>
    <w:p>
      <w:pPr>
        <w:pStyle w:val="BodyText"/>
        <w:spacing w:before="98" w:line="219" w:lineRule="auto"/>
        <w:ind w:left="377"/>
        <w:rPr>
          <w:sz w:val="18"/>
          <w:szCs w:val="18"/>
        </w:rPr>
      </w:pPr>
      <w:r>
        <w:rPr>
          <w:rFonts w:ascii="SimHei" w:eastAsia="SimHei" w:hAnsi="SimHei" w:cs="SimHei"/>
          <w:spacing w:val="-1"/>
          <w:sz w:val="18"/>
          <w:szCs w:val="18"/>
        </w:rPr>
        <w:t>示例2：</w:t>
      </w:r>
      <w:r>
        <w:rPr>
          <w:spacing w:val="-1"/>
          <w:sz w:val="18"/>
          <w:szCs w:val="18"/>
        </w:rPr>
        <w:t>用户实体查询数字孪生实体，通过分析其先前的机械加工活动，动态预测其刀具的剩余寿命。</w:t>
      </w:r>
    </w:p>
    <w:p>
      <w:pPr>
        <w:spacing w:before="239" w:line="215" w:lineRule="auto"/>
        <w:ind w:left="1"/>
        <w:rPr>
          <w:rFonts w:ascii="SimHei" w:eastAsia="SimHei" w:hAnsi="SimHei" w:cs="SimHei"/>
          <w:sz w:val="21"/>
          <w:szCs w:val="21"/>
        </w:rPr>
      </w:pPr>
      <w:r>
        <w:rPr>
          <w:rFonts w:ascii="Arial" w:eastAsia="Arial" w:hAnsi="Arial" w:cs="Arial"/>
          <w:spacing w:val="1"/>
          <w:position w:val="2"/>
          <w:sz w:val="21"/>
          <w:szCs w:val="21"/>
        </w:rPr>
        <w:t>5.4</w:t>
      </w:r>
      <w:r>
        <w:rPr>
          <w:rFonts w:ascii="Arial" w:eastAsia="Arial" w:hAnsi="Arial" w:cs="Arial"/>
          <w:spacing w:val="15"/>
          <w:w w:val="101"/>
          <w:position w:val="2"/>
          <w:sz w:val="21"/>
          <w:szCs w:val="21"/>
        </w:rPr>
        <w:t xml:space="preserve">   </w:t>
      </w:r>
      <w:r>
        <w:rPr>
          <w:rFonts w:ascii="SimHei" w:eastAsia="SimHei" w:hAnsi="SimHei" w:cs="SimHei"/>
          <w:spacing w:val="1"/>
          <w:sz w:val="21"/>
          <w:szCs w:val="21"/>
        </w:rPr>
        <w:t>信息交换的标准化方法</w:t>
      </w:r>
    </w:p>
    <w:p>
      <w:pPr>
        <w:spacing w:line="215" w:lineRule="auto"/>
        <w:rPr>
          <w:rFonts w:ascii="SimHei" w:eastAsia="SimHei" w:hAnsi="SimHei" w:cs="SimHei"/>
          <w:sz w:val="21"/>
          <w:szCs w:val="21"/>
        </w:rPr>
        <w:sectPr>
          <w:headerReference w:type="default" r:id="rId17"/>
          <w:footerReference w:type="default" r:id="rId18"/>
          <w:type w:val="nextPage"/>
          <w:pgSz w:w="11907" w:h="16839"/>
          <w:pgMar w:top="1659" w:right="1053" w:bottom="1310" w:left="1418" w:header="1448" w:footer="1133" w:gutter="0"/>
          <w:pgNumType w:start="6"/>
          <w:cols w:space="708"/>
          <w:titlePg w:val="0"/>
        </w:sectPr>
      </w:pPr>
    </w:p>
    <w:p>
      <w:pPr>
        <w:spacing w:line="249" w:lineRule="auto"/>
        <w:rPr>
          <w:rFonts w:ascii="Arial"/>
          <w:sz w:val="21"/>
        </w:rPr>
      </w:pPr>
    </w:p>
    <w:p>
      <w:pPr>
        <w:pStyle w:val="BodyText"/>
        <w:spacing w:before="68" w:line="221" w:lineRule="auto"/>
        <w:ind w:left="432"/>
      </w:pPr>
      <w:r>
        <w:rPr>
          <w:spacing w:val="-2"/>
        </w:rPr>
        <w:t>用户网络应使用标准化的方法交换信息。</w:t>
      </w:r>
    </w:p>
    <w:p>
      <w:pPr>
        <w:pStyle w:val="BodyText"/>
        <w:spacing w:before="75" w:line="454" w:lineRule="exact"/>
        <w:ind w:left="374"/>
        <w:rPr>
          <w:sz w:val="18"/>
          <w:szCs w:val="18"/>
        </w:rPr>
      </w:pPr>
      <w:r>
        <w:rPr>
          <w:rFonts w:ascii="SimHei" w:eastAsia="SimHei" w:hAnsi="SimHei" w:cs="SimHei"/>
          <w:spacing w:val="-3"/>
          <w:position w:val="21"/>
          <w:sz w:val="18"/>
          <w:szCs w:val="18"/>
        </w:rPr>
        <w:t>注：</w:t>
      </w:r>
      <w:r>
        <w:rPr>
          <w:rFonts w:ascii="SimHei" w:eastAsia="SimHei" w:hAnsi="SimHei" w:cs="SimHei"/>
          <w:spacing w:val="-5"/>
          <w:position w:val="21"/>
          <w:sz w:val="18"/>
          <w:szCs w:val="18"/>
        </w:rPr>
        <w:t xml:space="preserve"> </w:t>
      </w:r>
      <w:r>
        <w:rPr>
          <w:spacing w:val="-3"/>
          <w:position w:val="21"/>
          <w:sz w:val="18"/>
          <w:szCs w:val="18"/>
        </w:rPr>
        <w:t>如A.2.1所述，标准化协议的示例包括REST和HTTP。</w:t>
      </w:r>
    </w:p>
    <w:p>
      <w:pPr>
        <w:spacing w:line="219" w:lineRule="auto"/>
        <w:ind w:left="2"/>
        <w:rPr>
          <w:rFonts w:ascii="SimHei" w:eastAsia="SimHei" w:hAnsi="SimHei" w:cs="SimHei"/>
          <w:sz w:val="21"/>
          <w:szCs w:val="21"/>
        </w:rPr>
      </w:pPr>
      <w:r>
        <w:rPr>
          <w:rFonts w:ascii="Arial" w:eastAsia="Arial" w:hAnsi="Arial" w:cs="Arial"/>
          <w:position w:val="1"/>
          <w:sz w:val="21"/>
          <w:szCs w:val="21"/>
        </w:rPr>
        <w:t>5.5</w:t>
      </w:r>
      <w:r>
        <w:rPr>
          <w:rFonts w:ascii="Arial" w:eastAsia="Arial" w:hAnsi="Arial" w:cs="Arial"/>
          <w:spacing w:val="20"/>
          <w:position w:val="1"/>
          <w:sz w:val="21"/>
          <w:szCs w:val="21"/>
        </w:rPr>
        <w:t xml:space="preserve">   </w:t>
      </w:r>
      <w:r>
        <w:rPr>
          <w:rFonts w:ascii="SimHei" w:eastAsia="SimHei" w:hAnsi="SimHei" w:cs="SimHei"/>
          <w:sz w:val="21"/>
          <w:szCs w:val="21"/>
        </w:rPr>
        <w:t>交换数字模型的验证</w:t>
      </w:r>
    </w:p>
    <w:p>
      <w:pPr>
        <w:pStyle w:val="BodyText"/>
        <w:spacing w:before="217" w:line="256" w:lineRule="auto"/>
        <w:ind w:left="374" w:right="1402" w:firstLine="56"/>
        <w:rPr>
          <w:sz w:val="18"/>
          <w:szCs w:val="18"/>
        </w:rPr>
      </w:pPr>
      <w:r>
        <w:rPr>
          <w:spacing w:val="-1"/>
        </w:rPr>
        <w:t>信息交换的标准化方法应包括验证交换模型的语法、语义以及验证其内容的方法。</w:t>
      </w:r>
      <w:r>
        <w:rPr>
          <w:spacing w:val="3"/>
        </w:rPr>
        <w:t xml:space="preserve"> </w:t>
      </w:r>
      <w:r>
        <w:rPr>
          <w:rFonts w:ascii="SimHei" w:eastAsia="SimHei" w:hAnsi="SimHei" w:cs="SimHei"/>
          <w:spacing w:val="-2"/>
          <w:sz w:val="18"/>
          <w:szCs w:val="18"/>
        </w:rPr>
        <w:t>注：</w:t>
      </w:r>
      <w:r>
        <w:rPr>
          <w:rFonts w:ascii="SimHei" w:eastAsia="SimHei" w:hAnsi="SimHei" w:cs="SimHei"/>
          <w:spacing w:val="-16"/>
          <w:sz w:val="18"/>
          <w:szCs w:val="18"/>
        </w:rPr>
        <w:t xml:space="preserve"> </w:t>
      </w:r>
      <w:r>
        <w:rPr>
          <w:spacing w:val="-2"/>
          <w:sz w:val="18"/>
          <w:szCs w:val="18"/>
        </w:rPr>
        <w:t>如A.2.1所述，采用语法和语义检查方法的信息模型示例包括STEP和QIF。</w:t>
      </w:r>
    </w:p>
    <w:p>
      <w:pPr>
        <w:spacing w:before="240" w:line="221" w:lineRule="auto"/>
        <w:rPr>
          <w:rFonts w:ascii="SimHei" w:eastAsia="SimHei" w:hAnsi="SimHei" w:cs="SimHei"/>
          <w:sz w:val="21"/>
          <w:szCs w:val="21"/>
        </w:rPr>
      </w:pPr>
      <w:r>
        <w:rPr>
          <w:rFonts w:ascii="Arial" w:eastAsia="Arial" w:hAnsi="Arial" w:cs="Arial"/>
          <w:spacing w:val="3"/>
          <w:sz w:val="21"/>
          <w:szCs w:val="21"/>
        </w:rPr>
        <w:t>5.6</w:t>
      </w:r>
      <w:r>
        <w:rPr>
          <w:rFonts w:ascii="Arial" w:eastAsia="Arial" w:hAnsi="Arial" w:cs="Arial"/>
          <w:spacing w:val="18"/>
          <w:sz w:val="21"/>
          <w:szCs w:val="21"/>
        </w:rPr>
        <w:t xml:space="preserve">   </w:t>
      </w:r>
      <w:r>
        <w:rPr>
          <w:rFonts w:ascii="SimHei" w:eastAsia="SimHei" w:hAnsi="SimHei" w:cs="SimHei"/>
          <w:spacing w:val="3"/>
          <w:sz w:val="21"/>
          <w:szCs w:val="21"/>
        </w:rPr>
        <w:t>安全</w:t>
      </w:r>
    </w:p>
    <w:p>
      <w:pPr>
        <w:pStyle w:val="BodyText"/>
        <w:spacing w:before="216" w:line="327" w:lineRule="exact"/>
        <w:ind w:left="432"/>
      </w:pPr>
      <w:r>
        <w:rPr>
          <w:spacing w:val="-2"/>
          <w:position w:val="8"/>
        </w:rPr>
        <w:t>用户网络应维护数字孪生的安全与隐私。</w:t>
      </w:r>
    </w:p>
    <w:p>
      <w:pPr>
        <w:pStyle w:val="BodyText"/>
        <w:spacing w:line="218" w:lineRule="auto"/>
        <w:ind w:left="374"/>
        <w:rPr>
          <w:sz w:val="18"/>
          <w:szCs w:val="18"/>
        </w:rPr>
      </w:pPr>
      <w:r>
        <w:rPr>
          <w:rFonts w:ascii="SimHei" w:eastAsia="SimHei" w:hAnsi="SimHei" w:cs="SimHei"/>
          <w:spacing w:val="-5"/>
          <w:sz w:val="18"/>
          <w:szCs w:val="18"/>
        </w:rPr>
        <w:t>注：</w:t>
      </w:r>
      <w:r>
        <w:rPr>
          <w:rFonts w:ascii="SimHei" w:eastAsia="SimHei" w:hAnsi="SimHei" w:cs="SimHei"/>
          <w:spacing w:val="-5"/>
          <w:sz w:val="18"/>
          <w:szCs w:val="18"/>
        </w:rPr>
        <w:t xml:space="preserve"> </w:t>
      </w:r>
      <w:r>
        <w:rPr>
          <w:spacing w:val="-5"/>
          <w:sz w:val="18"/>
          <w:szCs w:val="18"/>
        </w:rPr>
        <w:t>IEC 62443等标准定义了安全通信协议。</w:t>
      </w:r>
    </w:p>
    <w:p>
      <w:pPr>
        <w:spacing w:before="240" w:line="221" w:lineRule="auto"/>
        <w:ind w:left="2"/>
        <w:rPr>
          <w:rFonts w:ascii="SimHei" w:eastAsia="SimHei" w:hAnsi="SimHei" w:cs="SimHei"/>
          <w:sz w:val="21"/>
          <w:szCs w:val="21"/>
        </w:rPr>
      </w:pPr>
      <w:r>
        <w:rPr>
          <w:rFonts w:ascii="Arial" w:eastAsia="Arial" w:hAnsi="Arial" w:cs="Arial"/>
          <w:spacing w:val="2"/>
          <w:sz w:val="21"/>
          <w:szCs w:val="21"/>
        </w:rPr>
        <w:t>5.7</w:t>
      </w:r>
      <w:r>
        <w:rPr>
          <w:rFonts w:ascii="Arial" w:eastAsia="Arial" w:hAnsi="Arial" w:cs="Arial"/>
          <w:spacing w:val="19"/>
          <w:sz w:val="21"/>
          <w:szCs w:val="21"/>
        </w:rPr>
        <w:t xml:space="preserve">   </w:t>
      </w:r>
      <w:r>
        <w:rPr>
          <w:rFonts w:ascii="SimHei" w:eastAsia="SimHei" w:hAnsi="SimHei" w:cs="SimHei"/>
          <w:spacing w:val="2"/>
          <w:sz w:val="21"/>
          <w:szCs w:val="21"/>
        </w:rPr>
        <w:t>同步</w:t>
      </w:r>
    </w:p>
    <w:p>
      <w:pPr>
        <w:pStyle w:val="BodyText"/>
        <w:spacing w:before="218" w:line="468" w:lineRule="exact"/>
        <w:ind w:left="432"/>
      </w:pPr>
      <w:r>
        <w:rPr>
          <w:position w:val="19"/>
        </w:rPr>
        <w:t>用户网络应使应用程序能够在适当同步的数</w:t>
      </w:r>
      <w:r>
        <w:rPr>
          <w:spacing w:val="-1"/>
          <w:position w:val="19"/>
        </w:rPr>
        <w:t>字模型上运行。同步速率取决于应用程序。</w:t>
      </w:r>
    </w:p>
    <w:p>
      <w:pPr>
        <w:spacing w:before="1" w:line="219" w:lineRule="auto"/>
        <w:rPr>
          <w:rFonts w:ascii="SimHei" w:eastAsia="SimHei" w:hAnsi="SimHei" w:cs="SimHei"/>
          <w:sz w:val="21"/>
          <w:szCs w:val="21"/>
        </w:rPr>
      </w:pPr>
      <w:r>
        <w:rPr>
          <w:rFonts w:ascii="Arial" w:eastAsia="Arial" w:hAnsi="Arial" w:cs="Arial"/>
          <w:spacing w:val="1"/>
          <w:position w:val="1"/>
          <w:sz w:val="21"/>
          <w:szCs w:val="21"/>
        </w:rPr>
        <w:t>5.8</w:t>
      </w:r>
      <w:r>
        <w:rPr>
          <w:rFonts w:ascii="Arial" w:eastAsia="Arial" w:hAnsi="Arial" w:cs="Arial"/>
          <w:spacing w:val="17"/>
          <w:w w:val="101"/>
          <w:position w:val="1"/>
          <w:sz w:val="21"/>
          <w:szCs w:val="21"/>
        </w:rPr>
        <w:t xml:space="preserve">   </w:t>
      </w:r>
      <w:r>
        <w:rPr>
          <w:rFonts w:ascii="SimHei" w:eastAsia="SimHei" w:hAnsi="SimHei" w:cs="SimHei"/>
          <w:spacing w:val="1"/>
          <w:sz w:val="21"/>
          <w:szCs w:val="21"/>
        </w:rPr>
        <w:t>数字模型的交换</w:t>
      </w:r>
    </w:p>
    <w:p>
      <w:pPr>
        <w:pStyle w:val="BodyText"/>
        <w:spacing w:before="218" w:line="247" w:lineRule="auto"/>
        <w:ind w:left="10" w:firstLine="422"/>
      </w:pPr>
      <w:r>
        <w:rPr>
          <w:spacing w:val="-2"/>
        </w:rPr>
        <w:t>用户网络应能够交换有关OME数字表示的信息。通信应允许应用程序在OME</w:t>
      </w:r>
      <w:r>
        <w:rPr>
          <w:spacing w:val="-3"/>
        </w:rPr>
        <w:t>的通用模型上运行。根据</w:t>
      </w:r>
      <w:r>
        <w:t xml:space="preserve"> </w:t>
      </w:r>
      <w:r>
        <w:rPr>
          <w:spacing w:val="-3"/>
        </w:rPr>
        <w:t>应用程序，</w:t>
      </w:r>
      <w:r>
        <w:rPr>
          <w:spacing w:val="-20"/>
        </w:rPr>
        <w:t xml:space="preserve"> </w:t>
      </w:r>
      <w:r>
        <w:rPr>
          <w:spacing w:val="-3"/>
        </w:rPr>
        <w:t>可能需要对图3所示的OME类型进行建模，以便进行信</w:t>
      </w:r>
      <w:r>
        <w:rPr>
          <w:spacing w:val="-4"/>
        </w:rPr>
        <w:t>息交换。</w:t>
      </w:r>
    </w:p>
    <w:p>
      <w:pPr>
        <w:spacing w:before="70" w:line="1751" w:lineRule="exact"/>
        <w:ind w:firstLine="423"/>
      </w:pPr>
      <w:r>
        <w:rPr>
          <w:position w:val="-35"/>
        </w:rPr>
        <w:drawing>
          <wp:inline distT="0" distB="0" distL="0" distR="0">
            <wp:extent cx="5486400" cy="1111884"/>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9"/>
                    <a:stretch>
                      <a:fillRect/>
                    </a:stretch>
                  </pic:blipFill>
                  <pic:spPr>
                    <a:xfrm>
                      <a:off x="0" y="0"/>
                      <a:ext cx="5486400" cy="1111884"/>
                    </a:xfrm>
                    <a:prstGeom prst="rect">
                      <a:avLst/>
                    </a:prstGeom>
                  </pic:spPr>
                </pic:pic>
              </a:graphicData>
            </a:graphic>
          </wp:inline>
        </w:drawing>
      </w:r>
    </w:p>
    <w:p>
      <w:pPr>
        <w:spacing w:before="269" w:line="219" w:lineRule="auto"/>
        <w:ind w:left="3386"/>
        <w:rPr>
          <w:rFonts w:ascii="SimHei" w:eastAsia="SimHei" w:hAnsi="SimHei" w:cs="SimHei"/>
          <w:sz w:val="21"/>
          <w:szCs w:val="21"/>
        </w:rPr>
      </w:pPr>
      <w:r>
        <w:rPr>
          <w:rFonts w:ascii="SimHei" w:eastAsia="SimHei" w:hAnsi="SimHei" w:cs="SimHei"/>
          <w:spacing w:val="-2"/>
          <w:sz w:val="21"/>
          <w:szCs w:val="21"/>
        </w:rPr>
        <w:t>图3</w:t>
      </w:r>
      <w:r>
        <w:rPr>
          <w:rFonts w:ascii="SimHei" w:eastAsia="SimHei" w:hAnsi="SimHei" w:cs="SimHei"/>
          <w:spacing w:val="-2"/>
          <w:sz w:val="21"/>
          <w:szCs w:val="21"/>
        </w:rPr>
        <w:t xml:space="preserve">  </w:t>
      </w:r>
      <w:r>
        <w:rPr>
          <w:rFonts w:ascii="SimHei" w:eastAsia="SimHei" w:hAnsi="SimHei" w:cs="SimHei"/>
          <w:spacing w:val="-2"/>
          <w:sz w:val="21"/>
          <w:szCs w:val="21"/>
        </w:rPr>
        <w:t>交换用数字模型的类型</w:t>
      </w:r>
    </w:p>
    <w:p>
      <w:pPr>
        <w:pStyle w:val="BodyText"/>
        <w:spacing w:before="234" w:line="609" w:lineRule="exact"/>
        <w:ind w:left="374"/>
        <w:rPr>
          <w:sz w:val="18"/>
          <w:szCs w:val="18"/>
        </w:rPr>
      </w:pPr>
      <w:r>
        <w:rPr>
          <w:rFonts w:ascii="SimHei" w:eastAsia="SimHei" w:hAnsi="SimHei" w:cs="SimHei"/>
          <w:spacing w:val="-2"/>
          <w:position w:val="33"/>
          <w:sz w:val="18"/>
          <w:szCs w:val="18"/>
        </w:rPr>
        <w:t>注：</w:t>
      </w:r>
      <w:r>
        <w:rPr>
          <w:rFonts w:ascii="SimHei" w:eastAsia="SimHei" w:hAnsi="SimHei" w:cs="SimHei"/>
          <w:spacing w:val="-2"/>
          <w:position w:val="33"/>
          <w:sz w:val="18"/>
          <w:szCs w:val="18"/>
        </w:rPr>
        <w:t xml:space="preserve"> </w:t>
      </w:r>
      <w:r>
        <w:rPr>
          <w:spacing w:val="-2"/>
          <w:position w:val="33"/>
          <w:sz w:val="18"/>
          <w:szCs w:val="18"/>
        </w:rPr>
        <w:t>有几个标准定义了一种或多种OME类型的信息，但在发布时还没有一个标准适用于OME的所有类</w:t>
      </w:r>
      <w:r>
        <w:rPr>
          <w:spacing w:val="-3"/>
          <w:position w:val="33"/>
          <w:sz w:val="18"/>
          <w:szCs w:val="18"/>
        </w:rPr>
        <w:t>型。</w:t>
      </w:r>
    </w:p>
    <w:p>
      <w:pPr>
        <w:spacing w:line="219" w:lineRule="auto"/>
        <w:ind w:left="9"/>
        <w:rPr>
          <w:rFonts w:ascii="SimHei" w:eastAsia="SimHei" w:hAnsi="SimHei" w:cs="SimHei"/>
          <w:sz w:val="21"/>
          <w:szCs w:val="21"/>
        </w:rPr>
      </w:pPr>
      <w:r>
        <w:rPr>
          <w:rFonts w:ascii="SimHei" w:eastAsia="SimHei" w:hAnsi="SimHei" w:cs="SimHei"/>
          <w:spacing w:val="-1"/>
          <w:sz w:val="21"/>
          <w:szCs w:val="21"/>
        </w:rPr>
        <w:t>6</w:t>
      </w:r>
      <w:r>
        <w:rPr>
          <w:rFonts w:ascii="SimHei" w:eastAsia="SimHei" w:hAnsi="SimHei" w:cs="SimHei"/>
          <w:spacing w:val="-1"/>
          <w:sz w:val="21"/>
          <w:szCs w:val="21"/>
        </w:rPr>
        <w:t xml:space="preserve">  </w:t>
      </w:r>
      <w:r>
        <w:rPr>
          <w:rFonts w:ascii="SimHei" w:eastAsia="SimHei" w:hAnsi="SimHei" w:cs="SimHei"/>
          <w:spacing w:val="-1"/>
          <w:sz w:val="21"/>
          <w:szCs w:val="21"/>
        </w:rPr>
        <w:t>服务网络中信息交换的要求</w:t>
      </w:r>
    </w:p>
    <w:p>
      <w:pPr>
        <w:spacing w:line="304" w:lineRule="auto"/>
        <w:rPr>
          <w:rFonts w:ascii="Arial"/>
          <w:sz w:val="21"/>
        </w:rPr>
      </w:pPr>
    </w:p>
    <w:p>
      <w:pPr>
        <w:pStyle w:val="BodyText"/>
        <w:spacing w:before="69" w:line="247" w:lineRule="auto"/>
        <w:ind w:left="15" w:firstLine="415"/>
      </w:pPr>
      <w:r>
        <w:rPr>
          <w:spacing w:val="-2"/>
        </w:rPr>
        <w:t>服务网络用于在数字孪生实体的子实体之间传输信息。因此，该</w:t>
      </w:r>
      <w:r>
        <w:rPr>
          <w:spacing w:val="-3"/>
        </w:rPr>
        <w:t>网络可以专用于数字孪生实体的特</w:t>
      </w:r>
      <w:r>
        <w:t xml:space="preserve"> </w:t>
      </w:r>
      <w:r>
        <w:rPr>
          <w:spacing w:val="-1"/>
        </w:rPr>
        <w:t>定实现，无需由本文件进行定义。</w:t>
      </w:r>
    </w:p>
    <w:p>
      <w:pPr>
        <w:spacing w:line="303" w:lineRule="auto"/>
        <w:rPr>
          <w:rFonts w:ascii="Arial"/>
          <w:sz w:val="21"/>
        </w:rPr>
      </w:pPr>
    </w:p>
    <w:p>
      <w:pPr>
        <w:spacing w:before="69" w:line="219" w:lineRule="auto"/>
        <w:ind w:left="11"/>
        <w:rPr>
          <w:rFonts w:ascii="SimHei" w:eastAsia="SimHei" w:hAnsi="SimHei" w:cs="SimHei"/>
          <w:sz w:val="21"/>
          <w:szCs w:val="21"/>
        </w:rPr>
      </w:pPr>
      <w:r>
        <w:rPr>
          <w:rFonts w:ascii="SimHei" w:eastAsia="SimHei" w:hAnsi="SimHei" w:cs="SimHei"/>
          <w:spacing w:val="-1"/>
          <w:sz w:val="21"/>
          <w:szCs w:val="21"/>
        </w:rPr>
        <w:t>7</w:t>
      </w:r>
      <w:r>
        <w:rPr>
          <w:rFonts w:ascii="SimHei" w:eastAsia="SimHei" w:hAnsi="SimHei" w:cs="SimHei"/>
          <w:spacing w:val="-1"/>
          <w:sz w:val="21"/>
          <w:szCs w:val="21"/>
        </w:rPr>
        <w:t xml:space="preserve">  </w:t>
      </w:r>
      <w:r>
        <w:rPr>
          <w:rFonts w:ascii="SimHei" w:eastAsia="SimHei" w:hAnsi="SimHei" w:cs="SimHei"/>
          <w:spacing w:val="-1"/>
          <w:sz w:val="21"/>
          <w:szCs w:val="21"/>
        </w:rPr>
        <w:t>接入网络中信息交换的要求</w:t>
      </w:r>
    </w:p>
    <w:p>
      <w:pPr>
        <w:spacing w:line="304" w:lineRule="auto"/>
        <w:rPr>
          <w:rFonts w:ascii="Arial"/>
          <w:sz w:val="21"/>
        </w:rPr>
      </w:pPr>
    </w:p>
    <w:p>
      <w:pPr>
        <w:spacing w:before="69" w:line="215" w:lineRule="auto"/>
        <w:ind w:left="7"/>
        <w:rPr>
          <w:rFonts w:ascii="SimHei" w:eastAsia="SimHei" w:hAnsi="SimHei" w:cs="SimHei"/>
          <w:sz w:val="21"/>
          <w:szCs w:val="21"/>
        </w:rPr>
        <w:sectPr>
          <w:headerReference w:type="default" r:id="rId20"/>
          <w:footerReference w:type="default" r:id="rId21"/>
          <w:pgSz w:w="11907" w:h="16839"/>
          <w:pgMar w:top="1659" w:right="1414" w:bottom="1310" w:left="1130" w:header="1448" w:footer="1133" w:gutter="0"/>
          <w:pgNumType w:start="7"/>
          <w:cols w:space="708"/>
        </w:sectPr>
      </w:pPr>
      <w:r>
        <w:rPr>
          <w:rFonts w:ascii="Arial" w:eastAsia="Arial" w:hAnsi="Arial" w:cs="Arial"/>
          <w:spacing w:val="-4"/>
          <w:position w:val="1"/>
          <w:sz w:val="21"/>
          <w:szCs w:val="21"/>
        </w:rPr>
        <w:t>7.1</w:t>
      </w:r>
      <w:r>
        <w:rPr>
          <w:rFonts w:ascii="Arial" w:eastAsia="Arial" w:hAnsi="Arial" w:cs="Arial"/>
          <w:spacing w:val="4"/>
          <w:position w:val="1"/>
          <w:sz w:val="21"/>
          <w:szCs w:val="21"/>
        </w:rPr>
        <w:t xml:space="preserve">    </w:t>
      </w:r>
      <w:r>
        <w:rPr>
          <w:rFonts w:ascii="SimHei" w:eastAsia="SimHei" w:hAnsi="SimHei" w:cs="SimHei"/>
          <w:spacing w:val="-4"/>
          <w:position w:val="-1"/>
          <w:sz w:val="21"/>
          <w:szCs w:val="21"/>
        </w:rPr>
        <w:t>概述</w:t>
      </w:r>
    </w:p>
    <w:p>
      <w:pPr>
        <w:pStyle w:val="BodyText"/>
        <w:spacing w:before="219" w:line="247" w:lineRule="auto"/>
        <w:ind w:left="10" w:firstLine="419"/>
      </w:pPr>
      <w:r>
        <w:t>接入网络连接设备通信实体与其他实体。设备通信实体在使用适当的流协议运行时收集有关OME的</w:t>
      </w:r>
      <w:r>
        <w:rPr>
          <w:spacing w:val="5"/>
        </w:rPr>
        <w:t xml:space="preserve"> </w:t>
      </w:r>
      <w:r>
        <w:rPr>
          <w:spacing w:val="-3"/>
        </w:rPr>
        <w:t>信息。 设备通信实体通过发送OME所理解的</w:t>
      </w:r>
      <w:r>
        <w:rPr>
          <w:spacing w:val="-4"/>
        </w:rPr>
        <w:t>语言的命令来控制OME。</w:t>
      </w:r>
    </w:p>
    <w:p>
      <w:pPr>
        <w:spacing w:before="218" w:line="216" w:lineRule="auto"/>
        <w:ind w:left="7"/>
        <w:rPr>
          <w:rFonts w:ascii="SimHei" w:eastAsia="SimHei" w:hAnsi="SimHei" w:cs="SimHei"/>
          <w:sz w:val="21"/>
          <w:szCs w:val="21"/>
        </w:rPr>
      </w:pPr>
      <w:r>
        <w:rPr>
          <w:rFonts w:ascii="Arial" w:eastAsia="Arial" w:hAnsi="Arial" w:cs="Arial"/>
          <w:spacing w:val="1"/>
          <w:position w:val="1"/>
          <w:sz w:val="21"/>
          <w:szCs w:val="21"/>
        </w:rPr>
        <w:t>7.2</w:t>
      </w:r>
      <w:r>
        <w:rPr>
          <w:rFonts w:ascii="Arial" w:eastAsia="Arial" w:hAnsi="Arial" w:cs="Arial"/>
          <w:spacing w:val="17"/>
          <w:position w:val="1"/>
          <w:sz w:val="21"/>
          <w:szCs w:val="21"/>
        </w:rPr>
        <w:t xml:space="preserve">   </w:t>
      </w:r>
      <w:r>
        <w:rPr>
          <w:rFonts w:ascii="SimHei" w:eastAsia="SimHei" w:hAnsi="SimHei" w:cs="SimHei"/>
          <w:spacing w:val="1"/>
          <w:position w:val="-1"/>
          <w:sz w:val="21"/>
          <w:szCs w:val="21"/>
        </w:rPr>
        <w:t>连接性</w:t>
      </w:r>
    </w:p>
    <w:p>
      <w:pPr>
        <w:pStyle w:val="BodyText"/>
        <w:spacing w:before="218" w:line="247" w:lineRule="auto"/>
        <w:ind w:left="11" w:firstLine="418"/>
      </w:pPr>
      <w:r>
        <w:rPr>
          <w:spacing w:val="-2"/>
        </w:rPr>
        <w:t>根据情况，可使用适当协议或使用固定网络地址动态发现与设备</w:t>
      </w:r>
      <w:r>
        <w:rPr>
          <w:spacing w:val="-3"/>
        </w:rPr>
        <w:t>通信实体的连接情况。无论哪种情</w:t>
      </w:r>
      <w:r>
        <w:t xml:space="preserve"> </w:t>
      </w:r>
      <w:r>
        <w:rPr>
          <w:spacing w:val="-1"/>
        </w:rPr>
        <w:t>况，连接都会将有关OME的数据递交给数字孪生实体。</w:t>
      </w:r>
    </w:p>
    <w:p>
      <w:pPr>
        <w:pStyle w:val="BodyText"/>
        <w:spacing w:before="76" w:line="270" w:lineRule="auto"/>
        <w:ind w:left="7" w:right="5" w:firstLine="371"/>
        <w:rPr>
          <w:sz w:val="18"/>
          <w:szCs w:val="18"/>
        </w:rPr>
      </w:pPr>
      <w:r>
        <w:rPr>
          <w:rFonts w:ascii="SimHei" w:eastAsia="SimHei" w:hAnsi="SimHei" w:cs="SimHei"/>
          <w:spacing w:val="-5"/>
          <w:sz w:val="18"/>
          <w:szCs w:val="18"/>
        </w:rPr>
        <w:t>示例1：</w:t>
      </w:r>
      <w:r>
        <w:rPr>
          <w:spacing w:val="-5"/>
          <w:sz w:val="18"/>
          <w:szCs w:val="18"/>
        </w:rPr>
        <w:t>使用固定的网络地址， 车间机床的</w:t>
      </w:r>
      <w:r>
        <w:rPr>
          <w:spacing w:val="-43"/>
          <w:sz w:val="18"/>
          <w:szCs w:val="18"/>
        </w:rPr>
        <w:t xml:space="preserve"> </w:t>
      </w:r>
      <w:r>
        <w:rPr>
          <w:spacing w:val="-5"/>
          <w:sz w:val="18"/>
          <w:szCs w:val="18"/>
        </w:rPr>
        <w:t>MTConnect</w:t>
      </w:r>
      <w:r>
        <w:rPr>
          <w:spacing w:val="-36"/>
          <w:sz w:val="18"/>
          <w:szCs w:val="18"/>
        </w:rPr>
        <w:t xml:space="preserve"> </w:t>
      </w:r>
      <w:r>
        <w:rPr>
          <w:spacing w:val="-5"/>
          <w:sz w:val="18"/>
          <w:szCs w:val="18"/>
        </w:rPr>
        <w:t>代理以</w:t>
      </w:r>
      <w:r>
        <w:rPr>
          <w:spacing w:val="-43"/>
          <w:sz w:val="18"/>
          <w:szCs w:val="18"/>
        </w:rPr>
        <w:t xml:space="preserve"> </w:t>
      </w:r>
      <w:r>
        <w:rPr>
          <w:spacing w:val="-5"/>
          <w:sz w:val="18"/>
          <w:szCs w:val="18"/>
        </w:rPr>
        <w:t>URL</w:t>
      </w:r>
      <w:hyperlink r:id="rId22" w:history="1">
        <w:r>
          <w:rPr>
            <w:spacing w:val="-5"/>
            <w:sz w:val="18"/>
            <w:szCs w:val="18"/>
          </w:rPr>
          <w:t>192.168.0.1</w:t>
        </w:r>
      </w:hyperlink>
      <w:r>
        <w:rPr>
          <w:spacing w:val="-5"/>
          <w:sz w:val="18"/>
          <w:szCs w:val="18"/>
        </w:rPr>
        <w:t>:5000</w:t>
      </w:r>
      <w:r>
        <w:rPr>
          <w:spacing w:val="-20"/>
          <w:sz w:val="18"/>
          <w:szCs w:val="18"/>
        </w:rPr>
        <w:t xml:space="preserve"> </w:t>
      </w:r>
      <w:r>
        <w:rPr>
          <w:spacing w:val="-5"/>
          <w:sz w:val="18"/>
          <w:szCs w:val="18"/>
        </w:rPr>
        <w:t>的形式发布到网络上。这时，</w:t>
      </w:r>
      <w:r>
        <w:rPr>
          <w:spacing w:val="-6"/>
          <w:sz w:val="18"/>
          <w:szCs w:val="18"/>
        </w:rPr>
        <w:t xml:space="preserve"> 机</w:t>
      </w:r>
      <w:r>
        <w:rPr>
          <w:sz w:val="18"/>
          <w:szCs w:val="18"/>
        </w:rPr>
        <w:t xml:space="preserve"> </w:t>
      </w:r>
      <w:r>
        <w:rPr>
          <w:spacing w:val="-3"/>
          <w:sz w:val="18"/>
          <w:szCs w:val="18"/>
        </w:rPr>
        <w:t>床的数字孪生使用该地址来监测其</w:t>
      </w:r>
      <w:r>
        <w:rPr>
          <w:spacing w:val="-21"/>
          <w:sz w:val="18"/>
          <w:szCs w:val="18"/>
        </w:rPr>
        <w:t xml:space="preserve"> </w:t>
      </w:r>
      <w:r>
        <w:rPr>
          <w:spacing w:val="-3"/>
          <w:sz w:val="18"/>
          <w:szCs w:val="18"/>
        </w:rPr>
        <w:t>OME</w:t>
      </w:r>
      <w:r>
        <w:rPr>
          <w:spacing w:val="-21"/>
          <w:sz w:val="18"/>
          <w:szCs w:val="18"/>
        </w:rPr>
        <w:t xml:space="preserve"> </w:t>
      </w:r>
      <w:r>
        <w:rPr>
          <w:spacing w:val="-3"/>
          <w:sz w:val="18"/>
          <w:szCs w:val="18"/>
        </w:rPr>
        <w:t>的变化。</w:t>
      </w:r>
    </w:p>
    <w:p>
      <w:pPr>
        <w:spacing w:line="270" w:lineRule="auto"/>
        <w:rPr>
          <w:sz w:val="18"/>
          <w:szCs w:val="18"/>
        </w:rPr>
        <w:sectPr>
          <w:headerReference w:type="default" r:id="rId23"/>
          <w:footerReference w:type="default" r:id="rId24"/>
          <w:type w:val="nextPage"/>
          <w:pgSz w:w="11907" w:h="16839"/>
          <w:pgMar w:top="1659" w:right="1414" w:bottom="1310" w:left="1130" w:header="1448" w:footer="1133" w:gutter="0"/>
          <w:pgNumType w:start="8"/>
          <w:cols w:space="708"/>
          <w:titlePg w:val="0"/>
        </w:sectPr>
      </w:pPr>
    </w:p>
    <w:p>
      <w:pPr>
        <w:spacing w:line="273" w:lineRule="auto"/>
        <w:rPr>
          <w:rFonts w:ascii="Arial"/>
          <w:sz w:val="21"/>
        </w:rPr>
      </w:pPr>
    </w:p>
    <w:p>
      <w:pPr>
        <w:pStyle w:val="BodyText"/>
        <w:spacing w:before="59" w:line="270" w:lineRule="auto"/>
        <w:ind w:left="3" w:right="61" w:firstLine="368"/>
        <w:rPr>
          <w:sz w:val="18"/>
          <w:szCs w:val="18"/>
        </w:rPr>
      </w:pPr>
      <w:r>
        <w:rPr>
          <w:rFonts w:ascii="SimHei" w:eastAsia="SimHei" w:hAnsi="SimHei" w:cs="SimHei"/>
          <w:spacing w:val="-3"/>
          <w:sz w:val="18"/>
          <w:szCs w:val="18"/>
        </w:rPr>
        <w:t>示例2：</w:t>
      </w:r>
      <w:r>
        <w:rPr>
          <w:spacing w:val="-3"/>
          <w:sz w:val="18"/>
          <w:szCs w:val="18"/>
        </w:rPr>
        <w:t>使用动态网络地址，</w:t>
      </w:r>
      <w:r>
        <w:rPr>
          <w:spacing w:val="42"/>
          <w:sz w:val="18"/>
          <w:szCs w:val="18"/>
        </w:rPr>
        <w:t xml:space="preserve"> </w:t>
      </w:r>
      <w:r>
        <w:rPr>
          <w:spacing w:val="-3"/>
          <w:sz w:val="18"/>
          <w:szCs w:val="18"/>
        </w:rPr>
        <w:t>MQTT</w:t>
      </w:r>
      <w:r>
        <w:rPr>
          <w:spacing w:val="-22"/>
          <w:sz w:val="18"/>
          <w:szCs w:val="18"/>
        </w:rPr>
        <w:t xml:space="preserve"> </w:t>
      </w:r>
      <w:r>
        <w:rPr>
          <w:spacing w:val="-3"/>
          <w:sz w:val="18"/>
          <w:szCs w:val="18"/>
        </w:rPr>
        <w:t>订阅方</w:t>
      </w:r>
      <w:r>
        <w:rPr>
          <w:spacing w:val="-4"/>
          <w:sz w:val="18"/>
          <w:szCs w:val="18"/>
        </w:rPr>
        <w:t>会从负责</w:t>
      </w:r>
      <w:r>
        <w:rPr>
          <w:spacing w:val="-26"/>
          <w:sz w:val="18"/>
          <w:szCs w:val="18"/>
        </w:rPr>
        <w:t xml:space="preserve"> </w:t>
      </w:r>
      <w:r>
        <w:rPr>
          <w:spacing w:val="-4"/>
          <w:sz w:val="18"/>
          <w:szCs w:val="18"/>
        </w:rPr>
        <w:t>OME 的设备通信实体的数据流中发现可用性，并利用该信息来更</w:t>
      </w:r>
      <w:r>
        <w:rPr>
          <w:sz w:val="18"/>
          <w:szCs w:val="18"/>
        </w:rPr>
        <w:t xml:space="preserve"> </w:t>
      </w:r>
      <w:r>
        <w:rPr>
          <w:spacing w:val="-5"/>
          <w:sz w:val="18"/>
          <w:szCs w:val="18"/>
        </w:rPr>
        <w:t>新其数字孪生。</w:t>
      </w:r>
    </w:p>
    <w:p>
      <w:pPr>
        <w:spacing w:before="238" w:line="215" w:lineRule="auto"/>
        <w:rPr>
          <w:rFonts w:ascii="SimHei" w:eastAsia="SimHei" w:hAnsi="SimHei" w:cs="SimHei"/>
          <w:sz w:val="21"/>
          <w:szCs w:val="21"/>
        </w:rPr>
      </w:pPr>
      <w:r>
        <w:rPr>
          <w:rFonts w:ascii="Arial" w:eastAsia="Arial" w:hAnsi="Arial" w:cs="Arial"/>
          <w:position w:val="2"/>
          <w:sz w:val="21"/>
          <w:szCs w:val="21"/>
        </w:rPr>
        <w:t>7.3</w:t>
      </w:r>
      <w:r>
        <w:rPr>
          <w:rFonts w:ascii="Arial" w:eastAsia="Arial" w:hAnsi="Arial" w:cs="Arial"/>
          <w:spacing w:val="19"/>
          <w:position w:val="2"/>
          <w:sz w:val="21"/>
          <w:szCs w:val="21"/>
        </w:rPr>
        <w:t xml:space="preserve">   </w:t>
      </w:r>
      <w:r>
        <w:rPr>
          <w:rFonts w:ascii="SimHei" w:eastAsia="SimHei" w:hAnsi="SimHei" w:cs="SimHei"/>
          <w:sz w:val="21"/>
          <w:szCs w:val="21"/>
        </w:rPr>
        <w:t>通信的标准化方法</w:t>
      </w:r>
    </w:p>
    <w:p>
      <w:pPr>
        <w:pStyle w:val="BodyText"/>
        <w:spacing w:before="219" w:line="247" w:lineRule="auto"/>
        <w:ind w:left="9" w:firstLine="414"/>
      </w:pPr>
      <w:r>
        <w:rPr>
          <w:spacing w:val="-3"/>
        </w:rPr>
        <w:t>接入网络应为设备通信实体所收集数据的传输提供标准化方法。该方法应包</w:t>
      </w:r>
      <w:r>
        <w:rPr>
          <w:spacing w:val="-4"/>
        </w:rPr>
        <w:t>括足以识别OME的信息，</w:t>
      </w:r>
      <w:r>
        <w:t xml:space="preserve"> </w:t>
      </w:r>
      <w:r>
        <w:rPr>
          <w:spacing w:val="-1"/>
        </w:rPr>
        <w:t>并描述OME监控特性发生的每一个变化。</w:t>
      </w:r>
    </w:p>
    <w:p>
      <w:pPr>
        <w:pStyle w:val="BodyText"/>
        <w:spacing w:before="61" w:line="468" w:lineRule="exact"/>
        <w:ind w:left="423"/>
      </w:pPr>
      <w:r>
        <w:rPr>
          <w:spacing w:val="-1"/>
          <w:position w:val="19"/>
        </w:rPr>
        <w:t>接入网络应通过设备通信实体传输数据提供控制OME的标准化方法。</w:t>
      </w:r>
    </w:p>
    <w:p>
      <w:pPr>
        <w:spacing w:line="220" w:lineRule="auto"/>
        <w:rPr>
          <w:rFonts w:ascii="SimHei" w:eastAsia="SimHei" w:hAnsi="SimHei" w:cs="SimHei"/>
          <w:sz w:val="21"/>
          <w:szCs w:val="21"/>
        </w:rPr>
      </w:pPr>
      <w:r>
        <w:rPr>
          <w:rFonts w:ascii="Arial" w:eastAsia="Arial" w:hAnsi="Arial" w:cs="Arial"/>
          <w:spacing w:val="2"/>
          <w:sz w:val="21"/>
          <w:szCs w:val="21"/>
        </w:rPr>
        <w:t>7.4</w:t>
      </w:r>
      <w:r>
        <w:rPr>
          <w:rFonts w:ascii="Arial" w:eastAsia="Arial" w:hAnsi="Arial" w:cs="Arial"/>
          <w:spacing w:val="18"/>
          <w:sz w:val="21"/>
          <w:szCs w:val="21"/>
        </w:rPr>
        <w:t xml:space="preserve">   </w:t>
      </w:r>
      <w:r>
        <w:rPr>
          <w:rFonts w:ascii="SimHei" w:eastAsia="SimHei" w:hAnsi="SimHei" w:cs="SimHei"/>
          <w:spacing w:val="2"/>
          <w:sz w:val="21"/>
          <w:szCs w:val="21"/>
        </w:rPr>
        <w:t>同步</w:t>
      </w:r>
    </w:p>
    <w:p>
      <w:pPr>
        <w:pStyle w:val="BodyText"/>
        <w:spacing w:before="216" w:line="256" w:lineRule="auto"/>
        <w:ind w:left="367" w:right="1567" w:firstLine="55"/>
        <w:rPr>
          <w:sz w:val="18"/>
          <w:szCs w:val="18"/>
        </w:rPr>
      </w:pPr>
      <w:r>
        <w:rPr>
          <w:spacing w:val="-1"/>
        </w:rPr>
        <w:t>接入网络应使数字孪生机连接到其OME。带宽和延迟应足以支持所需的同步水平。</w:t>
      </w:r>
      <w:r>
        <w:rPr>
          <w:spacing w:val="2"/>
        </w:rPr>
        <w:t xml:space="preserve"> </w:t>
      </w:r>
      <w:r>
        <w:rPr>
          <w:rFonts w:ascii="SimHei" w:eastAsia="SimHei" w:hAnsi="SimHei" w:cs="SimHei"/>
          <w:spacing w:val="-2"/>
          <w:sz w:val="18"/>
          <w:szCs w:val="18"/>
        </w:rPr>
        <w:t>注1：</w:t>
      </w:r>
      <w:r>
        <w:rPr>
          <w:spacing w:val="-2"/>
          <w:sz w:val="18"/>
          <w:szCs w:val="18"/>
        </w:rPr>
        <w:t>IEC</w:t>
      </w:r>
      <w:r>
        <w:rPr>
          <w:spacing w:val="-17"/>
          <w:sz w:val="18"/>
          <w:szCs w:val="18"/>
        </w:rPr>
        <w:t xml:space="preserve"> </w:t>
      </w:r>
      <w:r>
        <w:rPr>
          <w:spacing w:val="-2"/>
          <w:sz w:val="18"/>
          <w:szCs w:val="18"/>
        </w:rPr>
        <w:t>已经定义了标准，描述了工业企业的各种同</w:t>
      </w:r>
      <w:r>
        <w:rPr>
          <w:spacing w:val="-3"/>
          <w:sz w:val="18"/>
          <w:szCs w:val="18"/>
        </w:rPr>
        <w:t>步方法。</w:t>
      </w:r>
    </w:p>
    <w:p>
      <w:pPr>
        <w:pStyle w:val="BodyText"/>
        <w:spacing w:before="100" w:line="453" w:lineRule="exact"/>
        <w:ind w:left="367"/>
        <w:rPr>
          <w:sz w:val="18"/>
          <w:szCs w:val="18"/>
        </w:rPr>
      </w:pPr>
      <w:r>
        <w:rPr>
          <w:rFonts w:ascii="SimHei" w:eastAsia="SimHei" w:hAnsi="SimHei" w:cs="SimHei"/>
          <w:spacing w:val="-1"/>
          <w:position w:val="21"/>
          <w:sz w:val="18"/>
          <w:szCs w:val="18"/>
        </w:rPr>
        <w:t>注2：</w:t>
      </w:r>
      <w:r>
        <w:rPr>
          <w:spacing w:val="-1"/>
          <w:position w:val="21"/>
          <w:sz w:val="18"/>
          <w:szCs w:val="18"/>
        </w:rPr>
        <w:t>处理紧急故障或警报的延迟要求与更新</w:t>
      </w:r>
      <w:r>
        <w:rPr>
          <w:spacing w:val="-33"/>
          <w:position w:val="21"/>
          <w:sz w:val="18"/>
          <w:szCs w:val="18"/>
        </w:rPr>
        <w:t xml:space="preserve"> </w:t>
      </w:r>
      <w:r>
        <w:rPr>
          <w:spacing w:val="-1"/>
          <w:position w:val="21"/>
          <w:sz w:val="18"/>
          <w:szCs w:val="18"/>
        </w:rPr>
        <w:t>3D</w:t>
      </w:r>
      <w:r>
        <w:rPr>
          <w:spacing w:val="-37"/>
          <w:position w:val="21"/>
          <w:sz w:val="18"/>
          <w:szCs w:val="18"/>
        </w:rPr>
        <w:t xml:space="preserve"> </w:t>
      </w:r>
      <w:r>
        <w:rPr>
          <w:spacing w:val="-1"/>
          <w:position w:val="21"/>
          <w:sz w:val="18"/>
          <w:szCs w:val="18"/>
        </w:rPr>
        <w:t>模型</w:t>
      </w:r>
      <w:r>
        <w:rPr>
          <w:spacing w:val="-2"/>
          <w:position w:val="21"/>
          <w:sz w:val="18"/>
          <w:szCs w:val="18"/>
        </w:rPr>
        <w:t>的延迟要求不同。</w:t>
      </w:r>
    </w:p>
    <w:p>
      <w:pPr>
        <w:spacing w:before="1" w:line="214" w:lineRule="auto"/>
        <w:rPr>
          <w:rFonts w:ascii="SimHei" w:eastAsia="SimHei" w:hAnsi="SimHei" w:cs="SimHei"/>
          <w:sz w:val="21"/>
          <w:szCs w:val="21"/>
        </w:rPr>
      </w:pPr>
      <w:r>
        <w:rPr>
          <w:rFonts w:ascii="Arial" w:eastAsia="Arial" w:hAnsi="Arial" w:cs="Arial"/>
          <w:position w:val="1"/>
          <w:sz w:val="21"/>
          <w:szCs w:val="21"/>
        </w:rPr>
        <w:t>7.5</w:t>
      </w:r>
      <w:r>
        <w:rPr>
          <w:rFonts w:ascii="Arial" w:eastAsia="Arial" w:hAnsi="Arial" w:cs="Arial"/>
          <w:spacing w:val="18"/>
          <w:w w:val="101"/>
          <w:position w:val="1"/>
          <w:sz w:val="21"/>
          <w:szCs w:val="21"/>
        </w:rPr>
        <w:t xml:space="preserve">   </w:t>
      </w:r>
      <w:r>
        <w:rPr>
          <w:rFonts w:ascii="SimHei" w:eastAsia="SimHei" w:hAnsi="SimHei" w:cs="SimHei"/>
          <w:position w:val="-1"/>
          <w:sz w:val="21"/>
          <w:szCs w:val="21"/>
        </w:rPr>
        <w:t>交易方法</w:t>
      </w:r>
    </w:p>
    <w:p>
      <w:pPr>
        <w:pStyle w:val="BodyText"/>
        <w:spacing w:before="219" w:line="312" w:lineRule="exact"/>
        <w:ind w:left="423"/>
      </w:pPr>
      <w:r>
        <w:rPr>
          <w:spacing w:val="-2"/>
          <w:position w:val="7"/>
        </w:rPr>
        <w:t>接入网络应支持以下三种交易方式中的任何一种：</w:t>
      </w:r>
    </w:p>
    <w:p>
      <w:pPr>
        <w:pStyle w:val="BodyText"/>
        <w:spacing w:before="1" w:line="219" w:lineRule="auto"/>
        <w:ind w:left="427"/>
      </w:pPr>
      <w:r>
        <w:rPr>
          <w:spacing w:val="-6"/>
        </w:rPr>
        <w:t>——PULL</w:t>
      </w:r>
      <w:r>
        <w:rPr>
          <w:spacing w:val="-33"/>
        </w:rPr>
        <w:t xml:space="preserve"> </w:t>
      </w:r>
      <w:r>
        <w:rPr>
          <w:spacing w:val="-6"/>
        </w:rPr>
        <w:t>法：</w:t>
      </w:r>
      <w:r>
        <w:rPr>
          <w:spacing w:val="-27"/>
        </w:rPr>
        <w:t xml:space="preserve"> </w:t>
      </w:r>
      <w:r>
        <w:rPr>
          <w:spacing w:val="-6"/>
        </w:rPr>
        <w:t>请求方向提供方申请信息；</w:t>
      </w:r>
    </w:p>
    <w:p>
      <w:pPr>
        <w:pStyle w:val="BodyText"/>
        <w:spacing w:before="76" w:line="219" w:lineRule="auto"/>
        <w:ind w:left="367"/>
        <w:rPr>
          <w:sz w:val="18"/>
          <w:szCs w:val="18"/>
        </w:rPr>
      </w:pPr>
      <w:r>
        <w:rPr>
          <w:rFonts w:ascii="SimHei" w:eastAsia="SimHei" w:hAnsi="SimHei" w:cs="SimHei"/>
          <w:spacing w:val="-2"/>
          <w:sz w:val="18"/>
          <w:szCs w:val="18"/>
        </w:rPr>
        <w:t>注1：</w:t>
      </w:r>
      <w:r>
        <w:rPr>
          <w:spacing w:val="-2"/>
          <w:sz w:val="18"/>
          <w:szCs w:val="18"/>
        </w:rPr>
        <w:t>数字孪生实体是请求方，而设备通信实体是提供方。</w:t>
      </w:r>
    </w:p>
    <w:p>
      <w:pPr>
        <w:pStyle w:val="BodyText"/>
        <w:spacing w:before="84" w:line="327" w:lineRule="exact"/>
        <w:ind w:left="427"/>
      </w:pPr>
      <w:r>
        <w:rPr>
          <w:spacing w:val="-3"/>
          <w:position w:val="8"/>
        </w:rPr>
        <w:t>——PUSH</w:t>
      </w:r>
      <w:r>
        <w:rPr>
          <w:spacing w:val="-45"/>
          <w:position w:val="8"/>
        </w:rPr>
        <w:t xml:space="preserve"> </w:t>
      </w:r>
      <w:r>
        <w:rPr>
          <w:spacing w:val="-3"/>
          <w:position w:val="8"/>
        </w:rPr>
        <w:t>法：</w:t>
      </w:r>
      <w:r>
        <w:rPr>
          <w:spacing w:val="-22"/>
          <w:position w:val="8"/>
        </w:rPr>
        <w:t xml:space="preserve"> </w:t>
      </w:r>
      <w:r>
        <w:rPr>
          <w:spacing w:val="-3"/>
          <w:position w:val="8"/>
        </w:rPr>
        <w:t>发送方向接收方发送新的或</w:t>
      </w:r>
      <w:r>
        <w:rPr>
          <w:spacing w:val="-4"/>
          <w:position w:val="8"/>
        </w:rPr>
        <w:t>变更后的信息；</w:t>
      </w:r>
    </w:p>
    <w:p>
      <w:pPr>
        <w:pStyle w:val="BodyText"/>
        <w:spacing w:line="218" w:lineRule="auto"/>
        <w:ind w:left="367"/>
        <w:rPr>
          <w:sz w:val="18"/>
          <w:szCs w:val="18"/>
        </w:rPr>
      </w:pPr>
      <w:r>
        <w:rPr>
          <w:rFonts w:ascii="SimHei" w:eastAsia="SimHei" w:hAnsi="SimHei" w:cs="SimHei"/>
          <w:spacing w:val="-2"/>
          <w:sz w:val="18"/>
          <w:szCs w:val="18"/>
        </w:rPr>
        <w:t>注2：</w:t>
      </w:r>
      <w:r>
        <w:rPr>
          <w:spacing w:val="-2"/>
          <w:sz w:val="18"/>
          <w:szCs w:val="18"/>
        </w:rPr>
        <w:t>数字孪生实体是接收方，而设备通信实体是发送方。</w:t>
      </w:r>
    </w:p>
    <w:p>
      <w:pPr>
        <w:pStyle w:val="BodyText"/>
        <w:spacing w:before="84" w:line="327" w:lineRule="exact"/>
        <w:ind w:left="427"/>
      </w:pPr>
      <w:r>
        <w:rPr>
          <w:spacing w:val="-1"/>
          <w:position w:val="8"/>
        </w:rPr>
        <w:t>——PUBLISH</w:t>
      </w:r>
      <w:r>
        <w:rPr>
          <w:spacing w:val="-37"/>
          <w:position w:val="8"/>
        </w:rPr>
        <w:t xml:space="preserve"> </w:t>
      </w:r>
      <w:r>
        <w:rPr>
          <w:spacing w:val="-1"/>
          <w:position w:val="8"/>
        </w:rPr>
        <w:t>法：发布方发布要由订阅方接收的数据。</w:t>
      </w:r>
    </w:p>
    <w:p>
      <w:pPr>
        <w:pStyle w:val="BodyText"/>
        <w:spacing w:before="1" w:line="218" w:lineRule="auto"/>
        <w:ind w:left="367"/>
        <w:rPr>
          <w:sz w:val="18"/>
          <w:szCs w:val="18"/>
        </w:rPr>
      </w:pPr>
      <w:r>
        <w:rPr>
          <w:rFonts w:ascii="SimHei" w:eastAsia="SimHei" w:hAnsi="SimHei" w:cs="SimHei"/>
          <w:spacing w:val="-2"/>
          <w:sz w:val="18"/>
          <w:szCs w:val="18"/>
        </w:rPr>
        <w:t>注3：</w:t>
      </w:r>
      <w:r>
        <w:rPr>
          <w:spacing w:val="-2"/>
          <w:sz w:val="18"/>
          <w:szCs w:val="18"/>
        </w:rPr>
        <w:t>数字孪生实体是订阅方，而设备通信实体是发布方。</w:t>
      </w:r>
    </w:p>
    <w:p>
      <w:pPr>
        <w:pStyle w:val="BodyText"/>
        <w:spacing w:before="84" w:line="468" w:lineRule="exact"/>
        <w:ind w:left="437"/>
      </w:pPr>
      <w:r>
        <w:rPr>
          <w:spacing w:val="-3"/>
          <w:position w:val="19"/>
        </w:rPr>
        <w:t>当多个数字孪生实体受单个设备通信实体管控时，</w:t>
      </w:r>
      <w:r>
        <w:rPr>
          <w:spacing w:val="-22"/>
          <w:position w:val="19"/>
        </w:rPr>
        <w:t xml:space="preserve"> </w:t>
      </w:r>
      <w:r>
        <w:rPr>
          <w:spacing w:val="-3"/>
          <w:position w:val="19"/>
        </w:rPr>
        <w:t>推荐</w:t>
      </w:r>
      <w:r>
        <w:rPr>
          <w:spacing w:val="-4"/>
          <w:position w:val="19"/>
        </w:rPr>
        <w:t>使用PUBLISH法。</w:t>
      </w:r>
    </w:p>
    <w:p>
      <w:pPr>
        <w:spacing w:line="215" w:lineRule="auto"/>
        <w:ind w:left="1"/>
        <w:rPr>
          <w:rFonts w:ascii="SimHei" w:eastAsia="SimHei" w:hAnsi="SimHei" w:cs="SimHei"/>
          <w:sz w:val="21"/>
          <w:szCs w:val="21"/>
        </w:rPr>
      </w:pPr>
      <w:r>
        <w:rPr>
          <w:rFonts w:ascii="Arial" w:eastAsia="Arial" w:hAnsi="Arial" w:cs="Arial"/>
          <w:spacing w:val="1"/>
          <w:position w:val="1"/>
          <w:sz w:val="21"/>
          <w:szCs w:val="21"/>
        </w:rPr>
        <w:t>7.6</w:t>
      </w:r>
      <w:r>
        <w:rPr>
          <w:rFonts w:ascii="Arial" w:eastAsia="Arial" w:hAnsi="Arial" w:cs="Arial"/>
          <w:spacing w:val="15"/>
          <w:w w:val="101"/>
          <w:position w:val="1"/>
          <w:sz w:val="21"/>
          <w:szCs w:val="21"/>
        </w:rPr>
        <w:t xml:space="preserve">   </w:t>
      </w:r>
      <w:r>
        <w:rPr>
          <w:rFonts w:ascii="SimHei" w:eastAsia="SimHei" w:hAnsi="SimHei" w:cs="SimHei"/>
          <w:spacing w:val="1"/>
          <w:position w:val="-1"/>
          <w:sz w:val="21"/>
          <w:szCs w:val="21"/>
        </w:rPr>
        <w:t>移动性支持</w:t>
      </w:r>
    </w:p>
    <w:p>
      <w:pPr>
        <w:pStyle w:val="BodyText"/>
        <w:spacing w:before="219" w:line="468" w:lineRule="exact"/>
        <w:ind w:left="427"/>
      </w:pPr>
      <w:r>
        <w:rPr>
          <w:spacing w:val="-3"/>
          <w:position w:val="19"/>
        </w:rPr>
        <w:t>如果设备通信实体的网络位置发生变化， 则接入网络应保持与其数字孪生的连接性。</w:t>
      </w:r>
    </w:p>
    <w:p>
      <w:pPr>
        <w:spacing w:line="221" w:lineRule="auto"/>
        <w:ind w:left="2"/>
        <w:rPr>
          <w:rFonts w:ascii="SimHei" w:eastAsia="SimHei" w:hAnsi="SimHei" w:cs="SimHei"/>
          <w:sz w:val="21"/>
          <w:szCs w:val="21"/>
        </w:rPr>
      </w:pPr>
      <w:r>
        <w:rPr>
          <w:rFonts w:ascii="Arial" w:eastAsia="Arial" w:hAnsi="Arial" w:cs="Arial"/>
          <w:spacing w:val="1"/>
          <w:sz w:val="21"/>
          <w:szCs w:val="21"/>
        </w:rPr>
        <w:t>7.7</w:t>
      </w:r>
      <w:r>
        <w:rPr>
          <w:rFonts w:ascii="Arial" w:eastAsia="Arial" w:hAnsi="Arial" w:cs="Arial"/>
          <w:spacing w:val="18"/>
          <w:sz w:val="21"/>
          <w:szCs w:val="21"/>
        </w:rPr>
        <w:t xml:space="preserve">   </w:t>
      </w:r>
      <w:r>
        <w:rPr>
          <w:rFonts w:ascii="SimHei" w:eastAsia="SimHei" w:hAnsi="SimHei" w:cs="SimHei"/>
          <w:spacing w:val="1"/>
          <w:sz w:val="21"/>
          <w:szCs w:val="21"/>
        </w:rPr>
        <w:t>安全</w:t>
      </w:r>
    </w:p>
    <w:p>
      <w:pPr>
        <w:pStyle w:val="BodyText"/>
        <w:spacing w:before="216" w:line="327" w:lineRule="exact"/>
        <w:ind w:left="423"/>
      </w:pPr>
      <w:r>
        <w:rPr>
          <w:spacing w:val="-1"/>
          <w:position w:val="8"/>
        </w:rPr>
        <w:t>接入网络应维护数字孪生的安全与隐私。</w:t>
      </w:r>
    </w:p>
    <w:p>
      <w:pPr>
        <w:pStyle w:val="BodyText"/>
        <w:spacing w:before="1" w:line="218" w:lineRule="auto"/>
        <w:ind w:left="367"/>
        <w:rPr>
          <w:sz w:val="18"/>
          <w:szCs w:val="18"/>
        </w:rPr>
      </w:pPr>
      <w:r>
        <w:rPr>
          <w:rFonts w:ascii="SimHei" w:eastAsia="SimHei" w:hAnsi="SimHei" w:cs="SimHei"/>
          <w:spacing w:val="-4"/>
          <w:sz w:val="18"/>
          <w:szCs w:val="18"/>
        </w:rPr>
        <w:t>注：</w:t>
      </w:r>
      <w:r>
        <w:rPr>
          <w:rFonts w:ascii="SimHei" w:eastAsia="SimHei" w:hAnsi="SimHei" w:cs="SimHei"/>
          <w:spacing w:val="-4"/>
          <w:sz w:val="18"/>
          <w:szCs w:val="18"/>
        </w:rPr>
        <w:t xml:space="preserve"> </w:t>
      </w:r>
      <w:r>
        <w:rPr>
          <w:spacing w:val="-4"/>
          <w:sz w:val="18"/>
          <w:szCs w:val="18"/>
        </w:rPr>
        <w:t>IEC 62443等标准定义了安全通信的协议。</w:t>
      </w:r>
    </w:p>
    <w:p>
      <w:pPr>
        <w:spacing w:line="325" w:lineRule="auto"/>
        <w:rPr>
          <w:rFonts w:ascii="Arial"/>
          <w:sz w:val="21"/>
        </w:rPr>
      </w:pPr>
    </w:p>
    <w:p>
      <w:pPr>
        <w:spacing w:before="69" w:line="219" w:lineRule="auto"/>
        <w:ind w:left="1"/>
        <w:rPr>
          <w:rFonts w:ascii="SimHei" w:eastAsia="SimHei" w:hAnsi="SimHei" w:cs="SimHei"/>
          <w:sz w:val="21"/>
          <w:szCs w:val="21"/>
        </w:rPr>
      </w:pPr>
      <w:r>
        <w:rPr>
          <w:rFonts w:ascii="SimHei" w:eastAsia="SimHei" w:hAnsi="SimHei" w:cs="SimHei"/>
          <w:spacing w:val="-1"/>
          <w:sz w:val="21"/>
          <w:szCs w:val="21"/>
        </w:rPr>
        <w:t>8</w:t>
      </w:r>
      <w:r>
        <w:rPr>
          <w:rFonts w:ascii="SimHei" w:eastAsia="SimHei" w:hAnsi="SimHei" w:cs="SimHei"/>
          <w:spacing w:val="-1"/>
          <w:sz w:val="21"/>
          <w:szCs w:val="21"/>
        </w:rPr>
        <w:t xml:space="preserve">  </w:t>
      </w:r>
      <w:r>
        <w:rPr>
          <w:rFonts w:ascii="SimHei" w:eastAsia="SimHei" w:hAnsi="SimHei" w:cs="SimHei"/>
          <w:spacing w:val="-1"/>
          <w:sz w:val="21"/>
          <w:szCs w:val="21"/>
        </w:rPr>
        <w:t>邻近网络中信息交换的要求</w:t>
      </w:r>
    </w:p>
    <w:p>
      <w:pPr>
        <w:spacing w:line="304" w:lineRule="auto"/>
        <w:rPr>
          <w:rFonts w:ascii="Arial"/>
          <w:sz w:val="21"/>
        </w:rPr>
      </w:pPr>
    </w:p>
    <w:p>
      <w:pPr>
        <w:spacing w:before="69" w:line="219" w:lineRule="auto"/>
        <w:rPr>
          <w:rFonts w:ascii="SimHei" w:eastAsia="SimHei" w:hAnsi="SimHei" w:cs="SimHei"/>
          <w:sz w:val="21"/>
          <w:szCs w:val="21"/>
        </w:rPr>
      </w:pPr>
      <w:r>
        <w:rPr>
          <w:rFonts w:ascii="Arial" w:eastAsia="Arial" w:hAnsi="Arial" w:cs="Arial"/>
          <w:spacing w:val="-4"/>
          <w:sz w:val="21"/>
          <w:szCs w:val="21"/>
        </w:rPr>
        <w:t>8.1</w:t>
      </w:r>
      <w:r>
        <w:rPr>
          <w:rFonts w:ascii="Arial" w:eastAsia="Arial" w:hAnsi="Arial" w:cs="Arial"/>
          <w:spacing w:val="4"/>
          <w:sz w:val="21"/>
          <w:szCs w:val="21"/>
        </w:rPr>
        <w:t xml:space="preserve">    </w:t>
      </w:r>
      <w:r>
        <w:rPr>
          <w:rFonts w:ascii="SimHei" w:eastAsia="SimHei" w:hAnsi="SimHei" w:cs="SimHei"/>
          <w:spacing w:val="-4"/>
          <w:sz w:val="21"/>
          <w:szCs w:val="21"/>
        </w:rPr>
        <w:t>概述</w:t>
      </w:r>
    </w:p>
    <w:p>
      <w:pPr>
        <w:pStyle w:val="BodyText"/>
        <w:spacing w:before="219" w:line="468" w:lineRule="exact"/>
        <w:ind w:left="423"/>
        <w:sectPr>
          <w:headerReference w:type="default" r:id="rId25"/>
          <w:footerReference w:type="default" r:id="rId26"/>
          <w:pgSz w:w="11907" w:h="16839"/>
          <w:pgMar w:top="1659" w:right="1070" w:bottom="1309" w:left="1423" w:header="1448" w:footer="1133" w:gutter="0"/>
          <w:pgNumType w:start="9"/>
          <w:cols w:space="708"/>
        </w:sectPr>
      </w:pPr>
      <w:r>
        <w:rPr>
          <w:position w:val="19"/>
        </w:rPr>
        <w:t>邻近网络是设备通信实体与OME之间的接口。如果设备通信实体主机在OME上，则无需邻</w:t>
      </w:r>
      <w:r>
        <w:rPr>
          <w:spacing w:val="-1"/>
          <w:position w:val="19"/>
        </w:rPr>
        <w:t>近网络。</w:t>
      </w:r>
    </w:p>
    <w:p>
      <w:pPr>
        <w:spacing w:line="220" w:lineRule="auto"/>
        <w:rPr>
          <w:rFonts w:ascii="SimHei" w:eastAsia="SimHei" w:hAnsi="SimHei" w:cs="SimHei"/>
          <w:sz w:val="21"/>
          <w:szCs w:val="21"/>
        </w:rPr>
      </w:pPr>
      <w:r>
        <w:rPr>
          <w:rFonts w:ascii="Arial" w:eastAsia="Arial" w:hAnsi="Arial" w:cs="Arial"/>
          <w:position w:val="1"/>
          <w:sz w:val="21"/>
          <w:szCs w:val="21"/>
        </w:rPr>
        <w:t>8.2</w:t>
      </w:r>
      <w:r>
        <w:rPr>
          <w:rFonts w:ascii="Arial" w:eastAsia="Arial" w:hAnsi="Arial" w:cs="Arial"/>
          <w:spacing w:val="19"/>
          <w:position w:val="1"/>
          <w:sz w:val="21"/>
          <w:szCs w:val="21"/>
        </w:rPr>
        <w:t xml:space="preserve">   </w:t>
      </w:r>
      <w:r>
        <w:rPr>
          <w:rFonts w:ascii="SimHei" w:eastAsia="SimHei" w:hAnsi="SimHei" w:cs="SimHei"/>
          <w:sz w:val="21"/>
          <w:szCs w:val="21"/>
        </w:rPr>
        <w:t>本地连接支持</w:t>
      </w:r>
    </w:p>
    <w:p>
      <w:pPr>
        <w:pStyle w:val="BodyText"/>
        <w:spacing w:before="218" w:line="468" w:lineRule="exact"/>
        <w:ind w:left="423"/>
      </w:pPr>
      <w:r>
        <w:rPr>
          <w:position w:val="19"/>
        </w:rPr>
        <w:t>邻近网络应使用工业以太网或专有网络连接设备通信实体与</w:t>
      </w:r>
      <w:r>
        <w:rPr>
          <w:spacing w:val="-1"/>
          <w:position w:val="19"/>
        </w:rPr>
        <w:t>OME。</w:t>
      </w:r>
    </w:p>
    <w:p>
      <w:pPr>
        <w:spacing w:line="216" w:lineRule="auto"/>
        <w:rPr>
          <w:rFonts w:ascii="SimHei" w:eastAsia="SimHei" w:hAnsi="SimHei" w:cs="SimHei"/>
          <w:sz w:val="21"/>
          <w:szCs w:val="21"/>
        </w:rPr>
      </w:pPr>
      <w:r>
        <w:rPr>
          <w:rFonts w:ascii="Arial" w:eastAsia="Arial" w:hAnsi="Arial" w:cs="Arial"/>
          <w:position w:val="1"/>
          <w:sz w:val="21"/>
          <w:szCs w:val="21"/>
        </w:rPr>
        <w:t>8.3</w:t>
      </w:r>
      <w:r>
        <w:rPr>
          <w:rFonts w:ascii="Arial" w:eastAsia="Arial" w:hAnsi="Arial" w:cs="Arial"/>
          <w:spacing w:val="18"/>
          <w:w w:val="101"/>
          <w:position w:val="1"/>
          <w:sz w:val="21"/>
          <w:szCs w:val="21"/>
        </w:rPr>
        <w:t xml:space="preserve">   </w:t>
      </w:r>
      <w:r>
        <w:rPr>
          <w:rFonts w:ascii="SimHei" w:eastAsia="SimHei" w:hAnsi="SimHei" w:cs="SimHei"/>
          <w:position w:val="-1"/>
          <w:sz w:val="21"/>
          <w:szCs w:val="21"/>
        </w:rPr>
        <w:t>适配支持</w:t>
      </w:r>
    </w:p>
    <w:p>
      <w:pPr>
        <w:pStyle w:val="BodyText"/>
        <w:spacing w:before="217" w:line="468" w:lineRule="exact"/>
        <w:ind w:left="423"/>
      </w:pPr>
      <w:r>
        <w:rPr>
          <w:spacing w:val="-1"/>
          <w:position w:val="19"/>
        </w:rPr>
        <w:t>邻近网络应支持从OME接收到的数据适配为设备通信实体所理解的数据。</w:t>
      </w:r>
    </w:p>
    <w:p>
      <w:pPr>
        <w:spacing w:before="1" w:line="214" w:lineRule="auto"/>
        <w:rPr>
          <w:rFonts w:ascii="SimHei" w:eastAsia="SimHei" w:hAnsi="SimHei" w:cs="SimHei"/>
          <w:sz w:val="21"/>
          <w:szCs w:val="21"/>
        </w:rPr>
      </w:pPr>
      <w:r>
        <w:rPr>
          <w:rFonts w:ascii="Arial" w:eastAsia="Arial" w:hAnsi="Arial" w:cs="Arial"/>
          <w:spacing w:val="1"/>
          <w:position w:val="2"/>
          <w:sz w:val="21"/>
          <w:szCs w:val="21"/>
        </w:rPr>
        <w:t>8.4</w:t>
      </w:r>
      <w:r>
        <w:rPr>
          <w:rFonts w:ascii="Arial" w:eastAsia="Arial" w:hAnsi="Arial" w:cs="Arial"/>
          <w:spacing w:val="14"/>
          <w:position w:val="2"/>
          <w:sz w:val="21"/>
          <w:szCs w:val="21"/>
        </w:rPr>
        <w:t xml:space="preserve">   </w:t>
      </w:r>
      <w:r>
        <w:rPr>
          <w:rFonts w:ascii="SimHei" w:eastAsia="SimHei" w:hAnsi="SimHei" w:cs="SimHei"/>
          <w:spacing w:val="1"/>
          <w:sz w:val="21"/>
          <w:szCs w:val="21"/>
        </w:rPr>
        <w:t>数据量、传输效率以及存储支持</w:t>
      </w:r>
    </w:p>
    <w:p>
      <w:pPr>
        <w:spacing w:line="214" w:lineRule="auto"/>
        <w:rPr>
          <w:rFonts w:ascii="SimHei" w:eastAsia="SimHei" w:hAnsi="SimHei" w:cs="SimHei"/>
          <w:sz w:val="21"/>
          <w:szCs w:val="21"/>
        </w:rPr>
        <w:sectPr>
          <w:headerReference w:type="default" r:id="rId27"/>
          <w:footerReference w:type="default" r:id="rId28"/>
          <w:type w:val="nextPage"/>
          <w:pgSz w:w="11907" w:h="16839"/>
          <w:pgMar w:top="1659" w:right="1070" w:bottom="1309" w:left="1423" w:header="1448" w:footer="1133" w:gutter="0"/>
          <w:pgNumType w:start="10"/>
          <w:cols w:space="708"/>
          <w:titlePg w:val="0"/>
        </w:sectPr>
      </w:pPr>
    </w:p>
    <w:p>
      <w:pPr>
        <w:spacing w:line="249" w:lineRule="auto"/>
        <w:rPr>
          <w:rFonts w:ascii="Arial"/>
          <w:sz w:val="21"/>
        </w:rPr>
      </w:pPr>
    </w:p>
    <w:p>
      <w:pPr>
        <w:pStyle w:val="BodyText"/>
        <w:spacing w:before="68" w:line="220" w:lineRule="auto"/>
        <w:ind w:left="420"/>
      </w:pPr>
      <w:r>
        <w:t>邻近网络应支持在设备通信实体和OME之间传输</w:t>
      </w:r>
      <w:r>
        <w:rPr>
          <w:spacing w:val="-1"/>
        </w:rPr>
        <w:t>信息所需的数据量、传输效率以及存储。</w:t>
      </w:r>
    </w:p>
    <w:p>
      <w:pPr>
        <w:spacing w:line="220" w:lineRule="auto"/>
        <w:sectPr>
          <w:headerReference w:type="default" r:id="rId29"/>
          <w:footerReference w:type="default" r:id="rId30"/>
          <w:pgSz w:w="11907" w:h="16839"/>
          <w:pgMar w:top="1659" w:right="1785" w:bottom="1310" w:left="1140" w:header="1448" w:footer="1133" w:gutter="0"/>
          <w:pgNumType w:start="11"/>
          <w:cols w:space="708"/>
        </w:sectPr>
      </w:pPr>
    </w:p>
    <w:p>
      <w:pPr>
        <w:spacing w:line="258" w:lineRule="auto"/>
        <w:rPr>
          <w:rFonts w:ascii="Arial"/>
          <w:sz w:val="21"/>
        </w:rPr>
      </w:pPr>
    </w:p>
    <w:p>
      <w:pPr>
        <w:spacing w:before="7" w:line="14" w:lineRule="exact"/>
        <w:ind w:left="4673"/>
        <w:rPr>
          <w:rFonts w:ascii="SimHei" w:eastAsia="SimHei" w:hAnsi="SimHei" w:cs="SimHei"/>
          <w:sz w:val="2"/>
          <w:szCs w:val="2"/>
        </w:rPr>
      </w:pPr>
      <w:r>
        <w:rPr>
          <w:rFonts w:ascii="SimHei" w:eastAsia="SimHei" w:hAnsi="SimHei" w:cs="SimHei"/>
          <w:sz w:val="2"/>
          <w:szCs w:val="2"/>
        </w:rPr>
        <w:t>A</w:t>
      </w:r>
    </w:p>
    <w:p>
      <w:pPr>
        <w:pStyle w:val="BodyText"/>
        <w:spacing w:line="177" w:lineRule="auto"/>
        <w:ind w:left="4877"/>
        <w:rPr>
          <w:sz w:val="2"/>
          <w:szCs w:val="2"/>
        </w:rPr>
      </w:pPr>
      <w:r>
        <w:rPr>
          <w:sz w:val="2"/>
          <w:szCs w:val="2"/>
        </w:rPr>
        <w:t>A</w:t>
      </w:r>
    </w:p>
    <w:p>
      <w:pPr>
        <w:spacing w:line="267" w:lineRule="auto"/>
        <w:rPr>
          <w:rFonts w:ascii="Arial"/>
          <w:sz w:val="21"/>
        </w:rPr>
      </w:pPr>
    </w:p>
    <w:p>
      <w:pPr>
        <w:spacing w:line="268" w:lineRule="auto"/>
        <w:rPr>
          <w:rFonts w:ascii="Arial"/>
          <w:sz w:val="21"/>
        </w:rPr>
      </w:pPr>
    </w:p>
    <w:p>
      <w:pPr>
        <w:spacing w:before="68" w:line="312" w:lineRule="exact"/>
        <w:ind w:left="4181"/>
        <w:rPr>
          <w:rFonts w:ascii="SimHei" w:eastAsia="SimHei" w:hAnsi="SimHei" w:cs="SimHei"/>
          <w:sz w:val="21"/>
          <w:szCs w:val="21"/>
        </w:rPr>
      </w:pPr>
      <w:r>
        <w:rPr>
          <w:rFonts w:ascii="SimHei" w:eastAsia="SimHei" w:hAnsi="SimHei" w:cs="SimHei"/>
          <w:spacing w:val="-8"/>
          <w:position w:val="7"/>
          <w:sz w:val="21"/>
          <w:szCs w:val="21"/>
        </w:rPr>
        <w:t>附</w:t>
      </w:r>
      <w:r>
        <w:rPr>
          <w:rFonts w:ascii="SimHei" w:eastAsia="SimHei" w:hAnsi="SimHei" w:cs="SimHei"/>
          <w:spacing w:val="107"/>
          <w:position w:val="7"/>
          <w:sz w:val="21"/>
          <w:szCs w:val="21"/>
        </w:rPr>
        <w:t xml:space="preserve"> </w:t>
      </w:r>
      <w:r>
        <w:rPr>
          <w:rFonts w:ascii="SimHei" w:eastAsia="SimHei" w:hAnsi="SimHei" w:cs="SimHei"/>
          <w:spacing w:val="-8"/>
          <w:position w:val="7"/>
          <w:sz w:val="21"/>
          <w:szCs w:val="21"/>
        </w:rPr>
        <w:t>录</w:t>
      </w:r>
      <w:r>
        <w:rPr>
          <w:rFonts w:ascii="SimHei" w:eastAsia="SimHei" w:hAnsi="SimHei" w:cs="SimHei"/>
          <w:spacing w:val="-8"/>
          <w:position w:val="7"/>
          <w:sz w:val="21"/>
          <w:szCs w:val="21"/>
        </w:rPr>
        <w:t xml:space="preserve">  </w:t>
      </w:r>
      <w:r>
        <w:rPr>
          <w:rFonts w:ascii="SimHei" w:eastAsia="SimHei" w:hAnsi="SimHei" w:cs="SimHei"/>
          <w:spacing w:val="-8"/>
          <w:position w:val="7"/>
          <w:sz w:val="21"/>
          <w:szCs w:val="21"/>
        </w:rPr>
        <w:t>A</w:t>
      </w:r>
    </w:p>
    <w:p>
      <w:pPr>
        <w:spacing w:line="219" w:lineRule="auto"/>
        <w:ind w:left="4170"/>
        <w:rPr>
          <w:rFonts w:ascii="SimHei" w:eastAsia="SimHei" w:hAnsi="SimHei" w:cs="SimHei"/>
          <w:sz w:val="21"/>
          <w:szCs w:val="21"/>
        </w:rPr>
      </w:pPr>
      <w:r>
        <w:rPr>
          <w:rFonts w:ascii="SimHei" w:eastAsia="SimHei" w:hAnsi="SimHei" w:cs="SimHei"/>
          <w:spacing w:val="-7"/>
          <w:sz w:val="21"/>
          <w:szCs w:val="21"/>
        </w:rPr>
        <w:t>（资料性）</w:t>
      </w:r>
    </w:p>
    <w:p>
      <w:pPr>
        <w:spacing w:before="62" w:line="468" w:lineRule="exact"/>
        <w:ind w:left="2687"/>
        <w:rPr>
          <w:rFonts w:ascii="SimHei" w:eastAsia="SimHei" w:hAnsi="SimHei" w:cs="SimHei"/>
          <w:sz w:val="21"/>
          <w:szCs w:val="21"/>
        </w:rPr>
      </w:pPr>
      <w:r>
        <w:rPr>
          <w:rFonts w:ascii="SimHei" w:eastAsia="SimHei" w:hAnsi="SimHei" w:cs="SimHei"/>
          <w:spacing w:val="-1"/>
          <w:position w:val="19"/>
          <w:sz w:val="21"/>
          <w:szCs w:val="21"/>
        </w:rPr>
        <w:t>技术讨论—制造用数字孪生框架的实施方案</w:t>
      </w:r>
    </w:p>
    <w:p>
      <w:pPr>
        <w:spacing w:line="219" w:lineRule="auto"/>
        <w:rPr>
          <w:rFonts w:ascii="SimHei" w:eastAsia="SimHei" w:hAnsi="SimHei" w:cs="SimHei"/>
          <w:sz w:val="21"/>
          <w:szCs w:val="21"/>
        </w:rPr>
      </w:pPr>
      <w:r>
        <w:rPr>
          <w:rFonts w:ascii="SimHei" w:eastAsia="SimHei" w:hAnsi="SimHei" w:cs="SimHei"/>
          <w:spacing w:val="-3"/>
          <w:sz w:val="21"/>
          <w:szCs w:val="21"/>
        </w:rPr>
        <w:t>A.1</w:t>
      </w:r>
      <w:r>
        <w:rPr>
          <w:rFonts w:ascii="SimHei" w:eastAsia="SimHei" w:hAnsi="SimHei" w:cs="SimHei"/>
          <w:spacing w:val="-3"/>
          <w:sz w:val="21"/>
          <w:szCs w:val="21"/>
        </w:rPr>
        <w:t xml:space="preserve">  </w:t>
      </w:r>
      <w:r>
        <w:rPr>
          <w:rFonts w:ascii="SimHei" w:eastAsia="SimHei" w:hAnsi="SimHei" w:cs="SimHei"/>
          <w:spacing w:val="-3"/>
          <w:sz w:val="21"/>
          <w:szCs w:val="21"/>
        </w:rPr>
        <w:t>附录</w:t>
      </w:r>
      <w:r>
        <w:rPr>
          <w:rFonts w:ascii="SimHei" w:eastAsia="SimHei" w:hAnsi="SimHei" w:cs="SimHei"/>
          <w:spacing w:val="-41"/>
          <w:sz w:val="21"/>
          <w:szCs w:val="21"/>
        </w:rPr>
        <w:t xml:space="preserve"> </w:t>
      </w:r>
      <w:r>
        <w:rPr>
          <w:rFonts w:ascii="SimHei" w:eastAsia="SimHei" w:hAnsi="SimHei" w:cs="SimHei"/>
          <w:spacing w:val="-3"/>
          <w:sz w:val="21"/>
          <w:szCs w:val="21"/>
        </w:rPr>
        <w:t>A</w:t>
      </w:r>
      <w:r>
        <w:rPr>
          <w:rFonts w:ascii="SimHei" w:eastAsia="SimHei" w:hAnsi="SimHei" w:cs="SimHei"/>
          <w:spacing w:val="-40"/>
          <w:sz w:val="21"/>
          <w:szCs w:val="21"/>
        </w:rPr>
        <w:t xml:space="preserve"> </w:t>
      </w:r>
      <w:r>
        <w:rPr>
          <w:rFonts w:ascii="SimHei" w:eastAsia="SimHei" w:hAnsi="SimHei" w:cs="SimHei"/>
          <w:spacing w:val="-3"/>
          <w:sz w:val="21"/>
          <w:szCs w:val="21"/>
        </w:rPr>
        <w:t>至附录</w:t>
      </w:r>
      <w:r>
        <w:rPr>
          <w:rFonts w:ascii="SimHei" w:eastAsia="SimHei" w:hAnsi="SimHei" w:cs="SimHei"/>
          <w:spacing w:val="-41"/>
          <w:sz w:val="21"/>
          <w:szCs w:val="21"/>
        </w:rPr>
        <w:t xml:space="preserve"> </w:t>
      </w:r>
      <w:r>
        <w:rPr>
          <w:rFonts w:ascii="SimHei" w:eastAsia="SimHei" w:hAnsi="SimHei" w:cs="SimHei"/>
          <w:spacing w:val="-3"/>
          <w:sz w:val="21"/>
          <w:szCs w:val="21"/>
        </w:rPr>
        <w:t>E</w:t>
      </w:r>
      <w:r>
        <w:rPr>
          <w:rFonts w:ascii="SimHei" w:eastAsia="SimHei" w:hAnsi="SimHei" w:cs="SimHei"/>
          <w:spacing w:val="-30"/>
          <w:sz w:val="21"/>
          <w:szCs w:val="21"/>
        </w:rPr>
        <w:t xml:space="preserve"> </w:t>
      </w:r>
      <w:r>
        <w:rPr>
          <w:rFonts w:ascii="SimHei" w:eastAsia="SimHei" w:hAnsi="SimHei" w:cs="SimHei"/>
          <w:spacing w:val="-3"/>
          <w:sz w:val="21"/>
          <w:szCs w:val="21"/>
        </w:rPr>
        <w:t>中使用的缩略语</w:t>
      </w:r>
    </w:p>
    <w:p>
      <w:pPr>
        <w:pStyle w:val="BodyText"/>
        <w:spacing w:before="219" w:line="312" w:lineRule="exact"/>
        <w:ind w:left="426"/>
      </w:pPr>
      <w:r>
        <w:rPr>
          <w:position w:val="7"/>
        </w:rPr>
        <w:t>本章列出了可作为制造用数字孪生框架实施方案使用的协议或标准的</w:t>
      </w:r>
      <w:r>
        <w:rPr>
          <w:spacing w:val="-1"/>
          <w:position w:val="7"/>
        </w:rPr>
        <w:t>缩略语。</w:t>
      </w:r>
    </w:p>
    <w:p>
      <w:pPr>
        <w:pStyle w:val="BodyText"/>
        <w:spacing w:line="215" w:lineRule="auto"/>
        <w:ind w:left="429"/>
      </w:pPr>
      <w:r>
        <w:t>3D PDF  三维便携式文档格式（3-dimensional portable docu</w:t>
      </w:r>
      <w:r>
        <w:rPr>
          <w:spacing w:val="-1"/>
        </w:rPr>
        <w:t>ment format）</w:t>
      </w:r>
    </w:p>
    <w:p>
      <w:pPr>
        <w:pStyle w:val="BodyText"/>
        <w:spacing w:before="67" w:line="221" w:lineRule="auto"/>
        <w:ind w:left="419"/>
      </w:pPr>
      <w:r>
        <w:t>AAS 资产管理外壳（asset ad</w:t>
      </w:r>
      <w:r>
        <w:rPr>
          <w:spacing w:val="-1"/>
        </w:rPr>
        <w:t>ministration</w:t>
      </w:r>
      <w:r>
        <w:rPr>
          <w:spacing w:val="18"/>
        </w:rPr>
        <w:t xml:space="preserve"> </w:t>
      </w:r>
      <w:r>
        <w:rPr>
          <w:spacing w:val="-1"/>
        </w:rPr>
        <w:t>shell）</w:t>
      </w:r>
    </w:p>
    <w:p>
      <w:pPr>
        <w:pStyle w:val="BodyText"/>
        <w:spacing w:before="60" w:line="216" w:lineRule="auto"/>
        <w:ind w:left="419"/>
      </w:pPr>
      <w:r>
        <w:t>AES 高级加密标准（advanced encryption standard）</w:t>
      </w:r>
    </w:p>
    <w:p>
      <w:pPr>
        <w:pStyle w:val="BodyText"/>
        <w:spacing w:before="68" w:line="312" w:lineRule="exact"/>
        <w:ind w:left="419"/>
      </w:pPr>
      <w:r>
        <w:rPr>
          <w:position w:val="7"/>
        </w:rPr>
        <w:t>AMF 增材制造文件格式（additive manufacturing file format）</w:t>
      </w:r>
    </w:p>
    <w:p>
      <w:pPr>
        <w:pStyle w:val="BodyText"/>
        <w:spacing w:before="1" w:line="214" w:lineRule="auto"/>
        <w:ind w:left="419"/>
      </w:pPr>
      <w:r>
        <w:t>API 应用程序接口（application program interface）</w:t>
      </w:r>
    </w:p>
    <w:p>
      <w:pPr>
        <w:pStyle w:val="BodyText"/>
        <w:spacing w:before="66" w:line="245" w:lineRule="auto"/>
        <w:ind w:left="419" w:right="1797"/>
      </w:pPr>
      <w:r>
        <w:t>ASTM 美国材料与试验协会（American society for testin</w:t>
      </w:r>
      <w:r>
        <w:rPr>
          <w:spacing w:val="-1"/>
        </w:rPr>
        <w:t>g and materials）</w:t>
      </w:r>
      <w:r>
        <w:t xml:space="preserve"> </w:t>
      </w:r>
      <w:r>
        <w:rPr>
          <w:spacing w:val="-1"/>
        </w:rPr>
        <w:t>AutomationML</w:t>
      </w:r>
      <w:r>
        <w:rPr>
          <w:spacing w:val="44"/>
        </w:rPr>
        <w:t xml:space="preserve"> </w:t>
      </w:r>
      <w:r>
        <w:rPr>
          <w:spacing w:val="-1"/>
        </w:rPr>
        <w:t>自动标记语言（automation markup language）</w:t>
      </w:r>
    </w:p>
    <w:p>
      <w:pPr>
        <w:pStyle w:val="BodyText"/>
        <w:spacing w:before="67" w:line="245" w:lineRule="auto"/>
        <w:ind w:left="423" w:right="1795" w:hanging="3"/>
      </w:pPr>
      <w:r>
        <w:t>B2MML 业务到制造标记语言（business to manufacturing m</w:t>
      </w:r>
      <w:r>
        <w:rPr>
          <w:spacing w:val="-1"/>
        </w:rPr>
        <w:t>arkup language）</w:t>
      </w:r>
      <w:r>
        <w:t xml:space="preserve"> </w:t>
      </w:r>
      <w:r>
        <w:t>CAD 计算机辅助设计（computer aided des</w:t>
      </w:r>
      <w:r>
        <w:rPr>
          <w:spacing w:val="-1"/>
        </w:rPr>
        <w:t>ign）</w:t>
      </w:r>
    </w:p>
    <w:p>
      <w:pPr>
        <w:pStyle w:val="BodyText"/>
        <w:spacing w:before="68" w:line="312" w:lineRule="exact"/>
        <w:ind w:left="424"/>
      </w:pPr>
      <w:r>
        <w:rPr>
          <w:position w:val="7"/>
        </w:rPr>
        <w:t>CAM 计算机辅助制造（computer aided manufactu</w:t>
      </w:r>
      <w:r>
        <w:rPr>
          <w:spacing w:val="-1"/>
          <w:position w:val="7"/>
        </w:rPr>
        <w:t>ring）</w:t>
      </w:r>
    </w:p>
    <w:p>
      <w:pPr>
        <w:pStyle w:val="BodyText"/>
        <w:spacing w:line="214" w:lineRule="auto"/>
        <w:ind w:left="424"/>
      </w:pPr>
      <w:r>
        <w:t>CBC 密码块链接（cipher-block chain</w:t>
      </w:r>
      <w:r>
        <w:rPr>
          <w:spacing w:val="-1"/>
        </w:rPr>
        <w:t>ing）</w:t>
      </w:r>
    </w:p>
    <w:p>
      <w:pPr>
        <w:pStyle w:val="BodyText"/>
        <w:spacing w:before="68" w:line="221" w:lineRule="auto"/>
        <w:ind w:left="424"/>
      </w:pPr>
      <w:r>
        <w:t>CCM CBC-MAC计数器（counter with CB</w:t>
      </w:r>
      <w:r>
        <w:rPr>
          <w:spacing w:val="-1"/>
        </w:rPr>
        <w:t>C-MAC）</w:t>
      </w:r>
    </w:p>
    <w:p>
      <w:pPr>
        <w:pStyle w:val="BodyText"/>
        <w:spacing w:before="61" w:line="215" w:lineRule="auto"/>
        <w:ind w:left="424"/>
      </w:pPr>
      <w:r>
        <w:t>CFX 连接式工厂交换机（connected factory exch</w:t>
      </w:r>
      <w:r>
        <w:rPr>
          <w:spacing w:val="-1"/>
        </w:rPr>
        <w:t>ange）</w:t>
      </w:r>
    </w:p>
    <w:p>
      <w:pPr>
        <w:pStyle w:val="BodyText"/>
        <w:spacing w:before="67" w:line="312" w:lineRule="exact"/>
        <w:ind w:left="424"/>
      </w:pPr>
      <w:r>
        <w:rPr>
          <w:position w:val="7"/>
        </w:rPr>
        <w:t>COLLADA 协同设计活动（collaborative design acti</w:t>
      </w:r>
      <w:r>
        <w:rPr>
          <w:spacing w:val="-1"/>
          <w:position w:val="7"/>
        </w:rPr>
        <w:t>vity）</w:t>
      </w:r>
    </w:p>
    <w:p>
      <w:pPr>
        <w:pStyle w:val="BodyText"/>
        <w:spacing w:before="1" w:line="214" w:lineRule="auto"/>
        <w:ind w:left="423"/>
      </w:pPr>
      <w:r>
        <w:t>EASA 欧洲航空安全局（European aviation safety age</w:t>
      </w:r>
      <w:r>
        <w:rPr>
          <w:spacing w:val="-1"/>
        </w:rPr>
        <w:t>ncy）</w:t>
      </w:r>
    </w:p>
    <w:p>
      <w:pPr>
        <w:pStyle w:val="BodyText"/>
        <w:spacing w:before="67" w:line="216" w:lineRule="auto"/>
        <w:ind w:left="423"/>
      </w:pPr>
      <w:r>
        <w:t>ECDHE</w:t>
      </w:r>
      <w:r>
        <w:rPr>
          <w:spacing w:val="2"/>
        </w:rPr>
        <w:t xml:space="preserve"> 迪菲-赫尔曼椭圆曲线（</w:t>
      </w:r>
      <w:r>
        <w:t>elliptic</w:t>
      </w:r>
      <w:r>
        <w:rPr>
          <w:spacing w:val="2"/>
        </w:rPr>
        <w:t>-</w:t>
      </w:r>
      <w:r>
        <w:t>curve</w:t>
      </w:r>
      <w:r>
        <w:rPr>
          <w:spacing w:val="2"/>
        </w:rPr>
        <w:t xml:space="preserve"> </w:t>
      </w:r>
      <w:r>
        <w:t>diffie</w:t>
      </w:r>
      <w:r>
        <w:rPr>
          <w:rFonts w:ascii="Times New Roman" w:eastAsia="Times New Roman" w:hAnsi="Times New Roman" w:cs="Times New Roman"/>
          <w:spacing w:val="2"/>
        </w:rPr>
        <w:t>-</w:t>
      </w:r>
      <w:r>
        <w:t>hellman</w:t>
      </w:r>
      <w:r>
        <w:rPr>
          <w:spacing w:val="2"/>
        </w:rPr>
        <w:t>）</w:t>
      </w:r>
    </w:p>
    <w:p>
      <w:pPr>
        <w:pStyle w:val="BodyText"/>
        <w:spacing w:before="68" w:line="247" w:lineRule="auto"/>
        <w:ind w:left="422" w:right="746"/>
      </w:pPr>
      <w:r>
        <w:t>EtherCAT 控制自动化技术用的以太网（ethernet for control auto</w:t>
      </w:r>
      <w:r>
        <w:rPr>
          <w:spacing w:val="-1"/>
        </w:rPr>
        <w:t>mation technology）</w:t>
      </w:r>
      <w:r>
        <w:t xml:space="preserve"> </w:t>
      </w:r>
      <w:r>
        <w:t>FAA 联邦航空管理局（federal aviation administr</w:t>
      </w:r>
      <w:r>
        <w:rPr>
          <w:spacing w:val="-1"/>
        </w:rPr>
        <w:t>ation）</w:t>
      </w:r>
    </w:p>
    <w:p>
      <w:pPr>
        <w:pStyle w:val="BodyText"/>
        <w:spacing w:before="61" w:line="221" w:lineRule="auto"/>
        <w:ind w:left="422"/>
      </w:pPr>
      <w:r>
        <w:rPr>
          <w:spacing w:val="-1"/>
        </w:rPr>
        <w:t>FBX Filmbox格式（filmbox）</w:t>
      </w:r>
    </w:p>
    <w:p>
      <w:pPr>
        <w:pStyle w:val="BodyText"/>
        <w:spacing w:before="61" w:line="312" w:lineRule="exact"/>
        <w:ind w:left="420"/>
      </w:pPr>
      <w:r>
        <w:rPr>
          <w:position w:val="7"/>
        </w:rPr>
        <w:t>HTTP 超文本传输协议（hypertext transfer proto</w:t>
      </w:r>
      <w:r>
        <w:rPr>
          <w:spacing w:val="-1"/>
          <w:position w:val="7"/>
        </w:rPr>
        <w:t>col）</w:t>
      </w:r>
    </w:p>
    <w:p>
      <w:pPr>
        <w:pStyle w:val="BodyText"/>
        <w:spacing w:before="1" w:line="214" w:lineRule="auto"/>
        <w:ind w:left="437"/>
      </w:pPr>
      <w:r>
        <w:rPr>
          <w:spacing w:val="-1"/>
        </w:rPr>
        <w:t>IoT 物联网（Internet of Things）</w:t>
      </w:r>
    </w:p>
    <w:p>
      <w:pPr>
        <w:pStyle w:val="BodyText"/>
        <w:spacing w:before="67" w:line="216" w:lineRule="auto"/>
        <w:ind w:left="437"/>
      </w:pPr>
      <w:r>
        <w:t>IPC 进程间通信（inter-pro</w:t>
      </w:r>
      <w:r>
        <w:rPr>
          <w:spacing w:val="-1"/>
        </w:rPr>
        <w:t>cess communication）</w:t>
      </w:r>
    </w:p>
    <w:p>
      <w:pPr>
        <w:pStyle w:val="BodyText"/>
        <w:spacing w:before="67" w:line="216" w:lineRule="auto"/>
        <w:ind w:left="437"/>
        <w:sectPr>
          <w:headerReference w:type="default" r:id="rId31"/>
          <w:footerReference w:type="default" r:id="rId32"/>
          <w:pgSz w:w="11907" w:h="16839"/>
          <w:pgMar w:top="1659" w:right="1037" w:bottom="1309" w:left="1421" w:header="1448" w:footer="1133" w:gutter="0"/>
          <w:pgNumType w:start="12"/>
          <w:cols w:space="708"/>
        </w:sectPr>
      </w:pPr>
      <w:r>
        <w:rPr>
          <w:spacing w:val="-1"/>
        </w:rPr>
        <w:t>ISA</w:t>
      </w:r>
      <w:r>
        <w:rPr>
          <w:spacing w:val="29"/>
        </w:rPr>
        <w:t xml:space="preserve"> </w:t>
      </w:r>
      <w:r>
        <w:rPr>
          <w:spacing w:val="-1"/>
        </w:rPr>
        <w:t>国际自动化学会（international society of automation）</w:t>
      </w:r>
    </w:p>
    <w:p>
      <w:pPr>
        <w:pStyle w:val="BodyText"/>
        <w:spacing w:before="66" w:line="312" w:lineRule="exact"/>
        <w:ind w:left="424"/>
      </w:pPr>
      <w:r>
        <w:rPr>
          <w:position w:val="7"/>
        </w:rPr>
        <w:t>JSON Javascript对象简谱（Javascript object not</w:t>
      </w:r>
      <w:r>
        <w:rPr>
          <w:spacing w:val="-1"/>
          <w:position w:val="7"/>
        </w:rPr>
        <w:t>ation）</w:t>
      </w:r>
    </w:p>
    <w:p>
      <w:pPr>
        <w:pStyle w:val="BodyText"/>
        <w:spacing w:before="1" w:line="215" w:lineRule="auto"/>
        <w:ind w:left="424"/>
      </w:pPr>
      <w:r>
        <w:t>JT 木星镶嵌（Jupiter tessell</w:t>
      </w:r>
      <w:r>
        <w:rPr>
          <w:spacing w:val="-1"/>
        </w:rPr>
        <w:t>ation）</w:t>
      </w:r>
    </w:p>
    <w:p>
      <w:pPr>
        <w:pStyle w:val="BodyText"/>
        <w:spacing w:before="67" w:line="312" w:lineRule="exact"/>
        <w:ind w:left="424"/>
      </w:pPr>
      <w:r>
        <w:rPr>
          <w:position w:val="7"/>
        </w:rPr>
        <w:t>LwM2M 轻型机器对机器（lightweight machine to mac</w:t>
      </w:r>
      <w:r>
        <w:rPr>
          <w:spacing w:val="-1"/>
          <w:position w:val="7"/>
        </w:rPr>
        <w:t>hine）</w:t>
      </w:r>
    </w:p>
    <w:p>
      <w:pPr>
        <w:pStyle w:val="BodyText"/>
        <w:spacing w:before="1" w:line="214" w:lineRule="auto"/>
        <w:ind w:left="419"/>
      </w:pPr>
      <w:r>
        <w:t>MES 制造执行系统（manufacturing execution system）</w:t>
      </w:r>
    </w:p>
    <w:p>
      <w:pPr>
        <w:pStyle w:val="BodyText"/>
        <w:spacing w:before="67" w:line="215" w:lineRule="auto"/>
        <w:ind w:left="419"/>
      </w:pPr>
      <w:r>
        <w:t>MOM 制造运营管理（manufacturing operations management）</w:t>
      </w:r>
    </w:p>
    <w:p>
      <w:pPr>
        <w:pStyle w:val="BodyText"/>
        <w:spacing w:before="68" w:line="312" w:lineRule="exact"/>
        <w:ind w:left="419"/>
      </w:pPr>
      <w:r>
        <w:rPr>
          <w:position w:val="7"/>
        </w:rPr>
        <w:t>MQTT 消息队列遥测传输（message queuing telemetry transport）</w:t>
      </w:r>
    </w:p>
    <w:p>
      <w:pPr>
        <w:pStyle w:val="BodyText"/>
        <w:spacing w:before="1" w:line="219" w:lineRule="auto"/>
        <w:ind w:left="419"/>
      </w:pPr>
      <w:r>
        <w:t>MTConnect 机床连接（machine tool connect）</w:t>
      </w:r>
    </w:p>
    <w:p>
      <w:pPr>
        <w:pStyle w:val="BodyText"/>
        <w:spacing w:before="62" w:line="216" w:lineRule="auto"/>
        <w:ind w:left="424"/>
      </w:pPr>
      <w:r>
        <w:t>OCF 开放式连接基础（open connectivity founda</w:t>
      </w:r>
      <w:r>
        <w:rPr>
          <w:spacing w:val="-1"/>
        </w:rPr>
        <w:t>tion）</w:t>
      </w:r>
    </w:p>
    <w:p>
      <w:pPr>
        <w:pStyle w:val="BodyText"/>
        <w:spacing w:before="66" w:line="245" w:lineRule="auto"/>
        <w:ind w:left="424"/>
      </w:pPr>
      <w:r>
        <w:t>OPC-UA 开放平台通信——统一架构（open platform communications - unified arch</w:t>
      </w:r>
      <w:r>
        <w:rPr>
          <w:spacing w:val="-1"/>
        </w:rPr>
        <w:t>itecture）</w:t>
      </w:r>
      <w:r>
        <w:t xml:space="preserve"> </w:t>
      </w:r>
      <w:r>
        <w:rPr>
          <w:spacing w:val="-1"/>
        </w:rPr>
        <w:t>OpenGL 开放式图形库（open graphics</w:t>
      </w:r>
      <w:r>
        <w:rPr>
          <w:spacing w:val="28"/>
        </w:rPr>
        <w:t xml:space="preserve"> </w:t>
      </w:r>
      <w:r>
        <w:rPr>
          <w:spacing w:val="-1"/>
        </w:rPr>
        <w:t>library）</w:t>
      </w:r>
    </w:p>
    <w:p>
      <w:pPr>
        <w:pStyle w:val="BodyText"/>
        <w:spacing w:before="67" w:line="312" w:lineRule="exact"/>
        <w:ind w:left="422"/>
      </w:pPr>
      <w:r>
        <w:rPr>
          <w:position w:val="7"/>
        </w:rPr>
        <w:t>PLC 可编程逻辑控制器（programmable logic contr</w:t>
      </w:r>
      <w:r>
        <w:rPr>
          <w:spacing w:val="-1"/>
          <w:position w:val="7"/>
        </w:rPr>
        <w:t>oller）</w:t>
      </w:r>
    </w:p>
    <w:p>
      <w:pPr>
        <w:pStyle w:val="BodyText"/>
        <w:spacing w:before="1" w:line="214" w:lineRule="auto"/>
        <w:ind w:left="422"/>
      </w:pPr>
      <w:r>
        <w:t>PSK 相移键控（phase-shift keyi</w:t>
      </w:r>
      <w:r>
        <w:rPr>
          <w:spacing w:val="-1"/>
        </w:rPr>
        <w:t>ng）</w:t>
      </w:r>
    </w:p>
    <w:p>
      <w:pPr>
        <w:spacing w:line="214" w:lineRule="auto"/>
        <w:sectPr>
          <w:headerReference w:type="default" r:id="rId33"/>
          <w:footerReference w:type="default" r:id="rId34"/>
          <w:type w:val="nextPage"/>
          <w:pgSz w:w="11907" w:h="16839"/>
          <w:pgMar w:top="1659" w:right="1037" w:bottom="1309" w:left="1421" w:header="1448" w:footer="1133" w:gutter="0"/>
          <w:pgNumType w:start="13"/>
          <w:cols w:space="708"/>
          <w:titlePg w:val="0"/>
        </w:sectPr>
      </w:pPr>
    </w:p>
    <w:p>
      <w:pPr>
        <w:spacing w:line="249" w:lineRule="auto"/>
        <w:rPr>
          <w:rFonts w:ascii="Arial"/>
          <w:sz w:val="21"/>
        </w:rPr>
      </w:pPr>
    </w:p>
    <w:p>
      <w:pPr>
        <w:pStyle w:val="BodyText"/>
        <w:spacing w:before="68" w:line="216" w:lineRule="auto"/>
        <w:ind w:left="424"/>
      </w:pPr>
      <w:r>
        <w:t>QIF 质量信息框架（quality information fram</w:t>
      </w:r>
      <w:r>
        <w:rPr>
          <w:spacing w:val="-1"/>
        </w:rPr>
        <w:t>ework）</w:t>
      </w:r>
    </w:p>
    <w:p>
      <w:pPr>
        <w:pStyle w:val="BodyText"/>
        <w:spacing w:before="65" w:line="254" w:lineRule="auto"/>
        <w:ind w:left="10" w:firstLine="413"/>
      </w:pPr>
      <w:r>
        <w:t>RAPINet</w:t>
      </w:r>
      <w:r>
        <w:rPr>
          <w:spacing w:val="19"/>
        </w:rPr>
        <w:t xml:space="preserve"> 工业以太网实时自动化协议（</w:t>
      </w:r>
      <w:r>
        <w:t>real</w:t>
      </w:r>
      <w:r>
        <w:rPr>
          <w:spacing w:val="19"/>
        </w:rPr>
        <w:t>-</w:t>
      </w:r>
      <w:r>
        <w:t>time</w:t>
      </w:r>
      <w:r>
        <w:rPr>
          <w:spacing w:val="84"/>
        </w:rPr>
        <w:t xml:space="preserve"> </w:t>
      </w:r>
      <w:r>
        <w:t>automation</w:t>
      </w:r>
      <w:r>
        <w:rPr>
          <w:spacing w:val="80"/>
        </w:rPr>
        <w:t xml:space="preserve"> </w:t>
      </w:r>
      <w:r>
        <w:t>protocols</w:t>
      </w:r>
      <w:r>
        <w:rPr>
          <w:spacing w:val="86"/>
        </w:rPr>
        <w:t xml:space="preserve"> </w:t>
      </w:r>
      <w:r>
        <w:t>for</w:t>
      </w:r>
      <w:r>
        <w:rPr>
          <w:spacing w:val="97"/>
        </w:rPr>
        <w:t xml:space="preserve"> </w:t>
      </w:r>
      <w:r>
        <w:t xml:space="preserve">industrial </w:t>
      </w:r>
      <w:r>
        <w:rPr>
          <w:spacing w:val="-2"/>
        </w:rPr>
        <w:t>ethernet）</w:t>
      </w:r>
    </w:p>
    <w:p>
      <w:pPr>
        <w:pStyle w:val="BodyText"/>
        <w:spacing w:before="46" w:line="216" w:lineRule="auto"/>
        <w:ind w:left="424"/>
      </w:pPr>
      <w:r>
        <w:t>RDF 资源描述框架（resource description frame</w:t>
      </w:r>
      <w:r>
        <w:rPr>
          <w:spacing w:val="-1"/>
        </w:rPr>
        <w:t>work）</w:t>
      </w:r>
    </w:p>
    <w:p>
      <w:pPr>
        <w:pStyle w:val="BodyText"/>
        <w:spacing w:before="66" w:line="216" w:lineRule="auto"/>
        <w:ind w:left="424"/>
      </w:pPr>
      <w:r>
        <w:t>REST 表征状态转移（representational state tra</w:t>
      </w:r>
      <w:r>
        <w:rPr>
          <w:spacing w:val="-1"/>
        </w:rPr>
        <w:t>nsfer）</w:t>
      </w:r>
    </w:p>
    <w:p>
      <w:pPr>
        <w:pStyle w:val="BodyText"/>
        <w:spacing w:before="67" w:line="312" w:lineRule="exact"/>
        <w:ind w:left="424"/>
      </w:pPr>
      <w:r>
        <w:rPr>
          <w:spacing w:val="-4"/>
          <w:position w:val="7"/>
        </w:rPr>
        <w:t>RSA 非对称加密算法（Rivest</w:t>
      </w:r>
      <w:r>
        <w:rPr>
          <w:spacing w:val="-39"/>
          <w:position w:val="7"/>
        </w:rPr>
        <w:t xml:space="preserve"> </w:t>
      </w:r>
      <w:r>
        <w:rPr>
          <w:spacing w:val="-4"/>
          <w:position w:val="7"/>
        </w:rPr>
        <w:t>–Shamir</w:t>
      </w:r>
      <w:r>
        <w:rPr>
          <w:spacing w:val="-38"/>
          <w:position w:val="7"/>
        </w:rPr>
        <w:t xml:space="preserve"> </w:t>
      </w:r>
      <w:r>
        <w:rPr>
          <w:spacing w:val="-4"/>
          <w:position w:val="7"/>
        </w:rPr>
        <w:t>–Adleman）</w:t>
      </w:r>
    </w:p>
    <w:p>
      <w:pPr>
        <w:pStyle w:val="BodyText"/>
        <w:spacing w:before="1" w:line="214" w:lineRule="auto"/>
        <w:ind w:left="427"/>
      </w:pPr>
      <w:r>
        <w:t>SHA 安全哈希算法（secure hash al</w:t>
      </w:r>
      <w:r>
        <w:rPr>
          <w:spacing w:val="-1"/>
        </w:rPr>
        <w:t>gorithm）</w:t>
      </w:r>
    </w:p>
    <w:p>
      <w:pPr>
        <w:pStyle w:val="BodyText"/>
        <w:spacing w:before="67" w:line="245" w:lineRule="auto"/>
        <w:ind w:left="427" w:right="968"/>
      </w:pPr>
      <w:r>
        <w:t>STEP 产品模型数据交换标准（STandard for the Exchang</w:t>
      </w:r>
      <w:r>
        <w:rPr>
          <w:spacing w:val="-1"/>
        </w:rPr>
        <w:t>e of Product model data）</w:t>
      </w:r>
      <w:r>
        <w:t xml:space="preserve"> </w:t>
      </w:r>
      <w:r>
        <w:rPr>
          <w:spacing w:val="-1"/>
        </w:rPr>
        <w:t>STL 标准模板库（standard template</w:t>
      </w:r>
      <w:r>
        <w:rPr>
          <w:spacing w:val="28"/>
        </w:rPr>
        <w:t xml:space="preserve"> </w:t>
      </w:r>
      <w:r>
        <w:rPr>
          <w:spacing w:val="-1"/>
        </w:rPr>
        <w:t>library）</w:t>
      </w:r>
    </w:p>
    <w:p>
      <w:pPr>
        <w:pStyle w:val="BodyText"/>
        <w:spacing w:before="67" w:line="312" w:lineRule="exact"/>
        <w:ind w:left="423"/>
      </w:pPr>
      <w:r>
        <w:rPr>
          <w:position w:val="7"/>
        </w:rPr>
        <w:t>TSN 时间敏感网络（time-sensitive network</w:t>
      </w:r>
      <w:r>
        <w:rPr>
          <w:spacing w:val="-1"/>
          <w:position w:val="7"/>
        </w:rPr>
        <w:t>ing）</w:t>
      </w:r>
    </w:p>
    <w:p>
      <w:pPr>
        <w:pStyle w:val="BodyText"/>
        <w:spacing w:before="1" w:line="214" w:lineRule="auto"/>
        <w:ind w:left="419"/>
      </w:pPr>
      <w:r>
        <w:rPr>
          <w:spacing w:val="-1"/>
        </w:rPr>
        <w:t>WebGL 网络图形库（web graphics</w:t>
      </w:r>
      <w:r>
        <w:rPr>
          <w:spacing w:val="30"/>
        </w:rPr>
        <w:t xml:space="preserve"> </w:t>
      </w:r>
      <w:r>
        <w:rPr>
          <w:spacing w:val="-1"/>
        </w:rPr>
        <w:t>library）</w:t>
      </w:r>
    </w:p>
    <w:p>
      <w:pPr>
        <w:pStyle w:val="BodyText"/>
        <w:spacing w:before="68" w:line="468" w:lineRule="exact"/>
        <w:ind w:left="423"/>
      </w:pPr>
      <w:r>
        <w:rPr>
          <w:position w:val="20"/>
        </w:rPr>
        <w:t>XML 可扩展标记语言（extensible markup lan</w:t>
      </w:r>
      <w:r>
        <w:rPr>
          <w:spacing w:val="-1"/>
          <w:position w:val="20"/>
        </w:rPr>
        <w:t>guage）</w:t>
      </w:r>
    </w:p>
    <w:p>
      <w:pPr>
        <w:spacing w:before="1" w:line="219" w:lineRule="auto"/>
        <w:rPr>
          <w:rFonts w:ascii="SimHei" w:eastAsia="SimHei" w:hAnsi="SimHei" w:cs="SimHei"/>
          <w:sz w:val="21"/>
          <w:szCs w:val="21"/>
        </w:rPr>
      </w:pPr>
      <w:r>
        <w:rPr>
          <w:rFonts w:ascii="SimHei" w:eastAsia="SimHei" w:hAnsi="SimHei" w:cs="SimHei"/>
          <w:sz w:val="21"/>
          <w:szCs w:val="21"/>
        </w:rPr>
        <w:t>A.2</w:t>
      </w:r>
      <w:r>
        <w:rPr>
          <w:rFonts w:ascii="SimHei" w:eastAsia="SimHei" w:hAnsi="SimHei" w:cs="SimHei"/>
          <w:sz w:val="21"/>
          <w:szCs w:val="21"/>
        </w:rPr>
        <w:t xml:space="preserve">  </w:t>
      </w:r>
      <w:r>
        <w:rPr>
          <w:rFonts w:ascii="SimHei" w:eastAsia="SimHei" w:hAnsi="SimHei" w:cs="SimHei"/>
          <w:sz w:val="21"/>
          <w:szCs w:val="21"/>
        </w:rPr>
        <w:t>信息交换示例</w:t>
      </w:r>
    </w:p>
    <w:p>
      <w:pPr>
        <w:spacing w:before="218" w:line="219" w:lineRule="auto"/>
        <w:rPr>
          <w:rFonts w:ascii="SimHei" w:eastAsia="SimHei" w:hAnsi="SimHei" w:cs="SimHei"/>
          <w:sz w:val="21"/>
          <w:szCs w:val="21"/>
        </w:rPr>
      </w:pPr>
      <w:r>
        <w:rPr>
          <w:rFonts w:ascii="SimHei" w:eastAsia="SimHei" w:hAnsi="SimHei" w:cs="SimHei"/>
          <w:sz w:val="21"/>
          <w:szCs w:val="21"/>
        </w:rPr>
        <w:t>A.2.1</w:t>
      </w:r>
      <w:r>
        <w:rPr>
          <w:rFonts w:ascii="SimHei" w:eastAsia="SimHei" w:hAnsi="SimHei" w:cs="SimHei"/>
          <w:sz w:val="21"/>
          <w:szCs w:val="21"/>
        </w:rPr>
        <w:t xml:space="preserve">  </w:t>
      </w:r>
      <w:r>
        <w:rPr>
          <w:rFonts w:ascii="SimHei" w:eastAsia="SimHei" w:hAnsi="SimHei" w:cs="SimHei"/>
          <w:sz w:val="21"/>
          <w:szCs w:val="21"/>
        </w:rPr>
        <w:t>概述</w:t>
      </w:r>
    </w:p>
    <w:p>
      <w:pPr>
        <w:pStyle w:val="BodyText"/>
        <w:spacing w:before="218" w:line="221" w:lineRule="auto"/>
        <w:ind w:left="446"/>
      </w:pPr>
      <w:r>
        <w:rPr>
          <w:spacing w:val="-1"/>
        </w:rPr>
        <w:t>图A.1表示如何使用当前可用的通信协议在数字孪生框架内进行信息交换。</w:t>
      </w:r>
    </w:p>
    <w:p>
      <w:pPr>
        <w:spacing w:before="142" w:line="5034" w:lineRule="exact"/>
        <w:ind w:firstLine="523"/>
      </w:pPr>
      <w:r>
        <w:rPr>
          <w:position w:val="-100"/>
        </w:rPr>
        <w:drawing>
          <wp:inline distT="0" distB="0" distL="0" distR="0">
            <wp:extent cx="5494019" cy="319659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35"/>
                    <a:stretch>
                      <a:fillRect/>
                    </a:stretch>
                  </pic:blipFill>
                  <pic:spPr>
                    <a:xfrm>
                      <a:off x="0" y="0"/>
                      <a:ext cx="5494019" cy="3196590"/>
                    </a:xfrm>
                    <a:prstGeom prst="rect">
                      <a:avLst/>
                    </a:prstGeom>
                  </pic:spPr>
                </pic:pic>
              </a:graphicData>
            </a:graphic>
          </wp:inline>
        </w:drawing>
      </w:r>
    </w:p>
    <w:p>
      <w:pPr>
        <w:spacing w:line="259" w:lineRule="auto"/>
        <w:rPr>
          <w:rFonts w:ascii="Arial"/>
          <w:sz w:val="21"/>
        </w:rPr>
      </w:pPr>
    </w:p>
    <w:p>
      <w:pPr>
        <w:spacing w:line="259" w:lineRule="auto"/>
        <w:rPr>
          <w:rFonts w:ascii="Arial"/>
          <w:sz w:val="21"/>
        </w:rPr>
      </w:pPr>
    </w:p>
    <w:p>
      <w:pPr>
        <w:pStyle w:val="BodyText"/>
        <w:spacing w:before="69" w:line="221" w:lineRule="auto"/>
        <w:ind w:left="446"/>
      </w:pPr>
      <w:r>
        <w:rPr>
          <w:spacing w:val="-7"/>
        </w:rPr>
        <w:t>图标注释</w:t>
      </w:r>
    </w:p>
    <w:p>
      <w:pPr>
        <w:spacing w:line="108" w:lineRule="exact"/>
      </w:pPr>
    </w:p>
    <w:p>
      <w:pPr>
        <w:spacing w:line="108" w:lineRule="exact"/>
        <w:sectPr>
          <w:headerReference w:type="default" r:id="rId36"/>
          <w:footerReference w:type="default" r:id="rId37"/>
          <w:pgSz w:w="11907" w:h="16839"/>
          <w:pgMar w:top="1659" w:right="1417" w:bottom="1310" w:left="1135" w:header="1448" w:footer="1133" w:gutter="0"/>
          <w:pgNumType w:start="14"/>
          <w:cols w:num="1" w:space="708" w:equalWidth="0">
            <w:col w:w="9354" w:space="0"/>
          </w:cols>
        </w:sectPr>
      </w:pPr>
    </w:p>
    <w:p>
      <w:pPr>
        <w:spacing w:before="87" w:line="181" w:lineRule="auto"/>
        <w:ind w:left="428"/>
        <w:rPr>
          <w:rFonts w:ascii="Calibri" w:eastAsia="Calibri" w:hAnsi="Calibri" w:cs="Calibri"/>
          <w:sz w:val="21"/>
          <w:szCs w:val="21"/>
        </w:rPr>
      </w:pPr>
      <w:r>
        <w:rPr>
          <w:rFonts w:ascii="Calibri" w:eastAsia="Calibri" w:hAnsi="Calibri" w:cs="Calibri"/>
          <w:spacing w:val="-3"/>
          <w:sz w:val="21"/>
          <w:szCs w:val="21"/>
        </w:rPr>
        <w:t>OME</w:t>
      </w:r>
    </w:p>
    <w:p>
      <w:pPr>
        <w:spacing w:before="130" w:line="196" w:lineRule="exact"/>
        <w:ind w:firstLine="523"/>
      </w:pPr>
      <w:r>
        <w:rPr>
          <w:position w:val="-3"/>
        </w:rPr>
        <w:drawing>
          <wp:inline distT="0" distB="0" distL="0" distR="0">
            <wp:extent cx="343534" cy="12446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38"/>
                    <a:stretch>
                      <a:fillRect/>
                    </a:stretch>
                  </pic:blipFill>
                  <pic:spPr>
                    <a:xfrm>
                      <a:off x="0" y="0"/>
                      <a:ext cx="343534" cy="124460"/>
                    </a:xfrm>
                    <a:prstGeom prst="rect">
                      <a:avLst/>
                    </a:prstGeom>
                  </pic:spPr>
                </pic:pic>
              </a:graphicData>
            </a:graphic>
          </wp:inline>
        </w:drawing>
      </w:r>
    </w:p>
    <w:p>
      <w:pPr>
        <w:spacing w:before="204" w:line="207" w:lineRule="exact"/>
        <w:ind w:firstLine="523"/>
      </w:pPr>
      <w:r>
        <w:rPr>
          <w:position w:val="-4"/>
        </w:rPr>
        <w:drawing>
          <wp:inline distT="0" distB="0" distL="0" distR="0">
            <wp:extent cx="343534" cy="131318"/>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39"/>
                    <a:stretch>
                      <a:fillRect/>
                    </a:stretch>
                  </pic:blipFill>
                  <pic:spPr>
                    <a:xfrm>
                      <a:off x="0" y="0"/>
                      <a:ext cx="343534" cy="131318"/>
                    </a:xfrm>
                    <a:prstGeom prst="rect">
                      <a:avLst/>
                    </a:prstGeom>
                  </pic:spPr>
                </pic:pic>
              </a:graphicData>
            </a:graphic>
          </wp:inline>
        </w:drawing>
      </w:r>
    </w:p>
    <w:p>
      <w:pPr>
        <w:spacing w:before="103" w:line="300" w:lineRule="exact"/>
        <w:ind w:left="418"/>
        <w:rPr>
          <w:rFonts w:ascii="Microsoft YaHei" w:eastAsia="Microsoft YaHei" w:hAnsi="Microsoft YaHei" w:cs="Microsoft YaHei"/>
          <w:sz w:val="29"/>
          <w:szCs w:val="29"/>
        </w:rPr>
      </w:pPr>
      <w:r>
        <w:rPr>
          <w:rFonts w:ascii="Microsoft YaHei" w:eastAsia="Microsoft YaHei" w:hAnsi="Microsoft YaHei" w:cs="Microsoft YaHei"/>
          <w:color w:val="373737"/>
          <w:spacing w:val="26"/>
          <w:position w:val="-1"/>
          <w:sz w:val="29"/>
          <w:szCs w:val="29"/>
        </w:rPr>
        <w:t>文本</w:t>
      </w:r>
    </w:p>
    <w:p>
      <w:pPr>
        <w:spacing w:line="14" w:lineRule="auto"/>
        <w:rPr>
          <w:rFonts w:ascii="Arial"/>
          <w:sz w:val="2"/>
        </w:rPr>
      </w:pPr>
      <w:r>
        <w:rPr>
          <w:rFonts w:ascii="Arial" w:eastAsia="Arial" w:hAnsi="Arial" w:cs="Arial"/>
          <w:sz w:val="2"/>
          <w:szCs w:val="2"/>
        </w:rPr>
        <w:br w:type="column"/>
      </w:r>
    </w:p>
    <w:p>
      <w:pPr>
        <w:pStyle w:val="BodyText"/>
        <w:spacing w:before="41" w:line="221" w:lineRule="auto"/>
      </w:pPr>
      <w:r>
        <w:rPr>
          <w:spacing w:val="-1"/>
        </w:rPr>
        <w:t>可观测制造元素</w:t>
      </w:r>
    </w:p>
    <w:p>
      <w:pPr>
        <w:pStyle w:val="BodyText"/>
        <w:spacing w:before="147" w:line="221" w:lineRule="auto"/>
        <w:ind w:left="5"/>
      </w:pPr>
      <w:r>
        <w:rPr>
          <w:spacing w:val="-3"/>
        </w:rPr>
        <w:t>（实线</w:t>
      </w:r>
      <w:r>
        <w:rPr>
          <w:spacing w:val="-43"/>
        </w:rPr>
        <w:t>）：</w:t>
      </w:r>
      <w:r>
        <w:rPr>
          <w:spacing w:val="-3"/>
        </w:rPr>
        <w:t>在数字孪生范围内</w:t>
      </w:r>
    </w:p>
    <w:p>
      <w:pPr>
        <w:pStyle w:val="BodyText"/>
        <w:spacing w:before="149" w:line="401" w:lineRule="exact"/>
        <w:ind w:left="5"/>
      </w:pPr>
      <w:r>
        <w:rPr>
          <w:spacing w:val="-4"/>
          <w:position w:val="14"/>
        </w:rPr>
        <w:t>（虚线</w:t>
      </w:r>
      <w:r>
        <w:rPr>
          <w:spacing w:val="-41"/>
          <w:position w:val="14"/>
        </w:rPr>
        <w:t>）：</w:t>
      </w:r>
      <w:r>
        <w:rPr>
          <w:spacing w:val="-4"/>
          <w:position w:val="14"/>
        </w:rPr>
        <w:t>超出数字孪生的范围</w:t>
      </w:r>
    </w:p>
    <w:p>
      <w:pPr>
        <w:pStyle w:val="BodyText"/>
        <w:spacing w:before="1" w:line="205" w:lineRule="auto"/>
      </w:pPr>
      <w:r>
        <w:rPr>
          <w:spacing w:val="-1"/>
        </w:rPr>
        <w:t>示例协议</w:t>
      </w:r>
      <w:r>
        <w:rPr>
          <w:rFonts w:ascii="Calibri" w:eastAsia="Calibri" w:hAnsi="Calibri" w:cs="Calibri"/>
          <w:spacing w:val="-1"/>
        </w:rPr>
        <w:t>/</w:t>
      </w:r>
      <w:r>
        <w:rPr>
          <w:spacing w:val="-1"/>
        </w:rPr>
        <w:t>实现</w:t>
      </w:r>
    </w:p>
    <w:p>
      <w:pPr>
        <w:spacing w:line="205" w:lineRule="auto"/>
        <w:sectPr>
          <w:headerReference w:type="default" r:id="rId40"/>
          <w:footerReference w:type="default" r:id="rId41"/>
          <w:type w:val="continuous"/>
          <w:pgSz w:w="11907" w:h="16839"/>
          <w:pgMar w:top="1659" w:right="1417" w:bottom="1310" w:left="1135" w:header="1448" w:footer="1133" w:gutter="0"/>
          <w:pgNumType w:start="15"/>
          <w:cols w:num="2" w:space="708" w:equalWidth="0">
            <w:col w:w="1167" w:space="100"/>
            <w:col w:w="8087" w:space="0"/>
          </w:cols>
        </w:sectPr>
      </w:pPr>
    </w:p>
    <w:p>
      <w:pPr>
        <w:spacing w:before="211" w:line="186" w:lineRule="auto"/>
        <w:ind w:left="3835"/>
        <w:rPr>
          <w:rFonts w:ascii="SimHei" w:eastAsia="SimHei" w:hAnsi="SimHei" w:cs="SimHei"/>
          <w:sz w:val="21"/>
          <w:szCs w:val="21"/>
        </w:rPr>
      </w:pPr>
      <w:r>
        <w:rPr>
          <w:rFonts w:ascii="SimHei" w:eastAsia="SimHei" w:hAnsi="SimHei" w:cs="SimHei"/>
          <w:spacing w:val="-3"/>
          <w:sz w:val="21"/>
          <w:szCs w:val="21"/>
        </w:rPr>
        <w:t>图A.1</w:t>
      </w:r>
      <w:r>
        <w:rPr>
          <w:rFonts w:ascii="SimHei" w:eastAsia="SimHei" w:hAnsi="SimHei" w:cs="SimHei"/>
          <w:spacing w:val="-33"/>
          <w:sz w:val="21"/>
          <w:szCs w:val="21"/>
        </w:rPr>
        <w:t xml:space="preserve"> </w:t>
      </w:r>
      <w:r>
        <w:rPr>
          <w:rFonts w:ascii="SimHei" w:eastAsia="SimHei" w:hAnsi="SimHei" w:cs="SimHei"/>
          <w:spacing w:val="-3"/>
          <w:sz w:val="21"/>
          <w:szCs w:val="21"/>
        </w:rPr>
        <w:t>信息交换示例</w:t>
      </w:r>
    </w:p>
    <w:p>
      <w:pPr>
        <w:spacing w:line="186" w:lineRule="auto"/>
        <w:rPr>
          <w:rFonts w:ascii="SimHei" w:eastAsia="SimHei" w:hAnsi="SimHei" w:cs="SimHei"/>
          <w:sz w:val="21"/>
          <w:szCs w:val="21"/>
        </w:rPr>
        <w:sectPr>
          <w:headerReference w:type="default" r:id="rId42"/>
          <w:footerReference w:type="default" r:id="rId43"/>
          <w:type w:val="continuous"/>
          <w:pgSz w:w="11907" w:h="16839"/>
          <w:pgMar w:top="1659" w:right="1417" w:bottom="1310" w:left="1135" w:header="1448" w:footer="1133" w:gutter="0"/>
          <w:pgNumType w:start="16"/>
          <w:cols w:num="1" w:space="708" w:equalWidth="0">
            <w:col w:w="9354" w:space="0"/>
          </w:cols>
        </w:sectPr>
      </w:pPr>
    </w:p>
    <w:p>
      <w:pPr>
        <w:spacing w:line="338" w:lineRule="auto"/>
        <w:rPr>
          <w:rFonts w:ascii="Arial"/>
          <w:sz w:val="21"/>
        </w:rPr>
      </w:pPr>
    </w:p>
    <w:p>
      <w:pPr>
        <w:pStyle w:val="BodyText"/>
        <w:spacing w:before="68" w:line="221" w:lineRule="auto"/>
        <w:ind w:left="446"/>
      </w:pPr>
      <w:r>
        <w:rPr>
          <w:spacing w:val="-7"/>
        </w:rPr>
        <w:t>图</w:t>
      </w:r>
      <w:r>
        <w:rPr>
          <w:spacing w:val="-46"/>
        </w:rPr>
        <w:t xml:space="preserve"> </w:t>
      </w:r>
      <w:r>
        <w:rPr>
          <w:rFonts w:ascii="Calibri" w:eastAsia="Calibri" w:hAnsi="Calibri" w:cs="Calibri"/>
          <w:spacing w:val="-7"/>
        </w:rPr>
        <w:t>A.1</w:t>
      </w:r>
      <w:r>
        <w:rPr>
          <w:rFonts w:ascii="Calibri" w:eastAsia="Calibri" w:hAnsi="Calibri" w:cs="Calibri"/>
          <w:spacing w:val="32"/>
        </w:rPr>
        <w:t xml:space="preserve"> </w:t>
      </w:r>
      <w:r>
        <w:rPr>
          <w:spacing w:val="-7"/>
        </w:rPr>
        <w:t>中有两种</w:t>
      </w:r>
      <w:r>
        <w:rPr>
          <w:spacing w:val="-43"/>
        </w:rPr>
        <w:t xml:space="preserve"> </w:t>
      </w:r>
      <w:r>
        <w:rPr>
          <w:rFonts w:ascii="Calibri" w:eastAsia="Calibri" w:hAnsi="Calibri" w:cs="Calibri"/>
          <w:spacing w:val="-7"/>
        </w:rPr>
        <w:t>OME</w:t>
      </w:r>
      <w:r>
        <w:rPr>
          <w:rFonts w:ascii="Calibri" w:eastAsia="Calibri" w:hAnsi="Calibri" w:cs="Calibri"/>
          <w:spacing w:val="15"/>
        </w:rPr>
        <w:t xml:space="preserve"> </w:t>
      </w:r>
      <w:r>
        <w:rPr>
          <w:spacing w:val="-7"/>
        </w:rPr>
        <w:t>配置。</w:t>
      </w:r>
    </w:p>
    <w:p>
      <w:pPr>
        <w:pStyle w:val="BodyText"/>
        <w:spacing w:before="59" w:line="221" w:lineRule="auto"/>
        <w:ind w:left="428"/>
      </w:pPr>
      <w:r>
        <w:rPr>
          <w:spacing w:val="-2"/>
        </w:rPr>
        <w:t>——在第一种配置（即左边的设备通信实体/OME）中，</w:t>
      </w:r>
      <w:r>
        <w:rPr>
          <w:spacing w:val="-33"/>
        </w:rPr>
        <w:t xml:space="preserve"> </w:t>
      </w:r>
      <w:r>
        <w:rPr>
          <w:spacing w:val="-2"/>
        </w:rPr>
        <w:t>数据由设备通信实体通过邻近网络收集，</w:t>
      </w:r>
    </w:p>
    <w:p>
      <w:pPr>
        <w:pStyle w:val="BodyText"/>
        <w:spacing w:before="62" w:line="247" w:lineRule="auto"/>
        <w:ind w:left="856" w:right="48" w:firstLine="5"/>
      </w:pPr>
      <w:r>
        <w:rPr>
          <w:spacing w:val="-4"/>
        </w:rPr>
        <w:t>并通过接入网络发送给数字孪生实体。OME 由用户实体通过遗留通信渠道进行控制。例如， G</w:t>
      </w:r>
      <w:r>
        <w:rPr>
          <w:spacing w:val="10"/>
        </w:rPr>
        <w:t xml:space="preserve"> </w:t>
      </w:r>
      <w:r>
        <w:rPr>
          <w:spacing w:val="-5"/>
        </w:rPr>
        <w:t>代码文件先由</w:t>
      </w:r>
      <w:r>
        <w:rPr>
          <w:spacing w:val="-45"/>
        </w:rPr>
        <w:t xml:space="preserve"> </w:t>
      </w:r>
      <w:r>
        <w:rPr>
          <w:spacing w:val="-5"/>
        </w:rPr>
        <w:t>PLM</w:t>
      </w:r>
      <w:r>
        <w:rPr>
          <w:spacing w:val="-38"/>
        </w:rPr>
        <w:t xml:space="preserve"> </w:t>
      </w:r>
      <w:r>
        <w:rPr>
          <w:spacing w:val="-5"/>
        </w:rPr>
        <w:t>写入，</w:t>
      </w:r>
      <w:r>
        <w:rPr>
          <w:spacing w:val="-21"/>
        </w:rPr>
        <w:t xml:space="preserve"> </w:t>
      </w:r>
      <w:r>
        <w:rPr>
          <w:spacing w:val="-5"/>
        </w:rPr>
        <w:t>再由操作员加载到控件当中。</w:t>
      </w:r>
    </w:p>
    <w:p>
      <w:pPr>
        <w:pStyle w:val="BodyText"/>
        <w:spacing w:before="60" w:line="256" w:lineRule="auto"/>
        <w:ind w:left="855" w:right="98" w:hanging="427"/>
      </w:pPr>
      <w:r>
        <w:rPr>
          <w:spacing w:val="-1"/>
        </w:rPr>
        <w:t>——在第二种配置（即右边的设备通信实体/OME）中</w:t>
      </w:r>
      <w:r>
        <w:rPr>
          <w:spacing w:val="-2"/>
        </w:rPr>
        <w:t>，</w:t>
      </w:r>
      <w:r>
        <w:rPr>
          <w:spacing w:val="-34"/>
        </w:rPr>
        <w:t xml:space="preserve"> </w:t>
      </w:r>
      <w:r>
        <w:rPr>
          <w:spacing w:val="-2"/>
        </w:rPr>
        <w:t>数据由单一系统内的设备通信实体直接收</w:t>
      </w:r>
      <w:r>
        <w:t xml:space="preserve"> </w:t>
      </w:r>
      <w:r>
        <w:rPr>
          <w:spacing w:val="-3"/>
        </w:rPr>
        <w:t>集，并通过接入网络发送给数字孪生实体。例如， 现代化</w:t>
      </w:r>
      <w:r>
        <w:rPr>
          <w:spacing w:val="-37"/>
        </w:rPr>
        <w:t xml:space="preserve"> </w:t>
      </w:r>
      <w:r>
        <w:rPr>
          <w:spacing w:val="-3"/>
        </w:rPr>
        <w:t>CNC</w:t>
      </w:r>
      <w:r>
        <w:rPr>
          <w:spacing w:val="-47"/>
        </w:rPr>
        <w:t xml:space="preserve"> </w:t>
      </w:r>
      <w:r>
        <w:rPr>
          <w:spacing w:val="-3"/>
        </w:rPr>
        <w:t>控件可支持直接数字控制的数</w:t>
      </w:r>
      <w:r>
        <w:t xml:space="preserve"> </w:t>
      </w:r>
      <w:r>
        <w:rPr>
          <w:spacing w:val="-1"/>
        </w:rPr>
        <w:t>据输入，和</w:t>
      </w:r>
      <w:r>
        <w:rPr>
          <w:spacing w:val="-44"/>
        </w:rPr>
        <w:t xml:space="preserve"> </w:t>
      </w:r>
      <w:r>
        <w:rPr>
          <w:spacing w:val="-1"/>
        </w:rPr>
        <w:t>MTConnect</w:t>
      </w:r>
      <w:r>
        <w:rPr>
          <w:spacing w:val="-45"/>
        </w:rPr>
        <w:t xml:space="preserve"> </w:t>
      </w:r>
      <w:r>
        <w:rPr>
          <w:spacing w:val="-1"/>
        </w:rPr>
        <w:t>报告结果。</w:t>
      </w:r>
    </w:p>
    <w:p>
      <w:pPr>
        <w:spacing w:before="219" w:line="219" w:lineRule="auto"/>
        <w:rPr>
          <w:rFonts w:ascii="SimHei" w:eastAsia="SimHei" w:hAnsi="SimHei" w:cs="SimHei"/>
          <w:sz w:val="21"/>
          <w:szCs w:val="21"/>
        </w:rPr>
      </w:pPr>
      <w:r>
        <w:rPr>
          <w:rFonts w:ascii="SimHei" w:eastAsia="SimHei" w:hAnsi="SimHei" w:cs="SimHei"/>
          <w:sz w:val="21"/>
          <w:szCs w:val="21"/>
        </w:rPr>
        <w:t>A.2.2</w:t>
      </w:r>
      <w:r>
        <w:rPr>
          <w:rFonts w:ascii="SimHei" w:eastAsia="SimHei" w:hAnsi="SimHei" w:cs="SimHei"/>
          <w:sz w:val="21"/>
          <w:szCs w:val="21"/>
        </w:rPr>
        <w:t xml:space="preserve">  </w:t>
      </w:r>
      <w:r>
        <w:rPr>
          <w:rFonts w:ascii="SimHei" w:eastAsia="SimHei" w:hAnsi="SimHei" w:cs="SimHei"/>
          <w:sz w:val="21"/>
          <w:szCs w:val="21"/>
        </w:rPr>
        <w:t>用户网络中信息交换的实施方案</w:t>
      </w:r>
    </w:p>
    <w:p>
      <w:pPr>
        <w:pStyle w:val="BodyText"/>
        <w:spacing w:before="307" w:line="221" w:lineRule="auto"/>
        <w:ind w:left="427"/>
      </w:pPr>
      <w:r>
        <w:rPr>
          <w:spacing w:val="-1"/>
        </w:rPr>
        <w:t>用户网络中信息交换的实施方案如下：</w:t>
      </w:r>
    </w:p>
    <w:p>
      <w:pPr>
        <w:pStyle w:val="BodyText"/>
        <w:spacing w:before="61" w:line="220" w:lineRule="auto"/>
        <w:ind w:left="428"/>
      </w:pPr>
      <w:r>
        <w:rPr>
          <w:spacing w:val="-1"/>
        </w:rPr>
        <w:t>——关于信息交换的标准化方法，数字孪生实体可使用</w:t>
      </w:r>
      <w:r>
        <w:rPr>
          <w:spacing w:val="-51"/>
        </w:rPr>
        <w:t xml:space="preserve"> </w:t>
      </w:r>
      <w:r>
        <w:rPr>
          <w:spacing w:val="-1"/>
        </w:rPr>
        <w:t>HTTP</w:t>
      </w:r>
      <w:r>
        <w:rPr>
          <w:spacing w:val="-44"/>
        </w:rPr>
        <w:t xml:space="preserve"> </w:t>
      </w:r>
      <w:r>
        <w:rPr>
          <w:spacing w:val="-1"/>
        </w:rPr>
        <w:t>或</w:t>
      </w:r>
      <w:r>
        <w:rPr>
          <w:spacing w:val="-45"/>
        </w:rPr>
        <w:t xml:space="preserve"> </w:t>
      </w:r>
      <w:r>
        <w:rPr>
          <w:spacing w:val="-1"/>
        </w:rPr>
        <w:t>REST</w:t>
      </w:r>
      <w:r>
        <w:rPr>
          <w:spacing w:val="-42"/>
        </w:rPr>
        <w:t xml:space="preserve"> </w:t>
      </w:r>
      <w:r>
        <w:rPr>
          <w:spacing w:val="-1"/>
        </w:rPr>
        <w:t>为用户实体提供网络</w:t>
      </w:r>
      <w:r>
        <w:rPr>
          <w:spacing w:val="-2"/>
        </w:rPr>
        <w:t>服务；</w:t>
      </w:r>
    </w:p>
    <w:p>
      <w:pPr>
        <w:pStyle w:val="BodyText"/>
        <w:spacing w:before="62" w:line="221" w:lineRule="auto"/>
        <w:ind w:left="428"/>
      </w:pPr>
      <w:r>
        <w:rPr>
          <w:spacing w:val="-1"/>
        </w:rPr>
        <w:t>——数字孪生实体可为用户实体对开放式</w:t>
      </w:r>
      <w:r>
        <w:rPr>
          <w:spacing w:val="-32"/>
        </w:rPr>
        <w:t xml:space="preserve"> </w:t>
      </w:r>
      <w:r>
        <w:rPr>
          <w:spacing w:val="-1"/>
        </w:rPr>
        <w:t>API</w:t>
      </w:r>
      <w:r>
        <w:rPr>
          <w:spacing w:val="-48"/>
        </w:rPr>
        <w:t xml:space="preserve"> </w:t>
      </w:r>
      <w:r>
        <w:rPr>
          <w:spacing w:val="-1"/>
        </w:rPr>
        <w:t>进行定义。网络接口是开放式</w:t>
      </w:r>
      <w:r>
        <w:rPr>
          <w:spacing w:val="-50"/>
        </w:rPr>
        <w:t xml:space="preserve"> </w:t>
      </w:r>
      <w:r>
        <w:rPr>
          <w:spacing w:val="-1"/>
        </w:rPr>
        <w:t>API</w:t>
      </w:r>
      <w:r>
        <w:rPr>
          <w:spacing w:val="-29"/>
        </w:rPr>
        <w:t xml:space="preserve"> </w:t>
      </w:r>
      <w:r>
        <w:rPr>
          <w:spacing w:val="-1"/>
        </w:rPr>
        <w:t>的一个示例；</w:t>
      </w:r>
    </w:p>
    <w:p>
      <w:pPr>
        <w:pStyle w:val="BodyText"/>
        <w:spacing w:before="60" w:line="221" w:lineRule="auto"/>
        <w:ind w:left="428"/>
      </w:pPr>
      <w:r>
        <w:rPr>
          <w:spacing w:val="-1"/>
        </w:rPr>
        <w:t>——数字孪生实体和用户实体可使用数据库或云进行信息共享或交换；</w:t>
      </w:r>
    </w:p>
    <w:p>
      <w:pPr>
        <w:pStyle w:val="BodyText"/>
        <w:spacing w:before="62" w:line="247" w:lineRule="auto"/>
        <w:ind w:left="855" w:right="101" w:hanging="427"/>
      </w:pPr>
      <w:r>
        <w:t>——数字孪生实体可以与</w:t>
      </w:r>
      <w:r>
        <w:rPr>
          <w:spacing w:val="-47"/>
        </w:rPr>
        <w:t xml:space="preserve"> </w:t>
      </w:r>
      <w:r>
        <w:t>PLM、MES、ERP</w:t>
      </w:r>
      <w:r>
        <w:rPr>
          <w:spacing w:val="-43"/>
        </w:rPr>
        <w:t xml:space="preserve"> </w:t>
      </w:r>
      <w:r>
        <w:t>等应用程序进行接口。数字孪生</w:t>
      </w:r>
      <w:r>
        <w:rPr>
          <w:spacing w:val="-1"/>
        </w:rPr>
        <w:t>实体可通过与这些应用</w:t>
      </w:r>
      <w:r>
        <w:t xml:space="preserve"> </w:t>
      </w:r>
      <w:r>
        <w:rPr>
          <w:spacing w:val="-2"/>
        </w:rPr>
        <w:t>程序的接口获得与制造相关的数据；</w:t>
      </w:r>
    </w:p>
    <w:p>
      <w:pPr>
        <w:pStyle w:val="BodyText"/>
        <w:spacing w:before="61" w:line="261" w:lineRule="auto"/>
        <w:ind w:left="855" w:right="48" w:hanging="427"/>
      </w:pPr>
      <w:r>
        <w:rPr>
          <w:spacing w:val="-1"/>
        </w:rPr>
        <w:t>——用于应用制造信息的标准包括</w:t>
      </w:r>
      <w:r>
        <w:rPr>
          <w:spacing w:val="-33"/>
        </w:rPr>
        <w:t xml:space="preserve"> </w:t>
      </w:r>
      <w:r>
        <w:rPr>
          <w:spacing w:val="-1"/>
        </w:rPr>
        <w:t>IEC 62264</w:t>
      </w:r>
      <w:r>
        <w:rPr>
          <w:spacing w:val="-42"/>
        </w:rPr>
        <w:t xml:space="preserve"> </w:t>
      </w:r>
      <w:r>
        <w:rPr>
          <w:spacing w:val="-1"/>
        </w:rPr>
        <w:t>系列（即</w:t>
      </w:r>
      <w:r>
        <w:rPr>
          <w:spacing w:val="-34"/>
        </w:rPr>
        <w:t xml:space="preserve"> </w:t>
      </w:r>
      <w:r>
        <w:rPr>
          <w:spacing w:val="-1"/>
        </w:rPr>
        <w:t>ISA-95</w:t>
      </w:r>
      <w:r>
        <w:rPr>
          <w:spacing w:val="-38"/>
        </w:rPr>
        <w:t>），</w:t>
      </w:r>
      <w:r>
        <w:rPr>
          <w:spacing w:val="-19"/>
        </w:rPr>
        <w:t xml:space="preserve"> </w:t>
      </w:r>
      <w:r>
        <w:rPr>
          <w:spacing w:val="-1"/>
        </w:rPr>
        <w:t>它定义了企业和</w:t>
      </w:r>
      <w:r>
        <w:rPr>
          <w:spacing w:val="-2"/>
        </w:rPr>
        <w:t>控制系统之间</w:t>
      </w:r>
      <w:r>
        <w:t xml:space="preserve"> </w:t>
      </w:r>
      <w:r>
        <w:rPr>
          <w:spacing w:val="-4"/>
        </w:rPr>
        <w:t>的自动化接口。</w:t>
      </w:r>
      <w:r>
        <w:rPr>
          <w:spacing w:val="-18"/>
        </w:rPr>
        <w:t xml:space="preserve"> </w:t>
      </w:r>
      <w:r>
        <w:rPr>
          <w:spacing w:val="-4"/>
        </w:rPr>
        <w:t>B2MML</w:t>
      </w:r>
      <w:r>
        <w:rPr>
          <w:spacing w:val="-41"/>
        </w:rPr>
        <w:t xml:space="preserve"> </w:t>
      </w:r>
      <w:r>
        <w:rPr>
          <w:spacing w:val="-4"/>
        </w:rPr>
        <w:t>是</w:t>
      </w:r>
      <w:r>
        <w:rPr>
          <w:spacing w:val="-35"/>
        </w:rPr>
        <w:t xml:space="preserve"> </w:t>
      </w:r>
      <w:r>
        <w:rPr>
          <w:spacing w:val="-4"/>
        </w:rPr>
        <w:t>IEC 62264</w:t>
      </w:r>
      <w:r>
        <w:rPr>
          <w:spacing w:val="-29"/>
        </w:rPr>
        <w:t xml:space="preserve"> </w:t>
      </w:r>
      <w:r>
        <w:rPr>
          <w:spacing w:val="-4"/>
        </w:rPr>
        <w:t>的</w:t>
      </w:r>
      <w:r>
        <w:rPr>
          <w:spacing w:val="-47"/>
        </w:rPr>
        <w:t xml:space="preserve"> </w:t>
      </w:r>
      <w:r>
        <w:rPr>
          <w:spacing w:val="-4"/>
        </w:rPr>
        <w:t>XML</w:t>
      </w:r>
      <w:r>
        <w:rPr>
          <w:spacing w:val="-38"/>
        </w:rPr>
        <w:t xml:space="preserve"> </w:t>
      </w:r>
      <w:r>
        <w:rPr>
          <w:spacing w:val="-4"/>
        </w:rPr>
        <w:t>实现。B2MML</w:t>
      </w:r>
      <w:r>
        <w:rPr>
          <w:spacing w:val="-43"/>
        </w:rPr>
        <w:t xml:space="preserve"> </w:t>
      </w:r>
      <w:r>
        <w:rPr>
          <w:spacing w:val="-4"/>
        </w:rPr>
        <w:t xml:space="preserve">可用于提取应用于数字孪生的制造  </w:t>
      </w:r>
      <w:r>
        <w:rPr>
          <w:spacing w:val="-3"/>
        </w:rPr>
        <w:t>信息（如资产跟踪、库存管理） 。ISO</w:t>
      </w:r>
      <w:r>
        <w:rPr>
          <w:spacing w:val="24"/>
        </w:rPr>
        <w:t xml:space="preserve"> </w:t>
      </w:r>
      <w:r>
        <w:rPr>
          <w:spacing w:val="-3"/>
        </w:rPr>
        <w:t>16100</w:t>
      </w:r>
      <w:r>
        <w:rPr>
          <w:spacing w:val="-42"/>
        </w:rPr>
        <w:t xml:space="preserve"> </w:t>
      </w:r>
      <w:r>
        <w:rPr>
          <w:spacing w:val="-3"/>
        </w:rPr>
        <w:t>系列对软件接口要求做了描</w:t>
      </w:r>
      <w:r>
        <w:rPr>
          <w:spacing w:val="-4"/>
        </w:rPr>
        <w:t>述，以支持制造软</w:t>
      </w:r>
      <w:r>
        <w:t xml:space="preserve">  </w:t>
      </w:r>
      <w:r>
        <w:rPr>
          <w:spacing w:val="-2"/>
        </w:rPr>
        <w:t>件工具（模块或系统）之间的互操作性。</w:t>
      </w:r>
      <w:r>
        <w:rPr>
          <w:spacing w:val="-20"/>
        </w:rPr>
        <w:t xml:space="preserve"> </w:t>
      </w:r>
      <w:r>
        <w:rPr>
          <w:spacing w:val="-2"/>
        </w:rPr>
        <w:t>ISO 1882</w:t>
      </w:r>
      <w:r>
        <w:rPr>
          <w:spacing w:val="-3"/>
        </w:rPr>
        <w:t>8</w:t>
      </w:r>
      <w:r>
        <w:rPr>
          <w:spacing w:val="-39"/>
        </w:rPr>
        <w:t xml:space="preserve"> </w:t>
      </w:r>
      <w:r>
        <w:rPr>
          <w:spacing w:val="-3"/>
        </w:rPr>
        <w:t>系列定义了无缝生产计划的信息；</w:t>
      </w:r>
    </w:p>
    <w:p>
      <w:pPr>
        <w:pStyle w:val="BodyText"/>
        <w:spacing w:before="61" w:line="247" w:lineRule="auto"/>
        <w:ind w:left="859" w:right="367" w:hanging="431"/>
      </w:pPr>
      <w:r>
        <w:rPr>
          <w:spacing w:val="-4"/>
        </w:rPr>
        <w:t>——支持可视化的标准包括</w:t>
      </w:r>
      <w:r>
        <w:rPr>
          <w:spacing w:val="-16"/>
        </w:rPr>
        <w:t xml:space="preserve"> </w:t>
      </w:r>
      <w:r>
        <w:rPr>
          <w:spacing w:val="-4"/>
        </w:rPr>
        <w:t>ISO</w:t>
      </w:r>
      <w:r>
        <w:rPr>
          <w:spacing w:val="25"/>
        </w:rPr>
        <w:t xml:space="preserve"> </w:t>
      </w:r>
      <w:r>
        <w:rPr>
          <w:spacing w:val="-4"/>
        </w:rPr>
        <w:t>14306（即</w:t>
      </w:r>
      <w:r>
        <w:rPr>
          <w:spacing w:val="-23"/>
        </w:rPr>
        <w:t xml:space="preserve"> </w:t>
      </w:r>
      <w:r>
        <w:rPr>
          <w:spacing w:val="-4"/>
        </w:rPr>
        <w:t>JT）。 ISO 14306</w:t>
      </w:r>
      <w:r>
        <w:rPr>
          <w:spacing w:val="-47"/>
        </w:rPr>
        <w:t xml:space="preserve"> </w:t>
      </w:r>
      <w:r>
        <w:rPr>
          <w:spacing w:val="-4"/>
        </w:rPr>
        <w:t>对文件格式的语法和语义作了定</w:t>
      </w:r>
      <w:r>
        <w:t xml:space="preserve"> </w:t>
      </w:r>
      <w:r>
        <w:rPr>
          <w:spacing w:val="-2"/>
        </w:rPr>
        <w:t>义，用于从</w:t>
      </w:r>
      <w:r>
        <w:rPr>
          <w:spacing w:val="-46"/>
        </w:rPr>
        <w:t xml:space="preserve"> </w:t>
      </w:r>
      <w:r>
        <w:rPr>
          <w:spacing w:val="-2"/>
        </w:rPr>
        <w:t>CAD</w:t>
      </w:r>
      <w:r>
        <w:rPr>
          <w:spacing w:val="-41"/>
        </w:rPr>
        <w:t xml:space="preserve"> </w:t>
      </w:r>
      <w:r>
        <w:rPr>
          <w:spacing w:val="-2"/>
        </w:rPr>
        <w:t>系统中获得的轻量级几何图形和产品制造信息的</w:t>
      </w:r>
      <w:r>
        <w:rPr>
          <w:spacing w:val="-40"/>
        </w:rPr>
        <w:t xml:space="preserve"> </w:t>
      </w:r>
      <w:r>
        <w:rPr>
          <w:spacing w:val="-2"/>
        </w:rPr>
        <w:t>3D</w:t>
      </w:r>
      <w:r>
        <w:rPr>
          <w:spacing w:val="-42"/>
        </w:rPr>
        <w:t xml:space="preserve"> </w:t>
      </w:r>
      <w:r>
        <w:rPr>
          <w:spacing w:val="-2"/>
        </w:rPr>
        <w:t>可视化</w:t>
      </w:r>
      <w:r>
        <w:rPr>
          <w:spacing w:val="-3"/>
        </w:rPr>
        <w:t>和查询；</w:t>
      </w:r>
    </w:p>
    <w:p>
      <w:pPr>
        <w:pStyle w:val="BodyText"/>
        <w:spacing w:before="62" w:line="221" w:lineRule="auto"/>
        <w:ind w:left="428"/>
      </w:pPr>
      <w:r>
        <w:rPr>
          <w:spacing w:val="-2"/>
        </w:rPr>
        <w:t>——CAD/CAM</w:t>
      </w:r>
      <w:r>
        <w:rPr>
          <w:spacing w:val="-30"/>
        </w:rPr>
        <w:t xml:space="preserve"> </w:t>
      </w:r>
      <w:r>
        <w:rPr>
          <w:spacing w:val="-2"/>
        </w:rPr>
        <w:t>信息可用于创建</w:t>
      </w:r>
      <w:r>
        <w:rPr>
          <w:spacing w:val="-47"/>
        </w:rPr>
        <w:t xml:space="preserve"> </w:t>
      </w:r>
      <w:r>
        <w:rPr>
          <w:spacing w:val="-2"/>
        </w:rPr>
        <w:t>OME</w:t>
      </w:r>
      <w:r>
        <w:rPr>
          <w:spacing w:val="-27"/>
        </w:rPr>
        <w:t xml:space="preserve"> </w:t>
      </w:r>
      <w:r>
        <w:rPr>
          <w:spacing w:val="-2"/>
        </w:rPr>
        <w:t>的数字模型。可用的标准包括</w:t>
      </w:r>
      <w:r>
        <w:rPr>
          <w:spacing w:val="-32"/>
        </w:rPr>
        <w:t xml:space="preserve"> </w:t>
      </w:r>
      <w:r>
        <w:rPr>
          <w:spacing w:val="-2"/>
        </w:rPr>
        <w:t>ISO 10303-242（即</w:t>
      </w:r>
      <w:r>
        <w:rPr>
          <w:spacing w:val="-21"/>
        </w:rPr>
        <w:t xml:space="preserve"> </w:t>
      </w:r>
      <w:r>
        <w:rPr>
          <w:spacing w:val="-2"/>
        </w:rPr>
        <w:t>STEP</w:t>
      </w:r>
    </w:p>
    <w:p>
      <w:pPr>
        <w:pStyle w:val="BodyText"/>
        <w:spacing w:before="61" w:line="221" w:lineRule="auto"/>
        <w:ind w:left="851"/>
      </w:pPr>
      <w:r>
        <w:rPr>
          <w:spacing w:val="-5"/>
        </w:rPr>
        <w:t>AP242）、 ISO</w:t>
      </w:r>
      <w:r>
        <w:rPr>
          <w:spacing w:val="24"/>
        </w:rPr>
        <w:t xml:space="preserve"> </w:t>
      </w:r>
      <w:r>
        <w:rPr>
          <w:spacing w:val="-5"/>
        </w:rPr>
        <w:t>10303-238（即 STEP AP238）、 ISO 10303-239（即</w:t>
      </w:r>
      <w:r>
        <w:rPr>
          <w:spacing w:val="-23"/>
        </w:rPr>
        <w:t xml:space="preserve"> </w:t>
      </w:r>
      <w:r>
        <w:rPr>
          <w:spacing w:val="-5"/>
        </w:rPr>
        <w:t>STEP AP239）以及</w:t>
      </w:r>
      <w:r>
        <w:rPr>
          <w:spacing w:val="-32"/>
        </w:rPr>
        <w:t xml:space="preserve"> </w:t>
      </w:r>
      <w:r>
        <w:rPr>
          <w:spacing w:val="-5"/>
        </w:rPr>
        <w:t>IEC</w:t>
      </w:r>
    </w:p>
    <w:p>
      <w:pPr>
        <w:pStyle w:val="BodyText"/>
        <w:spacing w:before="62" w:line="256" w:lineRule="auto"/>
        <w:ind w:left="861" w:right="118" w:hanging="2"/>
      </w:pPr>
      <w:r>
        <w:t>62714（即</w:t>
      </w:r>
      <w:r>
        <w:rPr>
          <w:spacing w:val="-31"/>
        </w:rPr>
        <w:t xml:space="preserve"> </w:t>
      </w:r>
      <w:r>
        <w:t>AutomationML)</w:t>
      </w:r>
      <w:r>
        <w:rPr>
          <w:spacing w:val="-1"/>
        </w:rPr>
        <w:t>。部分应用程序使用工厂布局（蓝图）来创建车间的初始数字模</w:t>
      </w:r>
      <w:r>
        <w:t xml:space="preserve">  </w:t>
      </w:r>
      <w:r>
        <w:rPr>
          <w:spacing w:val="-4"/>
        </w:rPr>
        <w:t>型。</w:t>
      </w:r>
      <w:r>
        <w:rPr>
          <w:spacing w:val="-15"/>
        </w:rPr>
        <w:t xml:space="preserve"> </w:t>
      </w:r>
      <w:r>
        <w:rPr>
          <w:spacing w:val="-4"/>
        </w:rPr>
        <w:t>3D</w:t>
      </w:r>
      <w:r>
        <w:rPr>
          <w:spacing w:val="-42"/>
        </w:rPr>
        <w:t xml:space="preserve"> </w:t>
      </w:r>
      <w:r>
        <w:rPr>
          <w:spacing w:val="-4"/>
        </w:rPr>
        <w:t>文件格式可用于存储</w:t>
      </w:r>
      <w:r>
        <w:rPr>
          <w:spacing w:val="-39"/>
        </w:rPr>
        <w:t xml:space="preserve"> </w:t>
      </w:r>
      <w:r>
        <w:rPr>
          <w:spacing w:val="-4"/>
        </w:rPr>
        <w:t>3D</w:t>
      </w:r>
      <w:r>
        <w:rPr>
          <w:spacing w:val="-48"/>
        </w:rPr>
        <w:t xml:space="preserve"> </w:t>
      </w:r>
      <w:r>
        <w:rPr>
          <w:spacing w:val="-4"/>
        </w:rPr>
        <w:t>模型的信息。部分流行格式是</w:t>
      </w:r>
      <w:r>
        <w:rPr>
          <w:spacing w:val="-43"/>
        </w:rPr>
        <w:t xml:space="preserve"> </w:t>
      </w:r>
      <w:r>
        <w:rPr>
          <w:spacing w:val="-4"/>
        </w:rPr>
        <w:t>STL，FBX</w:t>
      </w:r>
      <w:r>
        <w:rPr>
          <w:spacing w:val="-22"/>
        </w:rPr>
        <w:t xml:space="preserve"> </w:t>
      </w:r>
      <w:r>
        <w:rPr>
          <w:spacing w:val="-4"/>
        </w:rPr>
        <w:t>以及</w:t>
      </w:r>
      <w:r>
        <w:rPr>
          <w:spacing w:val="-48"/>
        </w:rPr>
        <w:t xml:space="preserve"> </w:t>
      </w:r>
      <w:r>
        <w:rPr>
          <w:spacing w:val="-4"/>
        </w:rPr>
        <w:t>COLLADA。用于</w:t>
      </w:r>
      <w:r>
        <w:t xml:space="preserve"> </w:t>
      </w:r>
      <w:r>
        <w:rPr>
          <w:spacing w:val="-2"/>
        </w:rPr>
        <w:t>3D</w:t>
      </w:r>
      <w:r>
        <w:rPr>
          <w:spacing w:val="-31"/>
        </w:rPr>
        <w:t xml:space="preserve"> </w:t>
      </w:r>
      <w:r>
        <w:rPr>
          <w:spacing w:val="-2"/>
        </w:rPr>
        <w:t>打印、视频游戏、电影、建筑、学术、医学、工程等领域；</w:t>
      </w:r>
    </w:p>
    <w:p>
      <w:pPr>
        <w:pStyle w:val="BodyText"/>
        <w:spacing w:before="61" w:line="247" w:lineRule="auto"/>
        <w:ind w:left="853" w:right="156" w:hanging="425"/>
      </w:pPr>
      <w:r>
        <w:rPr>
          <w:spacing w:val="-3"/>
        </w:rPr>
        <w:t>——若在文件中嵌入</w:t>
      </w:r>
      <w:r>
        <w:rPr>
          <w:spacing w:val="-39"/>
        </w:rPr>
        <w:t xml:space="preserve"> </w:t>
      </w:r>
      <w:r>
        <w:rPr>
          <w:spacing w:val="-3"/>
        </w:rPr>
        <w:t>3D</w:t>
      </w:r>
      <w:r>
        <w:rPr>
          <w:spacing w:val="-47"/>
        </w:rPr>
        <w:t xml:space="preserve"> </w:t>
      </w:r>
      <w:r>
        <w:rPr>
          <w:spacing w:val="-3"/>
        </w:rPr>
        <w:t>模型，可以使用</w:t>
      </w:r>
      <w:r>
        <w:rPr>
          <w:spacing w:val="-40"/>
        </w:rPr>
        <w:t xml:space="preserve"> </w:t>
      </w:r>
      <w:r>
        <w:rPr>
          <w:spacing w:val="-3"/>
        </w:rPr>
        <w:t>3D PDF</w:t>
      </w:r>
      <w:r>
        <w:rPr>
          <w:spacing w:val="-41"/>
        </w:rPr>
        <w:t xml:space="preserve"> </w:t>
      </w:r>
      <w:r>
        <w:rPr>
          <w:spacing w:val="-3"/>
        </w:rPr>
        <w:t>或</w:t>
      </w:r>
      <w:r>
        <w:rPr>
          <w:spacing w:val="-43"/>
        </w:rPr>
        <w:t xml:space="preserve"> </w:t>
      </w:r>
      <w:r>
        <w:rPr>
          <w:spacing w:val="-3"/>
        </w:rPr>
        <w:t>3D</w:t>
      </w:r>
      <w:r>
        <w:rPr>
          <w:spacing w:val="-43"/>
        </w:rPr>
        <w:t xml:space="preserve"> </w:t>
      </w:r>
      <w:r>
        <w:rPr>
          <w:spacing w:val="-3"/>
        </w:rPr>
        <w:t>渲染。</w:t>
      </w:r>
      <w:r>
        <w:rPr>
          <w:spacing w:val="-24"/>
        </w:rPr>
        <w:t xml:space="preserve"> </w:t>
      </w:r>
      <w:r>
        <w:rPr>
          <w:spacing w:val="-3"/>
        </w:rPr>
        <w:t>3D PDF</w:t>
      </w:r>
      <w:r>
        <w:rPr>
          <w:spacing w:val="-41"/>
        </w:rPr>
        <w:t xml:space="preserve"> </w:t>
      </w:r>
      <w:r>
        <w:rPr>
          <w:spacing w:val="-3"/>
        </w:rPr>
        <w:t>是一个包</w:t>
      </w:r>
      <w:r>
        <w:rPr>
          <w:spacing w:val="-4"/>
        </w:rPr>
        <w:t>含三维几何图形的</w:t>
      </w:r>
      <w:r>
        <w:t xml:space="preserve"> </w:t>
      </w:r>
      <w:r>
        <w:rPr>
          <w:spacing w:val="-3"/>
        </w:rPr>
        <w:t>PDF</w:t>
      </w:r>
      <w:r>
        <w:rPr>
          <w:spacing w:val="-31"/>
        </w:rPr>
        <w:t xml:space="preserve"> </w:t>
      </w:r>
      <w:r>
        <w:rPr>
          <w:spacing w:val="-3"/>
        </w:rPr>
        <w:t>文件。</w:t>
      </w:r>
      <w:r>
        <w:rPr>
          <w:spacing w:val="-27"/>
        </w:rPr>
        <w:t xml:space="preserve"> </w:t>
      </w:r>
      <w:r>
        <w:rPr>
          <w:spacing w:val="-3"/>
        </w:rPr>
        <w:t>3D</w:t>
      </w:r>
      <w:r>
        <w:rPr>
          <w:spacing w:val="-43"/>
        </w:rPr>
        <w:t xml:space="preserve"> </w:t>
      </w:r>
      <w:r>
        <w:rPr>
          <w:spacing w:val="-3"/>
        </w:rPr>
        <w:t>渲染则是在计算机或文件上将三维模型转换成二维图像的过程；</w:t>
      </w:r>
    </w:p>
    <w:p>
      <w:pPr>
        <w:pStyle w:val="BodyText"/>
        <w:spacing w:before="63" w:line="256" w:lineRule="auto"/>
        <w:ind w:left="855" w:right="81" w:hanging="427"/>
      </w:pPr>
      <w:r>
        <w:rPr>
          <w:spacing w:val="-3"/>
        </w:rPr>
        <w:t>——可通过网络、WebGL</w:t>
      </w:r>
      <w:r>
        <w:rPr>
          <w:spacing w:val="-44"/>
        </w:rPr>
        <w:t xml:space="preserve"> </w:t>
      </w:r>
      <w:r>
        <w:rPr>
          <w:spacing w:val="-3"/>
        </w:rPr>
        <w:t>或</w:t>
      </w:r>
      <w:r>
        <w:rPr>
          <w:spacing w:val="-44"/>
        </w:rPr>
        <w:t xml:space="preserve"> </w:t>
      </w:r>
      <w:r>
        <w:rPr>
          <w:spacing w:val="-3"/>
        </w:rPr>
        <w:t>OpenGL</w:t>
      </w:r>
      <w:r>
        <w:rPr>
          <w:spacing w:val="-44"/>
        </w:rPr>
        <w:t xml:space="preserve"> </w:t>
      </w:r>
      <w:r>
        <w:rPr>
          <w:spacing w:val="-3"/>
        </w:rPr>
        <w:t>提供图形信息。</w:t>
      </w:r>
      <w:r>
        <w:rPr>
          <w:spacing w:val="-37"/>
        </w:rPr>
        <w:t xml:space="preserve"> </w:t>
      </w:r>
      <w:r>
        <w:rPr>
          <w:spacing w:val="-3"/>
        </w:rPr>
        <w:t>WebGL</w:t>
      </w:r>
      <w:r>
        <w:rPr>
          <w:spacing w:val="-43"/>
        </w:rPr>
        <w:t xml:space="preserve"> </w:t>
      </w:r>
      <w:r>
        <w:rPr>
          <w:spacing w:val="-3"/>
        </w:rPr>
        <w:t>是渲染</w:t>
      </w:r>
      <w:r>
        <w:rPr>
          <w:spacing w:val="-42"/>
        </w:rPr>
        <w:t xml:space="preserve"> </w:t>
      </w:r>
      <w:r>
        <w:rPr>
          <w:spacing w:val="-3"/>
        </w:rPr>
        <w:t>2D/3D</w:t>
      </w:r>
      <w:r>
        <w:rPr>
          <w:spacing w:val="-23"/>
        </w:rPr>
        <w:t xml:space="preserve"> </w:t>
      </w:r>
      <w:r>
        <w:rPr>
          <w:spacing w:val="-3"/>
        </w:rPr>
        <w:t>图形的</w:t>
      </w:r>
      <w:r>
        <w:rPr>
          <w:spacing w:val="-44"/>
        </w:rPr>
        <w:t xml:space="preserve"> </w:t>
      </w:r>
      <w:r>
        <w:rPr>
          <w:spacing w:val="-3"/>
        </w:rPr>
        <w:t>JavaScript</w:t>
      </w:r>
      <w:r>
        <w:rPr>
          <w:spacing w:val="-4"/>
        </w:rPr>
        <w:t xml:space="preserve"> API；</w:t>
      </w:r>
      <w:r>
        <w:t xml:space="preserve"> </w:t>
      </w:r>
      <w:r>
        <w:rPr>
          <w:spacing w:val="-4"/>
        </w:rPr>
        <w:t>OpenGL</w:t>
      </w:r>
      <w:r>
        <w:rPr>
          <w:spacing w:val="-36"/>
        </w:rPr>
        <w:t xml:space="preserve"> </w:t>
      </w:r>
      <w:r>
        <w:rPr>
          <w:spacing w:val="-4"/>
        </w:rPr>
        <w:t>则是渲染</w:t>
      </w:r>
      <w:r>
        <w:rPr>
          <w:spacing w:val="-41"/>
        </w:rPr>
        <w:t xml:space="preserve"> </w:t>
      </w:r>
      <w:r>
        <w:rPr>
          <w:spacing w:val="-4"/>
        </w:rPr>
        <w:t>2D/3D</w:t>
      </w:r>
      <w:r>
        <w:rPr>
          <w:spacing w:val="-25"/>
        </w:rPr>
        <w:t xml:space="preserve"> </w:t>
      </w:r>
      <w:r>
        <w:rPr>
          <w:spacing w:val="-4"/>
        </w:rPr>
        <w:t>图形的</w:t>
      </w:r>
      <w:r>
        <w:rPr>
          <w:spacing w:val="-51"/>
        </w:rPr>
        <w:t xml:space="preserve"> </w:t>
      </w:r>
      <w:r>
        <w:rPr>
          <w:spacing w:val="-4"/>
        </w:rPr>
        <w:t>API。在其现代形式中，</w:t>
      </w:r>
      <w:r>
        <w:rPr>
          <w:spacing w:val="-21"/>
        </w:rPr>
        <w:t xml:space="preserve"> </w:t>
      </w:r>
      <w:r>
        <w:rPr>
          <w:spacing w:val="-4"/>
        </w:rPr>
        <w:t>OpenGL</w:t>
      </w:r>
      <w:r>
        <w:rPr>
          <w:spacing w:val="-41"/>
        </w:rPr>
        <w:t xml:space="preserve"> </w:t>
      </w:r>
      <w:r>
        <w:rPr>
          <w:spacing w:val="-4"/>
        </w:rPr>
        <w:t>是一个与可编程</w:t>
      </w:r>
      <w:r>
        <w:rPr>
          <w:spacing w:val="-46"/>
        </w:rPr>
        <w:t xml:space="preserve"> </w:t>
      </w:r>
      <w:r>
        <w:rPr>
          <w:spacing w:val="-4"/>
        </w:rPr>
        <w:t>GPU</w:t>
      </w:r>
      <w:r>
        <w:rPr>
          <w:spacing w:val="-47"/>
        </w:rPr>
        <w:t xml:space="preserve"> </w:t>
      </w:r>
      <w:r>
        <w:rPr>
          <w:spacing w:val="-4"/>
        </w:rPr>
        <w:t>接口的、</w:t>
      </w:r>
      <w:r>
        <w:t xml:space="preserve"> </w:t>
      </w:r>
      <w:r>
        <w:rPr>
          <w:spacing w:val="-2"/>
        </w:rPr>
        <w:t>旨在渲染实时</w:t>
      </w:r>
      <w:r>
        <w:rPr>
          <w:spacing w:val="-40"/>
        </w:rPr>
        <w:t xml:space="preserve"> </w:t>
      </w:r>
      <w:r>
        <w:rPr>
          <w:spacing w:val="-2"/>
        </w:rPr>
        <w:t>3d</w:t>
      </w:r>
      <w:r>
        <w:rPr>
          <w:spacing w:val="-23"/>
        </w:rPr>
        <w:t xml:space="preserve"> </w:t>
      </w:r>
      <w:r>
        <w:rPr>
          <w:spacing w:val="-2"/>
        </w:rPr>
        <w:t>图形的跨平台库。在游戏、CAD</w:t>
      </w:r>
      <w:r>
        <w:rPr>
          <w:spacing w:val="-20"/>
        </w:rPr>
        <w:t xml:space="preserve"> </w:t>
      </w:r>
      <w:r>
        <w:rPr>
          <w:spacing w:val="-2"/>
        </w:rPr>
        <w:t>以及数据可视化应用</w:t>
      </w:r>
      <w:r>
        <w:rPr>
          <w:spacing w:val="-3"/>
        </w:rPr>
        <w:t>中很常见；</w:t>
      </w:r>
    </w:p>
    <w:p>
      <w:pPr>
        <w:pStyle w:val="BodyText"/>
        <w:spacing w:before="61" w:line="247" w:lineRule="auto"/>
        <w:ind w:left="865" w:right="206" w:hanging="437"/>
      </w:pPr>
      <w:r>
        <w:rPr>
          <w:spacing w:val="1"/>
        </w:rPr>
        <w:t>——为描述数字孪生模型，可使用资产管理外壳（</w:t>
      </w:r>
      <w:r>
        <w:t>AAS</w:t>
      </w:r>
      <w:r>
        <w:rPr>
          <w:spacing w:val="-17"/>
        </w:rPr>
        <w:t>）（</w:t>
      </w:r>
      <w:r>
        <w:rPr>
          <w:spacing w:val="1"/>
        </w:rPr>
        <w:t xml:space="preserve">一种通用的元模型，以各种格式描述 </w:t>
      </w:r>
      <w:r>
        <w:rPr>
          <w:spacing w:val="-10"/>
        </w:rPr>
        <w:t>资产， 如</w:t>
      </w:r>
      <w:r>
        <w:rPr>
          <w:spacing w:val="-45"/>
        </w:rPr>
        <w:t xml:space="preserve"> </w:t>
      </w:r>
      <w:r>
        <w:rPr>
          <w:spacing w:val="-10"/>
        </w:rPr>
        <w:t>JSON、XML 以及</w:t>
      </w:r>
      <w:r>
        <w:rPr>
          <w:spacing w:val="-48"/>
        </w:rPr>
        <w:t xml:space="preserve"> </w:t>
      </w:r>
      <w:r>
        <w:rPr>
          <w:spacing w:val="-10"/>
        </w:rPr>
        <w:t>RDF</w:t>
      </w:r>
      <w:r>
        <w:rPr>
          <w:spacing w:val="-11"/>
        </w:rPr>
        <w:t>）；</w:t>
      </w:r>
    </w:p>
    <w:p>
      <w:pPr>
        <w:pStyle w:val="BodyText"/>
        <w:spacing w:before="61" w:line="257" w:lineRule="auto"/>
        <w:ind w:left="855" w:right="65" w:hanging="427"/>
        <w:sectPr>
          <w:headerReference w:type="default" r:id="rId44"/>
          <w:footerReference w:type="default" r:id="rId45"/>
          <w:pgSz w:w="11907" w:h="16839"/>
          <w:pgMar w:top="1659" w:right="1128" w:bottom="1310" w:left="1421" w:header="1448" w:footer="1133" w:gutter="0"/>
          <w:pgNumType w:start="17"/>
          <w:cols w:space="708"/>
        </w:sectPr>
      </w:pPr>
      <w:r>
        <w:rPr>
          <w:spacing w:val="-3"/>
        </w:rPr>
        <w:t>——支持验证的标准包括</w:t>
      </w:r>
      <w:r>
        <w:rPr>
          <w:spacing w:val="-32"/>
        </w:rPr>
        <w:t xml:space="preserve"> </w:t>
      </w:r>
      <w:r>
        <w:rPr>
          <w:spacing w:val="-3"/>
        </w:rPr>
        <w:t>ISO 23952（即</w:t>
      </w:r>
      <w:r>
        <w:rPr>
          <w:spacing w:val="-25"/>
        </w:rPr>
        <w:t xml:space="preserve"> </w:t>
      </w:r>
      <w:r>
        <w:rPr>
          <w:spacing w:val="-3"/>
        </w:rPr>
        <w:t>QIF）。 IS</w:t>
      </w:r>
      <w:r>
        <w:rPr>
          <w:spacing w:val="-4"/>
        </w:rPr>
        <w:t>O 23952</w:t>
      </w:r>
      <w:r>
        <w:rPr>
          <w:spacing w:val="-41"/>
        </w:rPr>
        <w:t xml:space="preserve"> </w:t>
      </w:r>
      <w:r>
        <w:rPr>
          <w:spacing w:val="-4"/>
        </w:rPr>
        <w:t>是一个</w:t>
      </w:r>
      <w:r>
        <w:rPr>
          <w:spacing w:val="-49"/>
        </w:rPr>
        <w:t xml:space="preserve"> </w:t>
      </w:r>
      <w:r>
        <w:rPr>
          <w:spacing w:val="-4"/>
        </w:rPr>
        <w:t>XML</w:t>
      </w:r>
      <w:r>
        <w:rPr>
          <w:spacing w:val="-47"/>
        </w:rPr>
        <w:t xml:space="preserve"> </w:t>
      </w:r>
      <w:r>
        <w:rPr>
          <w:spacing w:val="-4"/>
        </w:rPr>
        <w:t>基础的标准，对质量信息</w:t>
      </w:r>
      <w:r>
        <w:t xml:space="preserve"> </w:t>
      </w:r>
      <w:r>
        <w:rPr>
          <w:spacing w:val="-2"/>
        </w:rPr>
        <w:t>进行定义、组织以及关联。数字孪生可与测量值同步。通过</w:t>
      </w:r>
      <w:r>
        <w:rPr>
          <w:spacing w:val="-3"/>
        </w:rPr>
        <w:t>对</w:t>
      </w:r>
      <w:r>
        <w:rPr>
          <w:spacing w:val="-46"/>
        </w:rPr>
        <w:t xml:space="preserve"> </w:t>
      </w:r>
      <w:r>
        <w:rPr>
          <w:spacing w:val="-3"/>
        </w:rPr>
        <w:t>QIF</w:t>
      </w:r>
      <w:r>
        <w:rPr>
          <w:spacing w:val="-46"/>
        </w:rPr>
        <w:t xml:space="preserve"> </w:t>
      </w:r>
      <w:r>
        <w:rPr>
          <w:spacing w:val="-3"/>
        </w:rPr>
        <w:t>测量值的数据分析，</w:t>
      </w:r>
      <w:r>
        <w:rPr>
          <w:spacing w:val="-21"/>
        </w:rPr>
        <w:t xml:space="preserve"> </w:t>
      </w:r>
      <w:r>
        <w:rPr>
          <w:spacing w:val="-3"/>
        </w:rPr>
        <w:t>可提</w:t>
      </w:r>
      <w:r>
        <w:t xml:space="preserve"> </w:t>
      </w:r>
      <w:r>
        <w:rPr>
          <w:spacing w:val="-1"/>
        </w:rPr>
        <w:t>高预测结果的准确性。</w:t>
      </w:r>
    </w:p>
    <w:p>
      <w:pPr>
        <w:spacing w:before="217" w:line="219" w:lineRule="auto"/>
        <w:rPr>
          <w:rFonts w:ascii="SimHei" w:eastAsia="SimHei" w:hAnsi="SimHei" w:cs="SimHei"/>
          <w:sz w:val="21"/>
          <w:szCs w:val="21"/>
        </w:rPr>
      </w:pPr>
      <w:r>
        <w:rPr>
          <w:rFonts w:ascii="SimHei" w:eastAsia="SimHei" w:hAnsi="SimHei" w:cs="SimHei"/>
          <w:sz w:val="21"/>
          <w:szCs w:val="21"/>
        </w:rPr>
        <w:t>A.2.3</w:t>
      </w:r>
      <w:r>
        <w:rPr>
          <w:rFonts w:ascii="SimHei" w:eastAsia="SimHei" w:hAnsi="SimHei" w:cs="SimHei"/>
          <w:sz w:val="21"/>
          <w:szCs w:val="21"/>
        </w:rPr>
        <w:t xml:space="preserve">  </w:t>
      </w:r>
      <w:r>
        <w:rPr>
          <w:rFonts w:ascii="SimHei" w:eastAsia="SimHei" w:hAnsi="SimHei" w:cs="SimHei"/>
          <w:sz w:val="21"/>
          <w:szCs w:val="21"/>
        </w:rPr>
        <w:t>接入网络中信息交换的实施方案</w:t>
      </w:r>
    </w:p>
    <w:p>
      <w:pPr>
        <w:pStyle w:val="BodyText"/>
        <w:spacing w:before="305" w:line="221" w:lineRule="auto"/>
        <w:ind w:left="424"/>
      </w:pPr>
      <w:r>
        <w:rPr>
          <w:spacing w:val="-1"/>
        </w:rPr>
        <w:t>接入网络中信息交换的实施方案如下：</w:t>
      </w:r>
    </w:p>
    <w:p>
      <w:pPr>
        <w:pStyle w:val="BodyText"/>
        <w:spacing w:before="62" w:line="248" w:lineRule="auto"/>
        <w:ind w:left="855" w:right="208" w:hanging="427"/>
      </w:pPr>
      <w:r>
        <w:rPr>
          <w:spacing w:val="-1"/>
        </w:rPr>
        <w:t>——对于信息交换的标准化方法，用户实体可使用诸如</w:t>
      </w:r>
      <w:r>
        <w:rPr>
          <w:spacing w:val="-43"/>
        </w:rPr>
        <w:t xml:space="preserve"> </w:t>
      </w:r>
      <w:r>
        <w:rPr>
          <w:spacing w:val="-1"/>
        </w:rPr>
        <w:t>MTConnect</w:t>
      </w:r>
      <w:r>
        <w:rPr>
          <w:spacing w:val="-45"/>
        </w:rPr>
        <w:t xml:space="preserve"> </w:t>
      </w:r>
      <w:r>
        <w:rPr>
          <w:spacing w:val="-1"/>
        </w:rPr>
        <w:t>和</w:t>
      </w:r>
      <w:r>
        <w:rPr>
          <w:spacing w:val="-45"/>
        </w:rPr>
        <w:t xml:space="preserve"> </w:t>
      </w:r>
      <w:r>
        <w:rPr>
          <w:spacing w:val="-1"/>
        </w:rPr>
        <w:t>OPC-UA</w:t>
      </w:r>
      <w:r>
        <w:rPr>
          <w:spacing w:val="-26"/>
        </w:rPr>
        <w:t xml:space="preserve"> </w:t>
      </w:r>
      <w:r>
        <w:rPr>
          <w:spacing w:val="-1"/>
        </w:rPr>
        <w:t>的协议访问并操纵</w:t>
      </w:r>
      <w:r>
        <w:t xml:space="preserve"> </w:t>
      </w:r>
      <w:r>
        <w:rPr>
          <w:spacing w:val="-2"/>
        </w:rPr>
        <w:t>OME；</w:t>
      </w:r>
    </w:p>
    <w:p>
      <w:pPr>
        <w:spacing w:line="248" w:lineRule="auto"/>
        <w:sectPr>
          <w:headerReference w:type="default" r:id="rId46"/>
          <w:footerReference w:type="default" r:id="rId47"/>
          <w:type w:val="nextPage"/>
          <w:pgSz w:w="11907" w:h="16839"/>
          <w:pgMar w:top="1659" w:right="1128" w:bottom="1310" w:left="1421" w:header="1448" w:footer="1133" w:gutter="0"/>
          <w:pgNumType w:start="18"/>
          <w:cols w:space="708"/>
          <w:titlePg w:val="0"/>
        </w:sectPr>
      </w:pPr>
    </w:p>
    <w:p>
      <w:pPr>
        <w:spacing w:line="250" w:lineRule="auto"/>
        <w:rPr>
          <w:rFonts w:ascii="Arial"/>
          <w:sz w:val="21"/>
        </w:rPr>
      </w:pPr>
    </w:p>
    <w:p>
      <w:pPr>
        <w:pStyle w:val="BodyText"/>
        <w:spacing w:before="69" w:line="247" w:lineRule="auto"/>
        <w:ind w:left="858" w:right="52" w:hanging="429"/>
      </w:pPr>
      <w:r>
        <w:rPr>
          <w:spacing w:val="-1"/>
        </w:rPr>
        <w:t>——用户实体可使用</w:t>
      </w:r>
      <w:r>
        <w:rPr>
          <w:spacing w:val="-45"/>
        </w:rPr>
        <w:t xml:space="preserve"> </w:t>
      </w:r>
      <w:r>
        <w:rPr>
          <w:spacing w:val="-1"/>
        </w:rPr>
        <w:t>OPC-UA、OCF、LwM2M</w:t>
      </w:r>
      <w:r>
        <w:rPr>
          <w:spacing w:val="-20"/>
        </w:rPr>
        <w:t xml:space="preserve"> </w:t>
      </w:r>
      <w:r>
        <w:rPr>
          <w:spacing w:val="-1"/>
        </w:rPr>
        <w:t>以及</w:t>
      </w:r>
      <w:r>
        <w:rPr>
          <w:spacing w:val="-42"/>
        </w:rPr>
        <w:t xml:space="preserve"> </w:t>
      </w:r>
      <w:r>
        <w:rPr>
          <w:spacing w:val="-1"/>
        </w:rPr>
        <w:t>oneM2M</w:t>
      </w:r>
      <w:r>
        <w:rPr>
          <w:spacing w:val="-45"/>
        </w:rPr>
        <w:t xml:space="preserve"> </w:t>
      </w:r>
      <w:r>
        <w:rPr>
          <w:spacing w:val="-1"/>
        </w:rPr>
        <w:t>等协议访问并操作物联网设备（如传</w:t>
      </w:r>
      <w:r>
        <w:rPr>
          <w:spacing w:val="-2"/>
        </w:rPr>
        <w:t>感器</w:t>
      </w:r>
      <w:r>
        <w:t xml:space="preserve"> </w:t>
      </w:r>
      <w:r>
        <w:t>和执行器)。物联网协议对协议中交换的各种数据格</w:t>
      </w:r>
      <w:r>
        <w:rPr>
          <w:spacing w:val="-1"/>
        </w:rPr>
        <w:t>式作了定义；</w:t>
      </w:r>
    </w:p>
    <w:p>
      <w:pPr>
        <w:pStyle w:val="BodyText"/>
        <w:spacing w:before="61" w:line="247" w:lineRule="auto"/>
        <w:ind w:left="857" w:right="105" w:hanging="428"/>
      </w:pPr>
      <w:r>
        <w:rPr>
          <w:spacing w:val="-2"/>
        </w:rPr>
        <w:t>——支持同步的标准化数据格式包括</w:t>
      </w:r>
      <w:r>
        <w:rPr>
          <w:spacing w:val="-33"/>
        </w:rPr>
        <w:t xml:space="preserve"> </w:t>
      </w:r>
      <w:r>
        <w:rPr>
          <w:spacing w:val="-2"/>
        </w:rPr>
        <w:t>ISO/</w:t>
      </w:r>
      <w:r>
        <w:rPr>
          <w:spacing w:val="-3"/>
        </w:rPr>
        <w:t>ASTM52915（即</w:t>
      </w:r>
      <w:r>
        <w:rPr>
          <w:spacing w:val="-28"/>
        </w:rPr>
        <w:t xml:space="preserve"> </w:t>
      </w:r>
      <w:r>
        <w:rPr>
          <w:spacing w:val="-3"/>
        </w:rPr>
        <w:t>AMF）。</w:t>
      </w:r>
      <w:r>
        <w:rPr>
          <w:spacing w:val="-19"/>
        </w:rPr>
        <w:t xml:space="preserve"> </w:t>
      </w:r>
      <w:r>
        <w:rPr>
          <w:spacing w:val="-3"/>
        </w:rPr>
        <w:t>ISO/ASTM 52915</w:t>
      </w:r>
      <w:r>
        <w:rPr>
          <w:spacing w:val="-41"/>
        </w:rPr>
        <w:t xml:space="preserve"> </w:t>
      </w:r>
      <w:r>
        <w:rPr>
          <w:spacing w:val="-3"/>
        </w:rPr>
        <w:t>是一种</w:t>
      </w:r>
      <w:r>
        <w:rPr>
          <w:spacing w:val="-46"/>
        </w:rPr>
        <w:t xml:space="preserve"> </w:t>
      </w:r>
      <w:r>
        <w:rPr>
          <w:spacing w:val="-3"/>
        </w:rPr>
        <w:t>XML</w:t>
      </w:r>
      <w:r>
        <w:rPr>
          <w:spacing w:val="-44"/>
        </w:rPr>
        <w:t xml:space="preserve"> </w:t>
      </w:r>
      <w:r>
        <w:rPr>
          <w:spacing w:val="-3"/>
        </w:rPr>
        <w:t>基</w:t>
      </w:r>
      <w:r>
        <w:t xml:space="preserve"> </w:t>
      </w:r>
      <w:r>
        <w:rPr>
          <w:spacing w:val="-5"/>
        </w:rPr>
        <w:t>础的格式，</w:t>
      </w:r>
      <w:r>
        <w:rPr>
          <w:spacing w:val="-9"/>
        </w:rPr>
        <w:t xml:space="preserve"> </w:t>
      </w:r>
      <w:r>
        <w:rPr>
          <w:spacing w:val="-5"/>
        </w:rPr>
        <w:t>用于描述</w:t>
      </w:r>
      <w:r>
        <w:rPr>
          <w:spacing w:val="-39"/>
        </w:rPr>
        <w:t xml:space="preserve"> </w:t>
      </w:r>
      <w:r>
        <w:rPr>
          <w:spacing w:val="-5"/>
        </w:rPr>
        <w:t>3D</w:t>
      </w:r>
      <w:r>
        <w:rPr>
          <w:spacing w:val="-43"/>
        </w:rPr>
        <w:t xml:space="preserve"> </w:t>
      </w:r>
      <w:r>
        <w:rPr>
          <w:spacing w:val="-5"/>
        </w:rPr>
        <w:t>打印等增材制造过程中的对象；</w:t>
      </w:r>
    </w:p>
    <w:p>
      <w:pPr>
        <w:pStyle w:val="BodyText"/>
        <w:spacing w:before="62" w:line="247" w:lineRule="auto"/>
        <w:ind w:left="876" w:right="158" w:hanging="447"/>
      </w:pPr>
      <w:r>
        <w:rPr>
          <w:spacing w:val="-1"/>
        </w:rPr>
        <w:t>——用于支持</w:t>
      </w:r>
      <w:r>
        <w:rPr>
          <w:spacing w:val="-48"/>
        </w:rPr>
        <w:t xml:space="preserve"> </w:t>
      </w:r>
      <w:r>
        <w:rPr>
          <w:spacing w:val="-1"/>
        </w:rPr>
        <w:t>PUBLISH</w:t>
      </w:r>
      <w:r>
        <w:rPr>
          <w:spacing w:val="-43"/>
        </w:rPr>
        <w:t xml:space="preserve"> </w:t>
      </w:r>
      <w:r>
        <w:rPr>
          <w:spacing w:val="-1"/>
        </w:rPr>
        <w:t>方法的标准包括</w:t>
      </w:r>
      <w:r>
        <w:rPr>
          <w:spacing w:val="-32"/>
        </w:rPr>
        <w:t xml:space="preserve"> </w:t>
      </w:r>
      <w:r>
        <w:rPr>
          <w:spacing w:val="-1"/>
        </w:rPr>
        <w:t>ISO/IEC 20922（即</w:t>
      </w:r>
      <w:r>
        <w:rPr>
          <w:spacing w:val="-28"/>
        </w:rPr>
        <w:t xml:space="preserve"> </w:t>
      </w:r>
      <w:r>
        <w:rPr>
          <w:spacing w:val="-1"/>
        </w:rPr>
        <w:t>MQTT</w:t>
      </w:r>
      <w:r>
        <w:rPr>
          <w:spacing w:val="-38"/>
        </w:rPr>
        <w:t>），</w:t>
      </w:r>
      <w:r>
        <w:rPr>
          <w:spacing w:val="-22"/>
        </w:rPr>
        <w:t xml:space="preserve"> </w:t>
      </w:r>
      <w:r>
        <w:rPr>
          <w:spacing w:val="-1"/>
        </w:rPr>
        <w:t>其对</w:t>
      </w:r>
      <w:r>
        <w:rPr>
          <w:spacing w:val="-2"/>
        </w:rPr>
        <w:t>客户端服务器发布/订</w:t>
      </w:r>
      <w:r>
        <w:t xml:space="preserve"> </w:t>
      </w:r>
      <w:r>
        <w:rPr>
          <w:spacing w:val="-2"/>
        </w:rPr>
        <w:t>阅消息传输协议作了定义；</w:t>
      </w:r>
    </w:p>
    <w:p>
      <w:pPr>
        <w:pStyle w:val="BodyText"/>
        <w:spacing w:before="63" w:line="256" w:lineRule="auto"/>
        <w:ind w:left="859" w:hanging="430"/>
      </w:pPr>
      <w:r>
        <w:t>——为了支持近实时通信，可使用标准包括</w:t>
      </w:r>
      <w:r>
        <w:rPr>
          <w:spacing w:val="-33"/>
        </w:rPr>
        <w:t xml:space="preserve"> </w:t>
      </w:r>
      <w:r>
        <w:t xml:space="preserve">IEEE 802.1DF、IEC/IEEE </w:t>
      </w:r>
      <w:r>
        <w:rPr>
          <w:spacing w:val="-1"/>
        </w:rPr>
        <w:t>60802。这些标准定义了服</w:t>
      </w:r>
      <w:r>
        <w:t xml:space="preserve"> </w:t>
      </w:r>
      <w:r>
        <w:rPr>
          <w:spacing w:val="-2"/>
        </w:rPr>
        <w:t>务提供商网络和工业自动化的</w:t>
      </w:r>
      <w:r>
        <w:rPr>
          <w:spacing w:val="-47"/>
        </w:rPr>
        <w:t xml:space="preserve"> </w:t>
      </w:r>
      <w:r>
        <w:rPr>
          <w:spacing w:val="-2"/>
        </w:rPr>
        <w:t>TSN</w:t>
      </w:r>
      <w:r>
        <w:rPr>
          <w:spacing w:val="-44"/>
        </w:rPr>
        <w:t xml:space="preserve"> </w:t>
      </w:r>
      <w:r>
        <w:rPr>
          <w:spacing w:val="-2"/>
        </w:rPr>
        <w:t>服务。</w:t>
      </w:r>
      <w:r>
        <w:rPr>
          <w:spacing w:val="-33"/>
        </w:rPr>
        <w:t xml:space="preserve"> </w:t>
      </w:r>
      <w:r>
        <w:rPr>
          <w:spacing w:val="-2"/>
        </w:rPr>
        <w:t>TSN</w:t>
      </w:r>
      <w:r>
        <w:rPr>
          <w:spacing w:val="-43"/>
        </w:rPr>
        <w:t xml:space="preserve"> </w:t>
      </w:r>
      <w:r>
        <w:rPr>
          <w:spacing w:val="-2"/>
        </w:rPr>
        <w:t>是一个支持低</w:t>
      </w:r>
      <w:r>
        <w:rPr>
          <w:spacing w:val="-3"/>
        </w:rPr>
        <w:t>延迟、低延迟变化以及低数据包</w:t>
      </w:r>
      <w:r>
        <w:t xml:space="preserve">  </w:t>
      </w:r>
      <w:r>
        <w:rPr>
          <w:spacing w:val="-6"/>
        </w:rPr>
        <w:t>丢失的第</w:t>
      </w:r>
      <w:r>
        <w:rPr>
          <w:spacing w:val="-38"/>
        </w:rPr>
        <w:t xml:space="preserve"> </w:t>
      </w:r>
      <w:r>
        <w:rPr>
          <w:spacing w:val="-6"/>
        </w:rPr>
        <w:t>2</w:t>
      </w:r>
      <w:r>
        <w:rPr>
          <w:spacing w:val="-46"/>
        </w:rPr>
        <w:t xml:space="preserve"> </w:t>
      </w:r>
      <w:r>
        <w:rPr>
          <w:spacing w:val="-6"/>
        </w:rPr>
        <w:t>层协议；</w:t>
      </w:r>
    </w:p>
    <w:p>
      <w:pPr>
        <w:pStyle w:val="BodyText"/>
        <w:spacing w:before="60" w:line="221" w:lineRule="auto"/>
        <w:ind w:left="429"/>
      </w:pPr>
      <w:r>
        <w:rPr>
          <w:spacing w:val="-1"/>
        </w:rPr>
        <w:t>——对于安全性，可使用的算法包括</w:t>
      </w:r>
      <w:r>
        <w:rPr>
          <w:spacing w:val="-43"/>
        </w:rPr>
        <w:t xml:space="preserve"> </w:t>
      </w:r>
      <w:r>
        <w:rPr>
          <w:spacing w:val="-1"/>
        </w:rPr>
        <w:t>PSK、ECDHE、CBC、CCM、SHA</w:t>
      </w:r>
      <w:r>
        <w:rPr>
          <w:spacing w:val="-20"/>
        </w:rPr>
        <w:t xml:space="preserve"> </w:t>
      </w:r>
      <w:r>
        <w:rPr>
          <w:spacing w:val="-1"/>
        </w:rPr>
        <w:t>以及</w:t>
      </w:r>
      <w:r>
        <w:rPr>
          <w:spacing w:val="-46"/>
        </w:rPr>
        <w:t xml:space="preserve"> </w:t>
      </w:r>
      <w:r>
        <w:rPr>
          <w:spacing w:val="-1"/>
        </w:rPr>
        <w:t>RSA；</w:t>
      </w:r>
    </w:p>
    <w:p>
      <w:pPr>
        <w:pStyle w:val="BodyText"/>
        <w:spacing w:before="60" w:line="248" w:lineRule="auto"/>
        <w:ind w:left="857" w:right="155" w:hanging="428"/>
      </w:pPr>
      <w:r>
        <w:rPr>
          <w:spacing w:val="-2"/>
        </w:rPr>
        <w:t>——如果难以为边缘计算、云以及物联网数据等数据覆盖的服务作安全性应用，</w:t>
      </w:r>
      <w:r>
        <w:rPr>
          <w:spacing w:val="-14"/>
        </w:rPr>
        <w:t xml:space="preserve"> </w:t>
      </w:r>
      <w:r>
        <w:rPr>
          <w:spacing w:val="-2"/>
        </w:rPr>
        <w:t>则可使用迪菲-</w:t>
      </w:r>
      <w:r>
        <w:t xml:space="preserve"> </w:t>
      </w:r>
      <w:r>
        <w:rPr>
          <w:spacing w:val="-3"/>
        </w:rPr>
        <w:t>赫尔曼（Diffie</w:t>
      </w:r>
      <w:r>
        <w:rPr>
          <w:spacing w:val="-32"/>
        </w:rPr>
        <w:t xml:space="preserve"> </w:t>
      </w:r>
      <w:r>
        <w:rPr>
          <w:spacing w:val="-3"/>
        </w:rPr>
        <w:t>–Hellman）密钥交换协议。</w:t>
      </w:r>
    </w:p>
    <w:p>
      <w:pPr>
        <w:spacing w:before="217" w:line="219" w:lineRule="auto"/>
        <w:rPr>
          <w:rFonts w:ascii="SimHei" w:eastAsia="SimHei" w:hAnsi="SimHei" w:cs="SimHei"/>
          <w:sz w:val="21"/>
          <w:szCs w:val="21"/>
        </w:rPr>
      </w:pPr>
      <w:r>
        <w:rPr>
          <w:rFonts w:ascii="SimHei" w:eastAsia="SimHei" w:hAnsi="SimHei" w:cs="SimHei"/>
          <w:sz w:val="21"/>
          <w:szCs w:val="21"/>
        </w:rPr>
        <w:t>A.2.4</w:t>
      </w:r>
      <w:r>
        <w:rPr>
          <w:rFonts w:ascii="SimHei" w:eastAsia="SimHei" w:hAnsi="SimHei" w:cs="SimHei"/>
          <w:sz w:val="21"/>
          <w:szCs w:val="21"/>
        </w:rPr>
        <w:t xml:space="preserve">  </w:t>
      </w:r>
      <w:r>
        <w:rPr>
          <w:rFonts w:ascii="SimHei" w:eastAsia="SimHei" w:hAnsi="SimHei" w:cs="SimHei"/>
          <w:sz w:val="21"/>
          <w:szCs w:val="21"/>
        </w:rPr>
        <w:t>邻近网络中信息交换的实施方案</w:t>
      </w:r>
    </w:p>
    <w:p>
      <w:pPr>
        <w:pStyle w:val="BodyText"/>
        <w:spacing w:before="307" w:line="221" w:lineRule="auto"/>
        <w:ind w:left="425"/>
      </w:pPr>
      <w:r>
        <w:rPr>
          <w:spacing w:val="-1"/>
        </w:rPr>
        <w:t>邻近网络中信息交换的实施方案如下：</w:t>
      </w:r>
    </w:p>
    <w:p>
      <w:pPr>
        <w:pStyle w:val="BodyText"/>
        <w:spacing w:before="60" w:line="221" w:lineRule="auto"/>
        <w:ind w:left="429"/>
      </w:pPr>
      <w:r>
        <w:rPr>
          <w:spacing w:val="-3"/>
        </w:rPr>
        <w:t>——如果</w:t>
      </w:r>
      <w:r>
        <w:rPr>
          <w:spacing w:val="-29"/>
        </w:rPr>
        <w:t xml:space="preserve"> </w:t>
      </w:r>
      <w:r>
        <w:rPr>
          <w:spacing w:val="-3"/>
        </w:rPr>
        <w:t>OME</w:t>
      </w:r>
      <w:r>
        <w:rPr>
          <w:spacing w:val="-21"/>
        </w:rPr>
        <w:t xml:space="preserve"> </w:t>
      </w:r>
      <w:r>
        <w:rPr>
          <w:spacing w:val="-3"/>
        </w:rPr>
        <w:t>已支持诸如</w:t>
      </w:r>
      <w:r>
        <w:rPr>
          <w:spacing w:val="-50"/>
        </w:rPr>
        <w:t xml:space="preserve"> </w:t>
      </w:r>
      <w:r>
        <w:rPr>
          <w:spacing w:val="-3"/>
        </w:rPr>
        <w:t>MTConnect</w:t>
      </w:r>
      <w:r>
        <w:rPr>
          <w:spacing w:val="-44"/>
        </w:rPr>
        <w:t xml:space="preserve"> </w:t>
      </w:r>
      <w:r>
        <w:rPr>
          <w:spacing w:val="-3"/>
        </w:rPr>
        <w:t>或</w:t>
      </w:r>
      <w:r>
        <w:rPr>
          <w:spacing w:val="-44"/>
        </w:rPr>
        <w:t xml:space="preserve"> </w:t>
      </w:r>
      <w:r>
        <w:rPr>
          <w:spacing w:val="-3"/>
        </w:rPr>
        <w:t>OPC-UA</w:t>
      </w:r>
      <w:r>
        <w:rPr>
          <w:spacing w:val="-27"/>
        </w:rPr>
        <w:t xml:space="preserve"> </w:t>
      </w:r>
      <w:r>
        <w:rPr>
          <w:spacing w:val="-3"/>
        </w:rPr>
        <w:t>的协议，则不需要邻近网络；</w:t>
      </w:r>
    </w:p>
    <w:p>
      <w:pPr>
        <w:pStyle w:val="BodyText"/>
        <w:spacing w:before="60" w:line="249" w:lineRule="auto"/>
        <w:ind w:left="854" w:right="820" w:hanging="425"/>
      </w:pPr>
      <w:r>
        <w:rPr>
          <w:spacing w:val="-3"/>
        </w:rPr>
        <w:t>——为了支持本地连接，</w:t>
      </w:r>
      <w:r>
        <w:rPr>
          <w:spacing w:val="-11"/>
        </w:rPr>
        <w:t xml:space="preserve"> </w:t>
      </w:r>
      <w:r>
        <w:rPr>
          <w:spacing w:val="-3"/>
        </w:rPr>
        <w:t>OME</w:t>
      </w:r>
      <w:r>
        <w:rPr>
          <w:spacing w:val="-45"/>
        </w:rPr>
        <w:t xml:space="preserve"> </w:t>
      </w:r>
      <w:r>
        <w:rPr>
          <w:spacing w:val="-3"/>
        </w:rPr>
        <w:t>可连接专有网络或工业以太网（如</w:t>
      </w:r>
      <w:r>
        <w:rPr>
          <w:spacing w:val="-47"/>
        </w:rPr>
        <w:t xml:space="preserve"> </w:t>
      </w:r>
      <w:r>
        <w:rPr>
          <w:spacing w:val="-3"/>
        </w:rPr>
        <w:t>EtherCAT、以太网/IP、</w:t>
      </w:r>
      <w:r>
        <w:t xml:space="preserve"> </w:t>
      </w:r>
      <w:r>
        <w:t>Profinet、Modbus、RAPI</w:t>
      </w:r>
      <w:r>
        <w:rPr>
          <w:spacing w:val="-1"/>
        </w:rPr>
        <w:t>ENet</w:t>
      </w:r>
      <w:r>
        <w:rPr>
          <w:spacing w:val="-13"/>
        </w:rPr>
        <w:t>）；</w:t>
      </w:r>
    </w:p>
    <w:p>
      <w:pPr>
        <w:pStyle w:val="BodyText"/>
        <w:spacing w:before="60" w:line="247" w:lineRule="auto"/>
        <w:ind w:left="861" w:right="50" w:hanging="432"/>
      </w:pPr>
      <w:r>
        <w:rPr>
          <w:spacing w:val="-3"/>
        </w:rPr>
        <w:t>——</w:t>
      </w:r>
      <w:r>
        <w:rPr>
          <w:spacing w:val="-73"/>
        </w:rPr>
        <w:t xml:space="preserve"> </w:t>
      </w:r>
      <w:r>
        <w:rPr>
          <w:spacing w:val="-3"/>
        </w:rPr>
        <w:t>网络传感器可用于收集各类信息。例如， 可通过热传感器、振动传感器、声音传感器等监测</w:t>
      </w:r>
      <w:r>
        <w:t xml:space="preserve"> </w:t>
      </w:r>
      <w:r>
        <w:rPr>
          <w:spacing w:val="-1"/>
        </w:rPr>
        <w:t>设备的运行状态。</w:t>
      </w:r>
    </w:p>
    <w:p>
      <w:pPr>
        <w:spacing w:line="247" w:lineRule="auto"/>
        <w:sectPr>
          <w:headerReference w:type="default" r:id="rId48"/>
          <w:footerReference w:type="default" r:id="rId49"/>
          <w:pgSz w:w="11907" w:h="16839"/>
          <w:pgMar w:top="1659" w:right="1461" w:bottom="1311" w:left="1135" w:header="1448" w:footer="1133" w:gutter="0"/>
          <w:pgNumType w:start="19"/>
          <w:cols w:space="708"/>
        </w:sectPr>
      </w:pPr>
    </w:p>
    <w:p>
      <w:pPr>
        <w:spacing w:line="258" w:lineRule="auto"/>
        <w:rPr>
          <w:rFonts w:ascii="Arial"/>
          <w:sz w:val="21"/>
        </w:rPr>
      </w:pPr>
    </w:p>
    <w:p>
      <w:pPr>
        <w:spacing w:before="7" w:line="14" w:lineRule="exact"/>
        <w:ind w:left="4676"/>
        <w:rPr>
          <w:rFonts w:ascii="SimHei" w:eastAsia="SimHei" w:hAnsi="SimHei" w:cs="SimHei"/>
          <w:sz w:val="2"/>
          <w:szCs w:val="2"/>
        </w:rPr>
      </w:pPr>
      <w:r>
        <w:rPr>
          <w:rFonts w:ascii="SimHei" w:eastAsia="SimHei" w:hAnsi="SimHei" w:cs="SimHei"/>
          <w:sz w:val="2"/>
          <w:szCs w:val="2"/>
        </w:rPr>
        <w:t>B</w:t>
      </w:r>
    </w:p>
    <w:p>
      <w:pPr>
        <w:pStyle w:val="BodyText"/>
        <w:spacing w:line="174" w:lineRule="auto"/>
        <w:ind w:left="4880"/>
        <w:rPr>
          <w:sz w:val="2"/>
          <w:szCs w:val="2"/>
        </w:rPr>
      </w:pPr>
      <w:r>
        <w:rPr>
          <w:sz w:val="2"/>
          <w:szCs w:val="2"/>
        </w:rPr>
        <w:t>B</w:t>
      </w:r>
    </w:p>
    <w:p>
      <w:pPr>
        <w:spacing w:line="267" w:lineRule="auto"/>
        <w:rPr>
          <w:rFonts w:ascii="Arial"/>
          <w:sz w:val="21"/>
        </w:rPr>
      </w:pPr>
    </w:p>
    <w:p>
      <w:pPr>
        <w:spacing w:line="268" w:lineRule="auto"/>
        <w:rPr>
          <w:rFonts w:ascii="Arial"/>
          <w:sz w:val="21"/>
        </w:rPr>
      </w:pPr>
    </w:p>
    <w:p>
      <w:pPr>
        <w:spacing w:before="68" w:line="312" w:lineRule="exact"/>
        <w:ind w:left="4184"/>
        <w:rPr>
          <w:rFonts w:ascii="SimHei" w:eastAsia="SimHei" w:hAnsi="SimHei" w:cs="SimHei"/>
          <w:sz w:val="21"/>
          <w:szCs w:val="21"/>
        </w:rPr>
      </w:pPr>
      <w:r>
        <w:rPr>
          <w:rFonts w:ascii="SimHei" w:eastAsia="SimHei" w:hAnsi="SimHei" w:cs="SimHei"/>
          <w:spacing w:val="-10"/>
          <w:position w:val="7"/>
          <w:sz w:val="21"/>
          <w:szCs w:val="21"/>
        </w:rPr>
        <w:t>附</w:t>
      </w:r>
      <w:r>
        <w:rPr>
          <w:rFonts w:ascii="SimHei" w:eastAsia="SimHei" w:hAnsi="SimHei" w:cs="SimHei"/>
          <w:spacing w:val="105"/>
          <w:position w:val="7"/>
          <w:sz w:val="21"/>
          <w:szCs w:val="21"/>
        </w:rPr>
        <w:t xml:space="preserve"> </w:t>
      </w:r>
      <w:r>
        <w:rPr>
          <w:rFonts w:ascii="SimHei" w:eastAsia="SimHei" w:hAnsi="SimHei" w:cs="SimHei"/>
          <w:spacing w:val="-10"/>
          <w:position w:val="7"/>
          <w:sz w:val="21"/>
          <w:szCs w:val="21"/>
        </w:rPr>
        <w:t>录</w:t>
      </w:r>
      <w:r>
        <w:rPr>
          <w:rFonts w:ascii="SimHei" w:eastAsia="SimHei" w:hAnsi="SimHei" w:cs="SimHei"/>
          <w:spacing w:val="104"/>
          <w:position w:val="7"/>
          <w:sz w:val="21"/>
          <w:szCs w:val="21"/>
        </w:rPr>
        <w:t xml:space="preserve"> </w:t>
      </w:r>
      <w:r>
        <w:rPr>
          <w:rFonts w:ascii="SimHei" w:eastAsia="SimHei" w:hAnsi="SimHei" w:cs="SimHei"/>
          <w:spacing w:val="-10"/>
          <w:position w:val="7"/>
          <w:sz w:val="21"/>
          <w:szCs w:val="21"/>
        </w:rPr>
        <w:t>B</w:t>
      </w:r>
    </w:p>
    <w:p>
      <w:pPr>
        <w:spacing w:line="219" w:lineRule="auto"/>
        <w:ind w:left="4172"/>
        <w:rPr>
          <w:rFonts w:ascii="SimHei" w:eastAsia="SimHei" w:hAnsi="SimHei" w:cs="SimHei"/>
          <w:sz w:val="21"/>
          <w:szCs w:val="21"/>
        </w:rPr>
      </w:pPr>
      <w:r>
        <w:rPr>
          <w:rFonts w:ascii="SimHei" w:eastAsia="SimHei" w:hAnsi="SimHei" w:cs="SimHei"/>
          <w:spacing w:val="-7"/>
          <w:sz w:val="21"/>
          <w:szCs w:val="21"/>
        </w:rPr>
        <w:t>（资料性）</w:t>
      </w:r>
    </w:p>
    <w:p>
      <w:pPr>
        <w:spacing w:before="62" w:line="220" w:lineRule="auto"/>
        <w:ind w:left="3844"/>
        <w:rPr>
          <w:rFonts w:ascii="SimHei" w:eastAsia="SimHei" w:hAnsi="SimHei" w:cs="SimHei"/>
          <w:sz w:val="21"/>
          <w:szCs w:val="21"/>
        </w:rPr>
      </w:pPr>
      <w:r>
        <w:rPr>
          <w:rFonts w:ascii="SimHei" w:eastAsia="SimHei" w:hAnsi="SimHei" w:cs="SimHei"/>
          <w:spacing w:val="-1"/>
          <w:sz w:val="21"/>
          <w:szCs w:val="21"/>
        </w:rPr>
        <w:t>动态调度使用案例</w:t>
      </w:r>
    </w:p>
    <w:p>
      <w:pPr>
        <w:spacing w:before="218" w:line="219" w:lineRule="auto"/>
        <w:ind w:left="9"/>
        <w:rPr>
          <w:rFonts w:ascii="SimHei" w:eastAsia="SimHei" w:hAnsi="SimHei" w:cs="SimHei"/>
          <w:sz w:val="21"/>
          <w:szCs w:val="21"/>
        </w:rPr>
      </w:pPr>
      <w:r>
        <w:rPr>
          <w:rFonts w:ascii="SimHei" w:eastAsia="SimHei" w:hAnsi="SimHei" w:cs="SimHei"/>
          <w:spacing w:val="-1"/>
          <w:sz w:val="21"/>
          <w:szCs w:val="21"/>
        </w:rPr>
        <w:t>B.1</w:t>
      </w:r>
      <w:r>
        <w:rPr>
          <w:rFonts w:ascii="SimHei" w:eastAsia="SimHei" w:hAnsi="SimHei" w:cs="SimHei"/>
          <w:spacing w:val="-1"/>
          <w:sz w:val="21"/>
          <w:szCs w:val="21"/>
        </w:rPr>
        <w:t xml:space="preserve">  </w:t>
      </w:r>
      <w:r>
        <w:rPr>
          <w:rFonts w:ascii="SimHei" w:eastAsia="SimHei" w:hAnsi="SimHei" w:cs="SimHei"/>
          <w:spacing w:val="-1"/>
          <w:sz w:val="21"/>
          <w:szCs w:val="21"/>
        </w:rPr>
        <w:t>概述</w:t>
      </w:r>
    </w:p>
    <w:p>
      <w:pPr>
        <w:pStyle w:val="BodyText"/>
        <w:spacing w:before="219" w:line="220" w:lineRule="auto"/>
        <w:ind w:left="427"/>
      </w:pPr>
      <w:r>
        <w:t>表B.1对使用ISO和IEC开发模板的示例</w:t>
      </w:r>
      <w:r>
        <w:rPr>
          <w:spacing w:val="-1"/>
        </w:rPr>
        <w:t>作了描述。</w:t>
      </w:r>
    </w:p>
    <w:p>
      <w:pPr>
        <w:spacing w:before="196" w:line="220" w:lineRule="auto"/>
        <w:ind w:left="3619"/>
        <w:rPr>
          <w:rFonts w:ascii="SimHei" w:eastAsia="SimHei" w:hAnsi="SimHei" w:cs="SimHei"/>
          <w:sz w:val="21"/>
          <w:szCs w:val="21"/>
        </w:rPr>
      </w:pPr>
      <w:r>
        <w:rPr>
          <w:rFonts w:ascii="SimHei" w:eastAsia="SimHei" w:hAnsi="SimHei" w:cs="SimHei"/>
          <w:spacing w:val="-2"/>
          <w:sz w:val="21"/>
          <w:szCs w:val="21"/>
        </w:rPr>
        <w:t>表B.1</w:t>
      </w:r>
      <w:r>
        <w:rPr>
          <w:rFonts w:ascii="SimHei" w:eastAsia="SimHei" w:hAnsi="SimHei" w:cs="SimHei"/>
          <w:spacing w:val="-30"/>
          <w:sz w:val="21"/>
          <w:szCs w:val="21"/>
        </w:rPr>
        <w:t xml:space="preserve"> </w:t>
      </w:r>
      <w:r>
        <w:rPr>
          <w:rFonts w:ascii="SimHei" w:eastAsia="SimHei" w:hAnsi="SimHei" w:cs="SimHei"/>
          <w:spacing w:val="-2"/>
          <w:sz w:val="21"/>
          <w:szCs w:val="21"/>
        </w:rPr>
        <w:t>动态调度示例汇总</w:t>
      </w:r>
    </w:p>
    <w:tbl>
      <w:tblPr>
        <w:tblStyle w:val="TableNormal0"/>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221"/>
        <w:gridCol w:w="7128"/>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1"/>
        </w:trPr>
        <w:tc>
          <w:tcPr>
            <w:tcW w:w="2221" w:type="dxa"/>
            <w:vAlign w:val="top"/>
          </w:tcPr>
          <w:p>
            <w:pPr>
              <w:pStyle w:val="TableText"/>
              <w:spacing w:before="102" w:line="180" w:lineRule="auto"/>
              <w:ind w:left="1036"/>
            </w:pPr>
            <w:r>
              <w:rPr>
                <w:spacing w:val="-4"/>
              </w:rPr>
              <w:t>ID</w:t>
            </w:r>
          </w:p>
        </w:tc>
        <w:tc>
          <w:tcPr>
            <w:tcW w:w="7128" w:type="dxa"/>
            <w:vAlign w:val="top"/>
          </w:tcPr>
          <w:p>
            <w:pPr>
              <w:pStyle w:val="TableText"/>
              <w:spacing w:before="71" w:line="220" w:lineRule="auto"/>
              <w:ind w:left="3344"/>
            </w:pPr>
            <w:r>
              <w:rPr>
                <w:spacing w:val="-3"/>
              </w:rPr>
              <w:t>案例1</w:t>
            </w:r>
          </w:p>
        </w:tc>
      </w:tr>
      <w:tr>
        <w:tblPrEx>
          <w:tblW w:w="9349" w:type="dxa"/>
          <w:tblInd w:w="2" w:type="dxa"/>
          <w:tblLayout w:type="fixed"/>
        </w:tblPrEx>
        <w:trPr>
          <w:trHeight w:val="317"/>
        </w:trPr>
        <w:tc>
          <w:tcPr>
            <w:tcW w:w="2221" w:type="dxa"/>
            <w:vAlign w:val="top"/>
          </w:tcPr>
          <w:p>
            <w:pPr>
              <w:pStyle w:val="TableText"/>
              <w:spacing w:before="65" w:line="220" w:lineRule="auto"/>
              <w:ind w:left="48"/>
            </w:pPr>
            <w:r>
              <w:rPr>
                <w:spacing w:val="-2"/>
              </w:rPr>
              <w:t>使用案例名称</w:t>
            </w:r>
          </w:p>
        </w:tc>
        <w:tc>
          <w:tcPr>
            <w:tcW w:w="7128" w:type="dxa"/>
            <w:vAlign w:val="top"/>
          </w:tcPr>
          <w:p>
            <w:pPr>
              <w:pStyle w:val="TableText"/>
              <w:spacing w:before="66" w:line="219" w:lineRule="auto"/>
              <w:ind w:left="44"/>
            </w:pPr>
            <w:r>
              <w:rPr>
                <w:spacing w:val="-1"/>
              </w:rPr>
              <w:t>制造单元中多个机器人任务的动态调度</w:t>
            </w:r>
          </w:p>
        </w:tc>
      </w:tr>
      <w:tr>
        <w:tblPrEx>
          <w:tblW w:w="9349" w:type="dxa"/>
          <w:tblInd w:w="2" w:type="dxa"/>
          <w:tblLayout w:type="fixed"/>
        </w:tblPrEx>
        <w:trPr>
          <w:trHeight w:val="316"/>
        </w:trPr>
        <w:tc>
          <w:tcPr>
            <w:tcW w:w="2221" w:type="dxa"/>
            <w:vAlign w:val="top"/>
          </w:tcPr>
          <w:p>
            <w:pPr>
              <w:pStyle w:val="TableText"/>
              <w:spacing w:before="66" w:line="220" w:lineRule="auto"/>
              <w:ind w:left="47"/>
            </w:pPr>
            <w:r>
              <w:rPr>
                <w:spacing w:val="-2"/>
              </w:rPr>
              <w:t>应用领域</w:t>
            </w:r>
          </w:p>
        </w:tc>
        <w:tc>
          <w:tcPr>
            <w:tcW w:w="7128" w:type="dxa"/>
            <w:vAlign w:val="top"/>
          </w:tcPr>
          <w:p>
            <w:pPr>
              <w:pStyle w:val="TableText"/>
              <w:spacing w:before="66" w:line="220" w:lineRule="auto"/>
              <w:ind w:left="48"/>
            </w:pPr>
            <w:r>
              <w:rPr>
                <w:spacing w:val="-3"/>
              </w:rPr>
              <w:t>智能制造</w:t>
            </w:r>
          </w:p>
        </w:tc>
      </w:tr>
      <w:tr>
        <w:tblPrEx>
          <w:tblW w:w="9349" w:type="dxa"/>
          <w:tblInd w:w="2" w:type="dxa"/>
          <w:tblLayout w:type="fixed"/>
        </w:tblPrEx>
        <w:trPr>
          <w:trHeight w:val="628"/>
        </w:trPr>
        <w:tc>
          <w:tcPr>
            <w:tcW w:w="2221" w:type="dxa"/>
            <w:vAlign w:val="top"/>
          </w:tcPr>
          <w:p>
            <w:pPr>
              <w:pStyle w:val="TableText"/>
              <w:spacing w:before="67" w:line="270" w:lineRule="auto"/>
              <w:ind w:left="63" w:right="35" w:hanging="14"/>
            </w:pPr>
            <w:r>
              <w:rPr>
                <w:spacing w:val="5"/>
              </w:rPr>
              <w:t>生命周期阶段/阶段覆盖范</w:t>
            </w:r>
            <w:r>
              <w:t xml:space="preserve"> </w:t>
            </w:r>
            <w:r>
              <w:t>围</w:t>
            </w:r>
          </w:p>
        </w:tc>
        <w:tc>
          <w:tcPr>
            <w:tcW w:w="7128" w:type="dxa"/>
            <w:vAlign w:val="top"/>
          </w:tcPr>
          <w:p>
            <w:pPr>
              <w:pStyle w:val="TableText"/>
              <w:spacing w:before="222" w:line="220" w:lineRule="auto"/>
              <w:ind w:left="45"/>
            </w:pPr>
            <w:r>
              <w:rPr>
                <w:spacing w:val="-3"/>
              </w:rPr>
              <w:t>生产</w:t>
            </w:r>
          </w:p>
        </w:tc>
      </w:tr>
      <w:tr>
        <w:tblPrEx>
          <w:tblW w:w="9349" w:type="dxa"/>
          <w:tblInd w:w="2" w:type="dxa"/>
          <w:tblLayout w:type="fixed"/>
        </w:tblPrEx>
        <w:trPr>
          <w:trHeight w:val="319"/>
        </w:trPr>
        <w:tc>
          <w:tcPr>
            <w:tcW w:w="2221" w:type="dxa"/>
            <w:vAlign w:val="top"/>
          </w:tcPr>
          <w:p>
            <w:pPr>
              <w:pStyle w:val="TableText"/>
              <w:spacing w:before="69" w:line="220" w:lineRule="auto"/>
              <w:ind w:left="47"/>
            </w:pPr>
            <w:r>
              <w:rPr>
                <w:spacing w:val="-2"/>
              </w:rPr>
              <w:t>状态</w:t>
            </w:r>
          </w:p>
        </w:tc>
        <w:tc>
          <w:tcPr>
            <w:tcW w:w="7128" w:type="dxa"/>
            <w:vAlign w:val="top"/>
          </w:tcPr>
          <w:p>
            <w:pPr>
              <w:pStyle w:val="TableText"/>
              <w:spacing w:before="70" w:line="220" w:lineRule="auto"/>
              <w:ind w:left="44"/>
            </w:pPr>
            <w:r>
              <w:rPr>
                <w:spacing w:val="-2"/>
              </w:rPr>
              <w:t>运行中</w:t>
            </w:r>
          </w:p>
        </w:tc>
      </w:tr>
      <w:tr>
        <w:tblPrEx>
          <w:tblW w:w="9349" w:type="dxa"/>
          <w:tblInd w:w="2" w:type="dxa"/>
          <w:tblLayout w:type="fixed"/>
        </w:tblPrEx>
        <w:trPr>
          <w:trHeight w:val="316"/>
        </w:trPr>
        <w:tc>
          <w:tcPr>
            <w:tcW w:w="2221" w:type="dxa"/>
            <w:vAlign w:val="top"/>
          </w:tcPr>
          <w:p>
            <w:pPr>
              <w:pStyle w:val="TableText"/>
              <w:spacing w:before="68" w:line="220" w:lineRule="auto"/>
              <w:ind w:left="51"/>
            </w:pPr>
            <w:r>
              <w:rPr>
                <w:spacing w:val="-3"/>
              </w:rPr>
              <w:t>范围</w:t>
            </w:r>
          </w:p>
        </w:tc>
        <w:tc>
          <w:tcPr>
            <w:tcW w:w="7128" w:type="dxa"/>
            <w:vAlign w:val="top"/>
          </w:tcPr>
          <w:p>
            <w:pPr>
              <w:pStyle w:val="TableText"/>
              <w:spacing w:before="67" w:line="219" w:lineRule="auto"/>
              <w:ind w:left="43"/>
            </w:pPr>
            <w:r>
              <w:t>在多个机器人制造单元的可变装配条件基础上进行的自动化制造</w:t>
            </w:r>
            <w:r>
              <w:rPr>
                <w:spacing w:val="-1"/>
              </w:rPr>
              <w:t>过程调整和跟踪</w:t>
            </w:r>
          </w:p>
        </w:tc>
      </w:tr>
      <w:tr>
        <w:tblPrEx>
          <w:tblW w:w="9349" w:type="dxa"/>
          <w:tblInd w:w="2" w:type="dxa"/>
          <w:tblLayout w:type="fixed"/>
        </w:tblPrEx>
        <w:trPr>
          <w:trHeight w:val="628"/>
        </w:trPr>
        <w:tc>
          <w:tcPr>
            <w:tcW w:w="2221" w:type="dxa"/>
            <w:vAlign w:val="top"/>
          </w:tcPr>
          <w:p>
            <w:pPr>
              <w:pStyle w:val="TableText"/>
              <w:spacing w:before="224" w:line="220" w:lineRule="auto"/>
              <w:ind w:left="46"/>
            </w:pPr>
            <w:r>
              <w:rPr>
                <w:spacing w:val="-1"/>
              </w:rPr>
              <w:t>初始（问题）情况</w:t>
            </w:r>
          </w:p>
        </w:tc>
        <w:tc>
          <w:tcPr>
            <w:tcW w:w="7128" w:type="dxa"/>
            <w:vAlign w:val="top"/>
          </w:tcPr>
          <w:p>
            <w:pPr>
              <w:pStyle w:val="TableText"/>
              <w:spacing w:before="67" w:line="270" w:lineRule="auto"/>
              <w:ind w:left="44" w:right="47"/>
            </w:pPr>
            <w:r>
              <w:t>制造过程要求可根据来料组件的装配情况进行变化。手动调整制造过程是耗时的，还会造</w:t>
            </w:r>
            <w:r>
              <w:rPr>
                <w:spacing w:val="9"/>
              </w:rPr>
              <w:t xml:space="preserve"> </w:t>
            </w:r>
            <w:r>
              <w:rPr>
                <w:spacing w:val="-1"/>
              </w:rPr>
              <w:t>成相应的制造过程不符合要求或可能被不正确地跟踪的风险。</w:t>
            </w:r>
          </w:p>
        </w:tc>
      </w:tr>
      <w:tr>
        <w:tblPrEx>
          <w:tblW w:w="9349" w:type="dxa"/>
          <w:tblInd w:w="2" w:type="dxa"/>
          <w:tblLayout w:type="fixed"/>
        </w:tblPrEx>
        <w:trPr>
          <w:trHeight w:val="316"/>
        </w:trPr>
        <w:tc>
          <w:tcPr>
            <w:tcW w:w="2221" w:type="dxa"/>
            <w:vAlign w:val="top"/>
          </w:tcPr>
          <w:p>
            <w:pPr>
              <w:pStyle w:val="TableText"/>
              <w:spacing w:before="68" w:line="220" w:lineRule="auto"/>
              <w:ind w:left="46"/>
            </w:pPr>
            <w:r>
              <w:rPr>
                <w:spacing w:val="-2"/>
              </w:rPr>
              <w:t>对象</w:t>
            </w:r>
          </w:p>
        </w:tc>
        <w:tc>
          <w:tcPr>
            <w:tcW w:w="7128" w:type="dxa"/>
            <w:vAlign w:val="top"/>
          </w:tcPr>
          <w:p>
            <w:pPr>
              <w:pStyle w:val="TableText"/>
              <w:spacing w:before="68" w:line="220" w:lineRule="auto"/>
              <w:ind w:left="44"/>
            </w:pPr>
            <w:r>
              <w:rPr>
                <w:spacing w:val="-1"/>
              </w:rPr>
              <w:t>使用数字孪生自动调整过程并维持生产记录</w:t>
            </w:r>
          </w:p>
        </w:tc>
      </w:tr>
      <w:tr>
        <w:tblPrEx>
          <w:tblW w:w="9349" w:type="dxa"/>
          <w:tblInd w:w="2" w:type="dxa"/>
          <w:tblLayout w:type="fixed"/>
        </w:tblPrEx>
        <w:trPr>
          <w:trHeight w:val="2188"/>
        </w:trPr>
        <w:tc>
          <w:tcPr>
            <w:tcW w:w="2221" w:type="dxa"/>
            <w:vAlign w:val="top"/>
          </w:tcPr>
          <w:p>
            <w:pPr>
              <w:spacing w:line="313" w:lineRule="auto"/>
              <w:rPr>
                <w:rFonts w:ascii="Arial"/>
                <w:sz w:val="21"/>
              </w:rPr>
            </w:pPr>
          </w:p>
          <w:p>
            <w:pPr>
              <w:spacing w:line="314" w:lineRule="auto"/>
              <w:rPr>
                <w:rFonts w:ascii="Arial"/>
                <w:sz w:val="21"/>
              </w:rPr>
            </w:pPr>
          </w:p>
          <w:p>
            <w:pPr>
              <w:spacing w:line="314" w:lineRule="auto"/>
              <w:rPr>
                <w:rFonts w:ascii="Arial"/>
                <w:sz w:val="21"/>
              </w:rPr>
            </w:pPr>
          </w:p>
          <w:p>
            <w:pPr>
              <w:pStyle w:val="TableText"/>
              <w:spacing w:before="58" w:line="219" w:lineRule="auto"/>
              <w:ind w:left="51"/>
            </w:pPr>
            <w:r>
              <w:rPr>
                <w:spacing w:val="-2"/>
              </w:rPr>
              <w:t>简要描述（不超过150字）</w:t>
            </w:r>
          </w:p>
        </w:tc>
        <w:tc>
          <w:tcPr>
            <w:tcW w:w="7128" w:type="dxa"/>
            <w:vAlign w:val="top"/>
          </w:tcPr>
          <w:p>
            <w:pPr>
              <w:pStyle w:val="TableText"/>
              <w:spacing w:before="68" w:line="287" w:lineRule="auto"/>
              <w:ind w:left="44" w:firstLine="10"/>
            </w:pPr>
            <w:r>
              <w:rPr>
                <w:spacing w:val="-1"/>
              </w:rPr>
              <w:t>当大型、复杂组件进入制造单元时，组件的进入状态很有可能不是标</w:t>
            </w:r>
            <w:r>
              <w:rPr>
                <w:spacing w:val="-2"/>
              </w:rPr>
              <w:t>称状态（缺少部件、</w:t>
            </w:r>
            <w:r>
              <w:t xml:space="preserve">  </w:t>
            </w:r>
            <w:r>
              <w:rPr>
                <w:spacing w:val="-5"/>
              </w:rPr>
              <w:t>返工要求） 。手动调整制造过程是耗时的，还会增加调整过程不合规或被</w:t>
            </w:r>
            <w:r>
              <w:rPr>
                <w:spacing w:val="-6"/>
              </w:rPr>
              <w:t>不当跟踪的风险。</w:t>
            </w:r>
            <w:r>
              <w:t xml:space="preserve"> </w:t>
            </w:r>
            <w:r>
              <w:rPr>
                <w:spacing w:val="-5"/>
              </w:rPr>
              <w:t>数字孪生应用程序可以：</w:t>
            </w:r>
          </w:p>
          <w:p>
            <w:pPr>
              <w:pStyle w:val="TableText"/>
              <w:spacing w:before="98" w:line="312" w:lineRule="exact"/>
              <w:ind w:left="57"/>
            </w:pPr>
            <w:r>
              <w:rPr>
                <w:spacing w:val="-3"/>
                <w:position w:val="9"/>
              </w:rPr>
              <w:t>1)确定数字孪生组件与标称组件之间的特征差异；</w:t>
            </w:r>
          </w:p>
          <w:p>
            <w:pPr>
              <w:pStyle w:val="TableText"/>
              <w:spacing w:line="219" w:lineRule="auto"/>
              <w:ind w:left="46"/>
            </w:pPr>
            <w:r>
              <w:rPr>
                <w:spacing w:val="-3"/>
              </w:rPr>
              <w:t>2)根据这些特征差异调整制造过程要求；</w:t>
            </w:r>
          </w:p>
          <w:p>
            <w:pPr>
              <w:pStyle w:val="TableText"/>
              <w:spacing w:before="97" w:line="312" w:lineRule="exact"/>
              <w:ind w:left="47"/>
            </w:pPr>
            <w:r>
              <w:rPr>
                <w:spacing w:val="-2"/>
                <w:position w:val="9"/>
              </w:rPr>
              <w:t>3)生成并验证调整后的制造过程；</w:t>
            </w:r>
          </w:p>
          <w:p>
            <w:pPr>
              <w:pStyle w:val="TableText"/>
              <w:spacing w:line="219" w:lineRule="auto"/>
              <w:ind w:left="43"/>
            </w:pPr>
            <w:r>
              <w:rPr>
                <w:spacing w:val="-1"/>
              </w:rPr>
              <w:t>4)监控过程与组件的制造状态。</w:t>
            </w:r>
          </w:p>
        </w:tc>
      </w:tr>
      <w:tr>
        <w:tblPrEx>
          <w:tblW w:w="9349" w:type="dxa"/>
          <w:tblInd w:w="2" w:type="dxa"/>
          <w:tblLayout w:type="fixed"/>
        </w:tblPrEx>
        <w:trPr>
          <w:trHeight w:val="317"/>
        </w:trPr>
        <w:tc>
          <w:tcPr>
            <w:tcW w:w="2221" w:type="dxa"/>
            <w:vAlign w:val="top"/>
          </w:tcPr>
          <w:p>
            <w:pPr>
              <w:pStyle w:val="TableText"/>
              <w:spacing w:before="70" w:line="220" w:lineRule="auto"/>
              <w:ind w:left="48"/>
            </w:pPr>
            <w:r>
              <w:rPr>
                <w:spacing w:val="-2"/>
              </w:rPr>
              <w:t>利益相关方</w:t>
            </w:r>
          </w:p>
        </w:tc>
        <w:tc>
          <w:tcPr>
            <w:tcW w:w="7128" w:type="dxa"/>
            <w:vAlign w:val="top"/>
          </w:tcPr>
          <w:p>
            <w:pPr>
              <w:pStyle w:val="TableText"/>
              <w:spacing w:before="70" w:line="219" w:lineRule="auto"/>
              <w:ind w:left="44"/>
            </w:pPr>
            <w:r>
              <w:t>制造车间人员、合规机构（FAA、EASA等）以及机器</w:t>
            </w:r>
            <w:r>
              <w:rPr>
                <w:spacing w:val="-1"/>
              </w:rPr>
              <w:t>人单元供应商</w:t>
            </w:r>
          </w:p>
        </w:tc>
      </w:tr>
      <w:tr>
        <w:tblPrEx>
          <w:tblW w:w="9349" w:type="dxa"/>
          <w:tblInd w:w="2" w:type="dxa"/>
          <w:tblLayout w:type="fixed"/>
        </w:tblPrEx>
        <w:trPr>
          <w:trHeight w:val="319"/>
        </w:trPr>
        <w:tc>
          <w:tcPr>
            <w:tcW w:w="2221" w:type="dxa"/>
            <w:vAlign w:val="top"/>
          </w:tcPr>
          <w:p>
            <w:pPr>
              <w:pStyle w:val="TableText"/>
              <w:spacing w:before="72" w:line="220" w:lineRule="auto"/>
              <w:ind w:left="50"/>
            </w:pPr>
            <w:r>
              <w:rPr>
                <w:spacing w:val="-2"/>
              </w:rPr>
              <w:t>关键技术</w:t>
            </w:r>
          </w:p>
        </w:tc>
        <w:tc>
          <w:tcPr>
            <w:tcW w:w="7128" w:type="dxa"/>
            <w:vAlign w:val="top"/>
          </w:tcPr>
          <w:p>
            <w:pPr>
              <w:pStyle w:val="TableText"/>
              <w:spacing w:before="72" w:line="219" w:lineRule="auto"/>
              <w:ind w:left="44"/>
            </w:pPr>
            <w:r>
              <w:rPr>
                <w:spacing w:val="-1"/>
              </w:rPr>
              <w:t>包含多个机器人的工作单元的自动化制造</w:t>
            </w:r>
          </w:p>
        </w:tc>
      </w:tr>
      <w:tr>
        <w:tblPrEx>
          <w:tblW w:w="9349" w:type="dxa"/>
          <w:tblInd w:w="2" w:type="dxa"/>
          <w:tblLayout w:type="fixed"/>
        </w:tblPrEx>
        <w:trPr>
          <w:trHeight w:val="628"/>
        </w:trPr>
        <w:tc>
          <w:tcPr>
            <w:tcW w:w="2221" w:type="dxa"/>
            <w:vAlign w:val="top"/>
          </w:tcPr>
          <w:p>
            <w:pPr>
              <w:pStyle w:val="TableText"/>
              <w:spacing w:before="226" w:line="220" w:lineRule="auto"/>
              <w:ind w:left="47"/>
            </w:pPr>
            <w:r>
              <w:rPr>
                <w:spacing w:val="-2"/>
              </w:rPr>
              <w:t>相关标准</w:t>
            </w:r>
          </w:p>
        </w:tc>
        <w:tc>
          <w:tcPr>
            <w:tcW w:w="7128" w:type="dxa"/>
            <w:vAlign w:val="top"/>
          </w:tcPr>
          <w:p>
            <w:pPr>
              <w:pStyle w:val="TableText"/>
              <w:spacing w:before="69" w:line="220" w:lineRule="auto"/>
              <w:ind w:left="38"/>
            </w:pPr>
            <w:r>
              <w:t>AP238和AP242用于描述过程和产品的数字</w:t>
            </w:r>
            <w:r>
              <w:rPr>
                <w:spacing w:val="-1"/>
              </w:rPr>
              <w:t>孪生</w:t>
            </w:r>
          </w:p>
          <w:p>
            <w:pPr>
              <w:pStyle w:val="TableText"/>
              <w:spacing w:before="97" w:line="220" w:lineRule="auto"/>
              <w:ind w:left="38"/>
            </w:pPr>
            <w:r>
              <w:t>MTConnect用于沟通过程和组件状态以构建数字孪生</w:t>
            </w:r>
          </w:p>
        </w:tc>
      </w:tr>
    </w:tbl>
    <w:p>
      <w:pPr>
        <w:sectPr>
          <w:headerReference w:type="default" r:id="rId50"/>
          <w:footerReference w:type="default" r:id="rId51"/>
          <w:pgSz w:w="11907" w:h="16839"/>
          <w:pgMar w:top="1659" w:right="1128" w:bottom="1311" w:left="1418" w:header="1448" w:footer="1133" w:gutter="0"/>
          <w:pgNumType w:start="20"/>
          <w:cols w:space="708"/>
        </w:sectPr>
      </w:pPr>
    </w:p>
    <w:tbl>
      <w:tblPr>
        <w:tblStyle w:val="TableNormal1"/>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221"/>
        <w:gridCol w:w="7128"/>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16"/>
        </w:trPr>
        <w:tc>
          <w:tcPr>
            <w:tcW w:w="2221" w:type="dxa"/>
            <w:vAlign w:val="top"/>
          </w:tcPr>
          <w:p>
            <w:pPr>
              <w:pStyle w:val="TableText"/>
              <w:spacing w:before="71" w:line="220" w:lineRule="auto"/>
              <w:ind w:left="48"/>
            </w:pPr>
            <w:r>
              <w:rPr>
                <w:spacing w:val="-2"/>
              </w:rPr>
              <w:t>标准化需求</w:t>
            </w:r>
          </w:p>
        </w:tc>
        <w:tc>
          <w:tcPr>
            <w:tcW w:w="7128" w:type="dxa"/>
            <w:vAlign w:val="top"/>
          </w:tcPr>
          <w:p>
            <w:pPr>
              <w:pStyle w:val="TableText"/>
              <w:spacing w:before="70" w:line="220" w:lineRule="auto"/>
              <w:ind w:left="54"/>
            </w:pPr>
            <w:r>
              <w:rPr>
                <w:spacing w:val="-1"/>
              </w:rPr>
              <w:t>ISO 23247制造用数字孪生框架，用以描述标准如何在车间内相互操作</w:t>
            </w:r>
          </w:p>
        </w:tc>
      </w:tr>
      <w:tr>
        <w:tblPrEx>
          <w:tblW w:w="9349" w:type="dxa"/>
          <w:tblInd w:w="2" w:type="dxa"/>
          <w:tblLayout w:type="fixed"/>
        </w:tblPrEx>
        <w:trPr>
          <w:trHeight w:val="633"/>
        </w:trPr>
        <w:tc>
          <w:tcPr>
            <w:tcW w:w="2221" w:type="dxa"/>
            <w:vAlign w:val="top"/>
          </w:tcPr>
          <w:p>
            <w:pPr>
              <w:pStyle w:val="TableText"/>
              <w:spacing w:before="226" w:line="220" w:lineRule="auto"/>
              <w:ind w:left="46"/>
            </w:pPr>
            <w:r>
              <w:rPr>
                <w:spacing w:val="-1"/>
              </w:rPr>
              <w:t>遗留问题与未来工作</w:t>
            </w:r>
          </w:p>
        </w:tc>
        <w:tc>
          <w:tcPr>
            <w:tcW w:w="7128" w:type="dxa"/>
            <w:vAlign w:val="top"/>
          </w:tcPr>
          <w:p>
            <w:pPr>
              <w:pStyle w:val="TableText"/>
              <w:spacing w:before="71" w:line="312" w:lineRule="exact"/>
              <w:ind w:left="47"/>
            </w:pPr>
            <w:r>
              <w:rPr>
                <w:spacing w:val="-1"/>
                <w:position w:val="9"/>
              </w:rPr>
              <w:t>设备供应商确保车间无缝即插即用标准的适用</w:t>
            </w:r>
          </w:p>
          <w:p>
            <w:pPr>
              <w:pStyle w:val="TableText"/>
              <w:spacing w:line="219" w:lineRule="auto"/>
              <w:ind w:left="44"/>
            </w:pPr>
            <w:r>
              <w:rPr>
                <w:spacing w:val="-1"/>
              </w:rPr>
              <w:t>动态环境中避免碰撞的算法/方法的定义</w:t>
            </w:r>
          </w:p>
        </w:tc>
      </w:tr>
    </w:tbl>
    <w:p>
      <w:pPr>
        <w:spacing w:before="207" w:line="469" w:lineRule="exact"/>
        <w:ind w:left="9"/>
        <w:rPr>
          <w:rFonts w:ascii="SimHei" w:eastAsia="SimHei" w:hAnsi="SimHei" w:cs="SimHei"/>
          <w:sz w:val="21"/>
          <w:szCs w:val="21"/>
        </w:rPr>
      </w:pPr>
      <w:r>
        <w:rPr>
          <w:rFonts w:ascii="SimHei" w:eastAsia="SimHei" w:hAnsi="SimHei" w:cs="SimHei"/>
          <w:spacing w:val="-1"/>
          <w:position w:val="19"/>
          <w:sz w:val="21"/>
          <w:szCs w:val="21"/>
        </w:rPr>
        <w:t>B.2</w:t>
      </w:r>
      <w:r>
        <w:rPr>
          <w:rFonts w:ascii="SimHei" w:eastAsia="SimHei" w:hAnsi="SimHei" w:cs="SimHei"/>
          <w:spacing w:val="-1"/>
          <w:position w:val="19"/>
          <w:sz w:val="21"/>
          <w:szCs w:val="21"/>
        </w:rPr>
        <w:t xml:space="preserve">  </w:t>
      </w:r>
      <w:r>
        <w:rPr>
          <w:rFonts w:ascii="SimHei" w:eastAsia="SimHei" w:hAnsi="SimHei" w:cs="SimHei"/>
          <w:spacing w:val="-1"/>
          <w:position w:val="19"/>
          <w:sz w:val="21"/>
          <w:szCs w:val="21"/>
        </w:rPr>
        <w:t>操作顺序</w:t>
      </w:r>
    </w:p>
    <w:p>
      <w:pPr>
        <w:spacing w:line="219" w:lineRule="auto"/>
        <w:ind w:left="9"/>
        <w:rPr>
          <w:rFonts w:ascii="SimHei" w:eastAsia="SimHei" w:hAnsi="SimHei" w:cs="SimHei"/>
          <w:sz w:val="21"/>
          <w:szCs w:val="21"/>
        </w:rPr>
      </w:pPr>
      <w:r>
        <w:rPr>
          <w:rFonts w:ascii="SimHei" w:eastAsia="SimHei" w:hAnsi="SimHei" w:cs="SimHei"/>
          <w:spacing w:val="-1"/>
          <w:sz w:val="21"/>
          <w:szCs w:val="21"/>
        </w:rPr>
        <w:t>B.2.1</w:t>
      </w:r>
      <w:r>
        <w:rPr>
          <w:rFonts w:ascii="SimHei" w:eastAsia="SimHei" w:hAnsi="SimHei" w:cs="SimHei"/>
          <w:spacing w:val="-1"/>
          <w:sz w:val="21"/>
          <w:szCs w:val="21"/>
        </w:rPr>
        <w:t xml:space="preserve">  </w:t>
      </w:r>
      <w:r>
        <w:rPr>
          <w:rFonts w:ascii="SimHei" w:eastAsia="SimHei" w:hAnsi="SimHei" w:cs="SimHei"/>
          <w:spacing w:val="-1"/>
          <w:sz w:val="21"/>
          <w:szCs w:val="21"/>
        </w:rPr>
        <w:t>流程</w:t>
      </w:r>
    </w:p>
    <w:p>
      <w:pPr>
        <w:pStyle w:val="BodyText"/>
        <w:spacing w:before="218" w:line="220" w:lineRule="auto"/>
        <w:ind w:left="448"/>
      </w:pPr>
      <w:r>
        <w:rPr>
          <w:spacing w:val="-2"/>
        </w:rPr>
        <w:t>图B.1展示了多个机器人任务动态调度的流程。</w:t>
      </w:r>
    </w:p>
    <w:p>
      <w:pPr>
        <w:spacing w:line="220" w:lineRule="auto"/>
        <w:sectPr>
          <w:headerReference w:type="default" r:id="rId52"/>
          <w:footerReference w:type="default" r:id="rId53"/>
          <w:type w:val="nextPage"/>
          <w:pgSz w:w="11907" w:h="16839"/>
          <w:pgMar w:top="1659" w:right="1128" w:bottom="1311" w:left="1418" w:header="1448" w:footer="1133" w:gutter="0"/>
          <w:pgNumType w:start="21"/>
          <w:cols w:space="708"/>
          <w:titlePg w:val="0"/>
        </w:sectPr>
      </w:pPr>
    </w:p>
    <w:p>
      <w:pPr>
        <w:spacing w:line="376" w:lineRule="auto"/>
        <w:rPr>
          <w:rFonts w:ascii="Arial"/>
          <w:sz w:val="21"/>
        </w:rPr>
      </w:pPr>
    </w:p>
    <w:p>
      <w:pPr>
        <w:spacing w:line="4147" w:lineRule="exact"/>
        <w:ind w:firstLine="413"/>
      </w:pPr>
      <w:r>
        <w:rPr>
          <w:position w:val="-82"/>
        </w:rPr>
        <w:drawing>
          <wp:inline distT="0" distB="0" distL="0" distR="0">
            <wp:extent cx="5486400" cy="263334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54"/>
                    <a:stretch>
                      <a:fillRect/>
                    </a:stretch>
                  </pic:blipFill>
                  <pic:spPr>
                    <a:xfrm>
                      <a:off x="0" y="0"/>
                      <a:ext cx="5486400" cy="2633345"/>
                    </a:xfrm>
                    <a:prstGeom prst="rect">
                      <a:avLst/>
                    </a:prstGeom>
                  </pic:spPr>
                </pic:pic>
              </a:graphicData>
            </a:graphic>
          </wp:inline>
        </w:drawing>
      </w:r>
    </w:p>
    <w:p>
      <w:pPr>
        <w:spacing w:before="296" w:line="219" w:lineRule="auto"/>
        <w:ind w:left="3724"/>
        <w:rPr>
          <w:rFonts w:ascii="SimHei" w:eastAsia="SimHei" w:hAnsi="SimHei" w:cs="SimHei"/>
          <w:sz w:val="21"/>
          <w:szCs w:val="21"/>
        </w:rPr>
      </w:pPr>
      <w:r>
        <w:rPr>
          <w:rFonts w:ascii="SimHei" w:eastAsia="SimHei" w:hAnsi="SimHei" w:cs="SimHei"/>
          <w:spacing w:val="-3"/>
          <w:sz w:val="21"/>
          <w:szCs w:val="21"/>
        </w:rPr>
        <w:t>图B.1</w:t>
      </w:r>
      <w:r>
        <w:rPr>
          <w:rFonts w:ascii="SimHei" w:eastAsia="SimHei" w:hAnsi="SimHei" w:cs="SimHei"/>
          <w:spacing w:val="-30"/>
          <w:sz w:val="21"/>
          <w:szCs w:val="21"/>
        </w:rPr>
        <w:t xml:space="preserve"> </w:t>
      </w:r>
      <w:r>
        <w:rPr>
          <w:rFonts w:ascii="SimHei" w:eastAsia="SimHei" w:hAnsi="SimHei" w:cs="SimHei"/>
          <w:spacing w:val="-3"/>
          <w:sz w:val="21"/>
          <w:szCs w:val="21"/>
        </w:rPr>
        <w:t>动态调度流程图</w:t>
      </w:r>
    </w:p>
    <w:p>
      <w:pPr>
        <w:spacing w:before="201" w:line="220" w:lineRule="auto"/>
        <w:ind w:left="1"/>
        <w:rPr>
          <w:rFonts w:ascii="SimHei" w:eastAsia="SimHei" w:hAnsi="SimHei" w:cs="SimHei"/>
          <w:sz w:val="21"/>
          <w:szCs w:val="21"/>
        </w:rPr>
      </w:pPr>
      <w:r>
        <w:rPr>
          <w:rFonts w:ascii="SimHei" w:eastAsia="SimHei" w:hAnsi="SimHei" w:cs="SimHei"/>
          <w:spacing w:val="-6"/>
          <w:sz w:val="21"/>
          <w:szCs w:val="21"/>
        </w:rPr>
        <w:t>B.2.2</w:t>
      </w:r>
      <w:r>
        <w:rPr>
          <w:rFonts w:ascii="SimHei" w:eastAsia="SimHei" w:hAnsi="SimHei" w:cs="SimHei"/>
          <w:spacing w:val="-6"/>
          <w:sz w:val="21"/>
          <w:szCs w:val="21"/>
        </w:rPr>
        <w:t xml:space="preserve">  </w:t>
      </w:r>
      <w:r>
        <w:rPr>
          <w:rFonts w:ascii="SimHei" w:eastAsia="SimHei" w:hAnsi="SimHei" w:cs="SimHei"/>
          <w:spacing w:val="-6"/>
          <w:sz w:val="21"/>
          <w:szCs w:val="21"/>
        </w:rPr>
        <w:t>第1阶段：</w:t>
      </w:r>
      <w:r>
        <w:rPr>
          <w:rFonts w:ascii="SimHei" w:eastAsia="SimHei" w:hAnsi="SimHei" w:cs="SimHei"/>
          <w:spacing w:val="-24"/>
          <w:sz w:val="21"/>
          <w:szCs w:val="21"/>
        </w:rPr>
        <w:t xml:space="preserve"> </w:t>
      </w:r>
      <w:r>
        <w:rPr>
          <w:rFonts w:ascii="SimHei" w:eastAsia="SimHei" w:hAnsi="SimHei" w:cs="SimHei"/>
          <w:spacing w:val="-6"/>
          <w:sz w:val="21"/>
          <w:szCs w:val="21"/>
        </w:rPr>
        <w:t>选择</w:t>
      </w:r>
    </w:p>
    <w:p>
      <w:pPr>
        <w:pStyle w:val="BodyText"/>
        <w:spacing w:before="217" w:line="248" w:lineRule="auto"/>
        <w:ind w:left="859" w:hanging="435"/>
      </w:pPr>
      <w:r>
        <w:rPr>
          <w:spacing w:val="-1"/>
        </w:rPr>
        <w:t>——第</w:t>
      </w:r>
      <w:r>
        <w:rPr>
          <w:spacing w:val="-28"/>
        </w:rPr>
        <w:t xml:space="preserve"> </w:t>
      </w:r>
      <w:r>
        <w:rPr>
          <w:spacing w:val="-1"/>
        </w:rPr>
        <w:t>1</w:t>
      </w:r>
      <w:r>
        <w:rPr>
          <w:spacing w:val="-42"/>
        </w:rPr>
        <w:t xml:space="preserve"> </w:t>
      </w:r>
      <w:r>
        <w:rPr>
          <w:spacing w:val="-1"/>
        </w:rPr>
        <w:t>步：机翼组件以物理方式装入机器人制造单元中。通</w:t>
      </w:r>
      <w:r>
        <w:rPr>
          <w:spacing w:val="-2"/>
        </w:rPr>
        <w:t>过使用组件</w:t>
      </w:r>
      <w:r>
        <w:rPr>
          <w:spacing w:val="-32"/>
        </w:rPr>
        <w:t xml:space="preserve"> </w:t>
      </w:r>
      <w:r>
        <w:rPr>
          <w:spacing w:val="-2"/>
        </w:rPr>
        <w:t>ID，监控能了解组件类</w:t>
      </w:r>
      <w:r>
        <w:t xml:space="preserve"> </w:t>
      </w:r>
      <w:r>
        <w:rPr>
          <w:spacing w:val="-3"/>
        </w:rPr>
        <w:t>型及实例；</w:t>
      </w:r>
    </w:p>
    <w:p>
      <w:pPr>
        <w:pStyle w:val="BodyText"/>
        <w:spacing w:before="61" w:line="256" w:lineRule="auto"/>
        <w:ind w:left="859" w:right="7" w:hanging="435"/>
      </w:pPr>
      <w:r>
        <w:rPr>
          <w:spacing w:val="-3"/>
        </w:rPr>
        <w:t>——第</w:t>
      </w:r>
      <w:r>
        <w:rPr>
          <w:spacing w:val="-41"/>
        </w:rPr>
        <w:t xml:space="preserve"> </w:t>
      </w:r>
      <w:r>
        <w:rPr>
          <w:spacing w:val="-3"/>
        </w:rPr>
        <w:t>2</w:t>
      </w:r>
      <w:r>
        <w:rPr>
          <w:spacing w:val="-42"/>
        </w:rPr>
        <w:t xml:space="preserve"> </w:t>
      </w:r>
      <w:r>
        <w:rPr>
          <w:spacing w:val="-3"/>
        </w:rPr>
        <w:t>步：监控通过</w:t>
      </w:r>
      <w:r>
        <w:rPr>
          <w:spacing w:val="-50"/>
        </w:rPr>
        <w:t xml:space="preserve"> </w:t>
      </w:r>
      <w:r>
        <w:rPr>
          <w:spacing w:val="-3"/>
        </w:rPr>
        <w:t>MOM</w:t>
      </w:r>
      <w:r>
        <w:rPr>
          <w:spacing w:val="-25"/>
        </w:rPr>
        <w:t xml:space="preserve"> </w:t>
      </w:r>
      <w:r>
        <w:rPr>
          <w:spacing w:val="-3"/>
        </w:rPr>
        <w:t>向</w:t>
      </w:r>
      <w:r>
        <w:rPr>
          <w:spacing w:val="-49"/>
        </w:rPr>
        <w:t xml:space="preserve"> </w:t>
      </w:r>
      <w:r>
        <w:rPr>
          <w:spacing w:val="-3"/>
        </w:rPr>
        <w:t>PLM</w:t>
      </w:r>
      <w:r>
        <w:rPr>
          <w:spacing w:val="-46"/>
        </w:rPr>
        <w:t xml:space="preserve"> </w:t>
      </w:r>
      <w:r>
        <w:rPr>
          <w:spacing w:val="-3"/>
        </w:rPr>
        <w:t>请求适当的过程数字孪生（AP238</w:t>
      </w:r>
      <w:r>
        <w:rPr>
          <w:spacing w:val="-44"/>
        </w:rPr>
        <w:t xml:space="preserve"> </w:t>
      </w:r>
      <w:r>
        <w:rPr>
          <w:spacing w:val="-3"/>
        </w:rPr>
        <w:t>格式）</w:t>
      </w:r>
      <w:r>
        <w:rPr>
          <w:spacing w:val="-25"/>
        </w:rPr>
        <w:t xml:space="preserve"> </w:t>
      </w:r>
      <w:r>
        <w:rPr>
          <w:spacing w:val="-3"/>
        </w:rPr>
        <w:t>、</w:t>
      </w:r>
      <w:r>
        <w:rPr>
          <w:spacing w:val="-4"/>
        </w:rPr>
        <w:t>机翼组件数字孪生</w:t>
      </w:r>
      <w:r>
        <w:t xml:space="preserve">  </w:t>
      </w:r>
      <w:r>
        <w:rPr>
          <w:spacing w:val="-7"/>
        </w:rPr>
        <w:t>（AP242</w:t>
      </w:r>
      <w:r>
        <w:rPr>
          <w:spacing w:val="-44"/>
        </w:rPr>
        <w:t xml:space="preserve"> </w:t>
      </w:r>
      <w:r>
        <w:rPr>
          <w:spacing w:val="-7"/>
        </w:rPr>
        <w:t>格式） 以及过程要求。 一旦这一步完成，</w:t>
      </w:r>
      <w:r>
        <w:rPr>
          <w:spacing w:val="-22"/>
        </w:rPr>
        <w:t xml:space="preserve"> </w:t>
      </w:r>
      <w:r>
        <w:rPr>
          <w:spacing w:val="-7"/>
        </w:rPr>
        <w:t>监控就能了解需钻孔的组件（C</w:t>
      </w:r>
      <w:r>
        <w:rPr>
          <w:spacing w:val="-8"/>
        </w:rPr>
        <w:t>oA）状态和</w:t>
      </w:r>
      <w:r>
        <w:t xml:space="preserve"> </w:t>
      </w:r>
      <w:r>
        <w:rPr>
          <w:spacing w:val="-3"/>
        </w:rPr>
        <w:t>需执行的基本过程。</w:t>
      </w:r>
    </w:p>
    <w:p>
      <w:pPr>
        <w:spacing w:before="218" w:line="219" w:lineRule="auto"/>
        <w:ind w:left="1"/>
        <w:rPr>
          <w:rFonts w:ascii="SimHei" w:eastAsia="SimHei" w:hAnsi="SimHei" w:cs="SimHei"/>
          <w:sz w:val="21"/>
          <w:szCs w:val="21"/>
        </w:rPr>
      </w:pPr>
      <w:r>
        <w:rPr>
          <w:rFonts w:ascii="SimHei" w:eastAsia="SimHei" w:hAnsi="SimHei" w:cs="SimHei"/>
          <w:spacing w:val="-6"/>
          <w:sz w:val="21"/>
          <w:szCs w:val="21"/>
        </w:rPr>
        <w:t>B.2.3</w:t>
      </w:r>
      <w:r>
        <w:rPr>
          <w:rFonts w:ascii="SimHei" w:eastAsia="SimHei" w:hAnsi="SimHei" w:cs="SimHei"/>
          <w:spacing w:val="-6"/>
          <w:sz w:val="21"/>
          <w:szCs w:val="21"/>
        </w:rPr>
        <w:t xml:space="preserve">  </w:t>
      </w:r>
      <w:r>
        <w:rPr>
          <w:rFonts w:ascii="SimHei" w:eastAsia="SimHei" w:hAnsi="SimHei" w:cs="SimHei"/>
          <w:spacing w:val="-6"/>
          <w:sz w:val="21"/>
          <w:szCs w:val="21"/>
        </w:rPr>
        <w:t>第2阶段：</w:t>
      </w:r>
      <w:r>
        <w:rPr>
          <w:rFonts w:ascii="SimHei" w:eastAsia="SimHei" w:hAnsi="SimHei" w:cs="SimHei"/>
          <w:spacing w:val="-17"/>
          <w:sz w:val="21"/>
          <w:szCs w:val="21"/>
        </w:rPr>
        <w:t xml:space="preserve"> </w:t>
      </w:r>
      <w:r>
        <w:rPr>
          <w:rFonts w:ascii="SimHei" w:eastAsia="SimHei" w:hAnsi="SimHei" w:cs="SimHei"/>
          <w:spacing w:val="-6"/>
          <w:sz w:val="21"/>
          <w:szCs w:val="21"/>
        </w:rPr>
        <w:t>过程更新</w:t>
      </w:r>
    </w:p>
    <w:p>
      <w:pPr>
        <w:pStyle w:val="BodyText"/>
        <w:spacing w:before="220" w:line="247" w:lineRule="auto"/>
        <w:ind w:left="853" w:right="94" w:hanging="429"/>
      </w:pPr>
      <w:r>
        <w:rPr>
          <w:spacing w:val="-5"/>
        </w:rPr>
        <w:t>——第</w:t>
      </w:r>
      <w:r>
        <w:rPr>
          <w:spacing w:val="-23"/>
        </w:rPr>
        <w:t xml:space="preserve"> </w:t>
      </w:r>
      <w:r>
        <w:rPr>
          <w:spacing w:val="-5"/>
        </w:rPr>
        <w:t>1</w:t>
      </w:r>
      <w:r>
        <w:rPr>
          <w:spacing w:val="-41"/>
        </w:rPr>
        <w:t xml:space="preserve"> </w:t>
      </w:r>
      <w:r>
        <w:rPr>
          <w:spacing w:val="-5"/>
        </w:rPr>
        <w:t>步：监控利用</w:t>
      </w:r>
      <w:r>
        <w:rPr>
          <w:spacing w:val="-46"/>
        </w:rPr>
        <w:t xml:space="preserve"> </w:t>
      </w:r>
      <w:r>
        <w:rPr>
          <w:spacing w:val="-5"/>
        </w:rPr>
        <w:t>CoA</w:t>
      </w:r>
      <w:r>
        <w:rPr>
          <w:spacing w:val="-42"/>
        </w:rPr>
        <w:t xml:space="preserve"> </w:t>
      </w:r>
      <w:r>
        <w:rPr>
          <w:spacing w:val="-5"/>
        </w:rPr>
        <w:t>调节器， 根据机翼组件数字孪生（AP242</w:t>
      </w:r>
      <w:r>
        <w:rPr>
          <w:spacing w:val="-44"/>
        </w:rPr>
        <w:t xml:space="preserve"> </w:t>
      </w:r>
      <w:r>
        <w:rPr>
          <w:spacing w:val="-5"/>
        </w:rPr>
        <w:t>格式）</w:t>
      </w:r>
      <w:r>
        <w:rPr>
          <w:spacing w:val="-39"/>
        </w:rPr>
        <w:t xml:space="preserve"> </w:t>
      </w:r>
      <w:r>
        <w:rPr>
          <w:spacing w:val="-5"/>
        </w:rPr>
        <w:t>确定不需要钻孔的孔</w:t>
      </w:r>
      <w:r>
        <w:t xml:space="preserve"> </w:t>
      </w:r>
      <w:r>
        <w:rPr>
          <w:spacing w:val="-3"/>
        </w:rPr>
        <w:t>洞。随后在过程数字孪生（AP238</w:t>
      </w:r>
      <w:r>
        <w:rPr>
          <w:spacing w:val="-44"/>
        </w:rPr>
        <w:t xml:space="preserve"> </w:t>
      </w:r>
      <w:r>
        <w:rPr>
          <w:spacing w:val="-3"/>
        </w:rPr>
        <w:t>格式）</w:t>
      </w:r>
      <w:r>
        <w:rPr>
          <w:spacing w:val="-20"/>
        </w:rPr>
        <w:t xml:space="preserve"> </w:t>
      </w:r>
      <w:r>
        <w:rPr>
          <w:spacing w:val="-3"/>
        </w:rPr>
        <w:t>中停用相关的钻孔工作步骤；</w:t>
      </w:r>
    </w:p>
    <w:p>
      <w:pPr>
        <w:pStyle w:val="BodyText"/>
        <w:spacing w:before="61" w:line="247" w:lineRule="auto"/>
        <w:ind w:left="424" w:right="1142"/>
      </w:pPr>
      <w:r>
        <w:rPr>
          <w:spacing w:val="-2"/>
        </w:rPr>
        <w:t>——第</w:t>
      </w:r>
      <w:r>
        <w:rPr>
          <w:spacing w:val="-33"/>
        </w:rPr>
        <w:t xml:space="preserve"> </w:t>
      </w:r>
      <w:r>
        <w:rPr>
          <w:spacing w:val="-2"/>
        </w:rPr>
        <w:t>2</w:t>
      </w:r>
      <w:r>
        <w:rPr>
          <w:spacing w:val="-41"/>
        </w:rPr>
        <w:t xml:space="preserve"> </w:t>
      </w:r>
      <w:r>
        <w:rPr>
          <w:spacing w:val="-2"/>
        </w:rPr>
        <w:t>步：顺序优化器会在制造单元的四个机器人之间平衡并划分钻孔工作步骤；</w:t>
      </w:r>
      <w:r>
        <w:t xml:space="preserve"> </w:t>
      </w:r>
      <w:r>
        <w:rPr>
          <w:spacing w:val="-1"/>
        </w:rPr>
        <w:t>——第</w:t>
      </w:r>
      <w:r>
        <w:rPr>
          <w:spacing w:val="-32"/>
        </w:rPr>
        <w:t xml:space="preserve"> </w:t>
      </w:r>
      <w:r>
        <w:rPr>
          <w:spacing w:val="-1"/>
        </w:rPr>
        <w:t>3</w:t>
      </w:r>
      <w:r>
        <w:rPr>
          <w:spacing w:val="-41"/>
        </w:rPr>
        <w:t xml:space="preserve"> </w:t>
      </w:r>
      <w:r>
        <w:rPr>
          <w:spacing w:val="-1"/>
        </w:rPr>
        <w:t>步：顺序优化器对每个机器人的钻孔顺序进行优化；</w:t>
      </w:r>
    </w:p>
    <w:p>
      <w:pPr>
        <w:pStyle w:val="BodyText"/>
        <w:spacing w:before="62" w:line="248" w:lineRule="auto"/>
        <w:ind w:left="852" w:right="41" w:hanging="428"/>
      </w:pPr>
      <w:r>
        <w:rPr>
          <w:spacing w:val="-3"/>
        </w:rPr>
        <w:t>——第</w:t>
      </w:r>
      <w:r>
        <w:rPr>
          <w:spacing w:val="-32"/>
        </w:rPr>
        <w:t xml:space="preserve"> </w:t>
      </w:r>
      <w:r>
        <w:rPr>
          <w:spacing w:val="-3"/>
        </w:rPr>
        <w:t>4</w:t>
      </w:r>
      <w:r>
        <w:rPr>
          <w:spacing w:val="-41"/>
        </w:rPr>
        <w:t xml:space="preserve"> </w:t>
      </w:r>
      <w:r>
        <w:rPr>
          <w:spacing w:val="-3"/>
        </w:rPr>
        <w:t>步：过程数字孪生会模拟钻孔过程， 并检查是否有碰撞、是否完成了对所有合适孔洞的</w:t>
      </w:r>
      <w:r>
        <w:t xml:space="preserve"> </w:t>
      </w:r>
      <w:r>
        <w:rPr>
          <w:spacing w:val="-2"/>
        </w:rPr>
        <w:t>钻孔工作；</w:t>
      </w:r>
    </w:p>
    <w:p>
      <w:pPr>
        <w:pStyle w:val="BodyText"/>
        <w:spacing w:before="60" w:line="468" w:lineRule="exact"/>
        <w:ind w:left="424"/>
      </w:pPr>
      <w:r>
        <w:rPr>
          <w:spacing w:val="-2"/>
          <w:position w:val="19"/>
        </w:rPr>
        <w:t>——第</w:t>
      </w:r>
      <w:r>
        <w:rPr>
          <w:spacing w:val="-27"/>
          <w:position w:val="19"/>
        </w:rPr>
        <w:t xml:space="preserve"> </w:t>
      </w:r>
      <w:r>
        <w:rPr>
          <w:spacing w:val="-2"/>
          <w:position w:val="19"/>
        </w:rPr>
        <w:t>5</w:t>
      </w:r>
      <w:r>
        <w:rPr>
          <w:spacing w:val="-41"/>
          <w:position w:val="19"/>
        </w:rPr>
        <w:t xml:space="preserve"> </w:t>
      </w:r>
      <w:r>
        <w:rPr>
          <w:spacing w:val="-2"/>
          <w:position w:val="19"/>
        </w:rPr>
        <w:t>步：将更新后的制造过程发送至语境翻译器。</w:t>
      </w:r>
    </w:p>
    <w:p>
      <w:pPr>
        <w:spacing w:before="1" w:line="219" w:lineRule="auto"/>
        <w:ind w:left="1"/>
        <w:rPr>
          <w:rFonts w:ascii="SimHei" w:eastAsia="SimHei" w:hAnsi="SimHei" w:cs="SimHei"/>
          <w:sz w:val="21"/>
          <w:szCs w:val="21"/>
        </w:rPr>
      </w:pPr>
      <w:r>
        <w:rPr>
          <w:rFonts w:ascii="SimHei" w:eastAsia="SimHei" w:hAnsi="SimHei" w:cs="SimHei"/>
          <w:spacing w:val="-5"/>
          <w:sz w:val="21"/>
          <w:szCs w:val="21"/>
        </w:rPr>
        <w:t>B.2.4</w:t>
      </w:r>
      <w:r>
        <w:rPr>
          <w:rFonts w:ascii="SimHei" w:eastAsia="SimHei" w:hAnsi="SimHei" w:cs="SimHei"/>
          <w:spacing w:val="-5"/>
          <w:sz w:val="21"/>
          <w:szCs w:val="21"/>
        </w:rPr>
        <w:t xml:space="preserve">  </w:t>
      </w:r>
      <w:r>
        <w:rPr>
          <w:rFonts w:ascii="SimHei" w:eastAsia="SimHei" w:hAnsi="SimHei" w:cs="SimHei"/>
          <w:spacing w:val="-5"/>
          <w:sz w:val="21"/>
          <w:szCs w:val="21"/>
        </w:rPr>
        <w:t>第3阶段：</w:t>
      </w:r>
      <w:r>
        <w:rPr>
          <w:rFonts w:ascii="SimHei" w:eastAsia="SimHei" w:hAnsi="SimHei" w:cs="SimHei"/>
          <w:spacing w:val="-28"/>
          <w:sz w:val="21"/>
          <w:szCs w:val="21"/>
        </w:rPr>
        <w:t xml:space="preserve"> </w:t>
      </w:r>
      <w:r>
        <w:rPr>
          <w:rFonts w:ascii="SimHei" w:eastAsia="SimHei" w:hAnsi="SimHei" w:cs="SimHei"/>
          <w:spacing w:val="-5"/>
          <w:sz w:val="21"/>
          <w:szCs w:val="21"/>
        </w:rPr>
        <w:t>转换与传输</w:t>
      </w:r>
    </w:p>
    <w:p>
      <w:pPr>
        <w:pStyle w:val="BodyText"/>
        <w:spacing w:before="217" w:line="257" w:lineRule="auto"/>
        <w:ind w:left="853" w:right="149" w:hanging="429"/>
      </w:pPr>
      <w:r>
        <w:rPr>
          <w:spacing w:val="-3"/>
        </w:rPr>
        <w:t>——第</w:t>
      </w:r>
      <w:r>
        <w:rPr>
          <w:spacing w:val="-29"/>
        </w:rPr>
        <w:t xml:space="preserve"> </w:t>
      </w:r>
      <w:r>
        <w:rPr>
          <w:spacing w:val="-3"/>
        </w:rPr>
        <w:t>1</w:t>
      </w:r>
      <w:r>
        <w:rPr>
          <w:spacing w:val="-41"/>
        </w:rPr>
        <w:t xml:space="preserve"> </w:t>
      </w:r>
      <w:r>
        <w:rPr>
          <w:spacing w:val="-3"/>
        </w:rPr>
        <w:t>步：语境翻译器会提取相关语境（例如， 工作计划、工作步骤以及过程到</w:t>
      </w:r>
      <w:r>
        <w:rPr>
          <w:spacing w:val="-4"/>
        </w:rPr>
        <w:t>孔的映射)。</w:t>
      </w:r>
      <w:r>
        <w:t xml:space="preserve"> </w:t>
      </w:r>
      <w:r>
        <w:rPr>
          <w:spacing w:val="-3"/>
        </w:rPr>
        <w:t>然后， 语境翻译器会将相关语境插入机器人本地编程语言（快速/增强型快速）的标准实现</w:t>
      </w:r>
      <w:r>
        <w:rPr>
          <w:spacing w:val="13"/>
        </w:rPr>
        <w:t xml:space="preserve"> </w:t>
      </w:r>
      <w:r>
        <w:rPr>
          <w:spacing w:val="-4"/>
        </w:rPr>
        <w:t>中；</w:t>
      </w:r>
    </w:p>
    <w:p>
      <w:pPr>
        <w:pStyle w:val="BodyText"/>
        <w:spacing w:before="60" w:line="220" w:lineRule="auto"/>
        <w:ind w:left="424"/>
      </w:pPr>
      <w:r>
        <w:rPr>
          <w:spacing w:val="-1"/>
        </w:rPr>
        <w:t>——第</w:t>
      </w:r>
      <w:r>
        <w:rPr>
          <w:spacing w:val="-38"/>
        </w:rPr>
        <w:t xml:space="preserve"> </w:t>
      </w:r>
      <w:r>
        <w:rPr>
          <w:spacing w:val="-1"/>
        </w:rPr>
        <w:t>2</w:t>
      </w:r>
      <w:r>
        <w:rPr>
          <w:spacing w:val="-42"/>
        </w:rPr>
        <w:t xml:space="preserve"> </w:t>
      </w:r>
      <w:r>
        <w:rPr>
          <w:spacing w:val="-1"/>
        </w:rPr>
        <w:t>步：增强型快速数据会传输至制造单元；</w:t>
      </w:r>
    </w:p>
    <w:p>
      <w:pPr>
        <w:pStyle w:val="BodyText"/>
        <w:spacing w:before="62" w:line="468" w:lineRule="exact"/>
        <w:ind w:left="424"/>
        <w:sectPr>
          <w:headerReference w:type="default" r:id="rId55"/>
          <w:footerReference w:type="default" r:id="rId56"/>
          <w:pgSz w:w="11907" w:h="16839"/>
          <w:pgMar w:top="1659" w:right="1471" w:bottom="1311" w:left="1140" w:header="1448" w:footer="1133" w:gutter="0"/>
          <w:pgNumType w:start="22"/>
          <w:cols w:space="708"/>
        </w:sectPr>
      </w:pPr>
      <w:r>
        <w:rPr>
          <w:spacing w:val="-4"/>
          <w:position w:val="19"/>
        </w:rPr>
        <w:t>——第</w:t>
      </w:r>
      <w:r>
        <w:rPr>
          <w:spacing w:val="-31"/>
          <w:position w:val="19"/>
        </w:rPr>
        <w:t xml:space="preserve"> </w:t>
      </w:r>
      <w:r>
        <w:rPr>
          <w:spacing w:val="-4"/>
          <w:position w:val="19"/>
        </w:rPr>
        <w:t>3</w:t>
      </w:r>
      <w:r>
        <w:rPr>
          <w:spacing w:val="-41"/>
          <w:position w:val="19"/>
        </w:rPr>
        <w:t xml:space="preserve"> </w:t>
      </w:r>
      <w:r>
        <w:rPr>
          <w:spacing w:val="-4"/>
          <w:position w:val="19"/>
        </w:rPr>
        <w:t>步：增强型快速数据会被分发至各个机器人， 并开始制造过程。</w:t>
      </w:r>
    </w:p>
    <w:p>
      <w:pPr>
        <w:spacing w:before="1" w:line="217" w:lineRule="auto"/>
        <w:ind w:left="1"/>
        <w:rPr>
          <w:rFonts w:ascii="SimHei" w:eastAsia="SimHei" w:hAnsi="SimHei" w:cs="SimHei"/>
          <w:sz w:val="21"/>
          <w:szCs w:val="21"/>
        </w:rPr>
      </w:pPr>
      <w:r>
        <w:rPr>
          <w:rFonts w:ascii="SimHei" w:eastAsia="SimHei" w:hAnsi="SimHei" w:cs="SimHei"/>
          <w:spacing w:val="-6"/>
          <w:sz w:val="21"/>
          <w:szCs w:val="21"/>
        </w:rPr>
        <w:t>B.2.5</w:t>
      </w:r>
      <w:r>
        <w:rPr>
          <w:rFonts w:ascii="SimHei" w:eastAsia="SimHei" w:hAnsi="SimHei" w:cs="SimHei"/>
          <w:spacing w:val="-6"/>
          <w:sz w:val="21"/>
          <w:szCs w:val="21"/>
        </w:rPr>
        <w:t xml:space="preserve">  </w:t>
      </w:r>
      <w:r>
        <w:rPr>
          <w:rFonts w:ascii="SimHei" w:eastAsia="SimHei" w:hAnsi="SimHei" w:cs="SimHei"/>
          <w:spacing w:val="-6"/>
          <w:sz w:val="21"/>
          <w:szCs w:val="21"/>
        </w:rPr>
        <w:t>第4阶段：</w:t>
      </w:r>
      <w:r>
        <w:rPr>
          <w:rFonts w:ascii="SimHei" w:eastAsia="SimHei" w:hAnsi="SimHei" w:cs="SimHei"/>
          <w:spacing w:val="-26"/>
          <w:sz w:val="21"/>
          <w:szCs w:val="21"/>
        </w:rPr>
        <w:t xml:space="preserve"> </w:t>
      </w:r>
      <w:r>
        <w:rPr>
          <w:rFonts w:ascii="SimHei" w:eastAsia="SimHei" w:hAnsi="SimHei" w:cs="SimHei"/>
          <w:spacing w:val="-6"/>
          <w:sz w:val="21"/>
          <w:szCs w:val="21"/>
        </w:rPr>
        <w:t>执行</w:t>
      </w:r>
    </w:p>
    <w:p>
      <w:pPr>
        <w:pStyle w:val="BodyText"/>
        <w:spacing w:before="221" w:line="248" w:lineRule="auto"/>
        <w:ind w:left="855" w:right="148" w:hanging="431"/>
      </w:pPr>
      <w:r>
        <w:rPr>
          <w:spacing w:val="-1"/>
        </w:rPr>
        <w:t>——机器人利用</w:t>
      </w:r>
      <w:r>
        <w:rPr>
          <w:spacing w:val="-32"/>
        </w:rPr>
        <w:t xml:space="preserve"> </w:t>
      </w:r>
      <w:r>
        <w:rPr>
          <w:spacing w:val="-1"/>
        </w:rPr>
        <w:t>OPC-UA</w:t>
      </w:r>
      <w:r>
        <w:rPr>
          <w:spacing w:val="-24"/>
        </w:rPr>
        <w:t xml:space="preserve"> </w:t>
      </w:r>
      <w:r>
        <w:rPr>
          <w:spacing w:val="-1"/>
        </w:rPr>
        <w:t>向单元控制器报告环节运动和重要执行过程（如钻孔）。该数据会转换</w:t>
      </w:r>
      <w:r>
        <w:t xml:space="preserve"> </w:t>
      </w:r>
      <w:r>
        <w:rPr>
          <w:spacing w:val="-1"/>
        </w:rPr>
        <w:t>为</w:t>
      </w:r>
      <w:r>
        <w:rPr>
          <w:spacing w:val="-51"/>
        </w:rPr>
        <w:t xml:space="preserve"> </w:t>
      </w:r>
      <w:r>
        <w:rPr>
          <w:spacing w:val="-1"/>
        </w:rPr>
        <w:t>MTConnect；</w:t>
      </w:r>
    </w:p>
    <w:p>
      <w:pPr>
        <w:spacing w:line="248" w:lineRule="auto"/>
        <w:sectPr>
          <w:headerReference w:type="default" r:id="rId57"/>
          <w:footerReference w:type="default" r:id="rId58"/>
          <w:type w:val="nextPage"/>
          <w:pgSz w:w="11907" w:h="16839"/>
          <w:pgMar w:top="1659" w:right="1471" w:bottom="1311" w:left="1140" w:header="1448" w:footer="1133" w:gutter="0"/>
          <w:pgNumType w:start="23"/>
          <w:cols w:space="708"/>
          <w:titlePg w:val="0"/>
        </w:sectPr>
      </w:pPr>
    </w:p>
    <w:p>
      <w:pPr>
        <w:spacing w:line="250" w:lineRule="auto"/>
        <w:rPr>
          <w:rFonts w:ascii="Arial"/>
          <w:sz w:val="21"/>
        </w:rPr>
      </w:pPr>
    </w:p>
    <w:p>
      <w:pPr>
        <w:pStyle w:val="BodyText"/>
        <w:spacing w:before="69" w:line="247" w:lineRule="auto"/>
        <w:ind w:left="852" w:right="160" w:hanging="430"/>
      </w:pPr>
      <w:r>
        <w:t>——MTConnect</w:t>
      </w:r>
      <w:r>
        <w:rPr>
          <w:spacing w:val="-45"/>
        </w:rPr>
        <w:t xml:space="preserve"> </w:t>
      </w:r>
      <w:r>
        <w:t>数据流使数字孪生实体能够不断更新机翼组件和过程数字孪</w:t>
      </w:r>
      <w:r>
        <w:rPr>
          <w:spacing w:val="-1"/>
        </w:rPr>
        <w:t>生。该信息包括机器</w:t>
      </w:r>
      <w:r>
        <w:t xml:space="preserve"> </w:t>
      </w:r>
      <w:r>
        <w:rPr>
          <w:spacing w:val="-2"/>
        </w:rPr>
        <w:t>人环节运动和工作步骤完成。</w:t>
      </w:r>
    </w:p>
    <w:p>
      <w:pPr>
        <w:spacing w:before="216" w:line="220" w:lineRule="auto"/>
        <w:rPr>
          <w:rFonts w:ascii="SimHei" w:eastAsia="SimHei" w:hAnsi="SimHei" w:cs="SimHei"/>
          <w:sz w:val="21"/>
          <w:szCs w:val="21"/>
        </w:rPr>
      </w:pPr>
      <w:r>
        <w:rPr>
          <w:rFonts w:ascii="SimHei" w:eastAsia="SimHei" w:hAnsi="SimHei" w:cs="SimHei"/>
          <w:spacing w:val="-6"/>
          <w:sz w:val="21"/>
          <w:szCs w:val="21"/>
        </w:rPr>
        <w:t>B.2.6</w:t>
      </w:r>
      <w:r>
        <w:rPr>
          <w:rFonts w:ascii="SimHei" w:eastAsia="SimHei" w:hAnsi="SimHei" w:cs="SimHei"/>
          <w:spacing w:val="-6"/>
          <w:sz w:val="21"/>
          <w:szCs w:val="21"/>
        </w:rPr>
        <w:t xml:space="preserve">  </w:t>
      </w:r>
      <w:r>
        <w:rPr>
          <w:rFonts w:ascii="SimHei" w:eastAsia="SimHei" w:hAnsi="SimHei" w:cs="SimHei"/>
          <w:spacing w:val="-6"/>
          <w:sz w:val="21"/>
          <w:szCs w:val="21"/>
        </w:rPr>
        <w:t>第5阶段：</w:t>
      </w:r>
      <w:r>
        <w:rPr>
          <w:rFonts w:ascii="SimHei" w:eastAsia="SimHei" w:hAnsi="SimHei" w:cs="SimHei"/>
          <w:spacing w:val="-25"/>
          <w:sz w:val="21"/>
          <w:szCs w:val="21"/>
        </w:rPr>
        <w:t xml:space="preserve"> </w:t>
      </w:r>
      <w:r>
        <w:rPr>
          <w:rFonts w:ascii="SimHei" w:eastAsia="SimHei" w:hAnsi="SimHei" w:cs="SimHei"/>
          <w:spacing w:val="-6"/>
          <w:sz w:val="21"/>
          <w:szCs w:val="21"/>
        </w:rPr>
        <w:t>文档</w:t>
      </w:r>
    </w:p>
    <w:p>
      <w:pPr>
        <w:pStyle w:val="BodyText"/>
        <w:spacing w:before="217" w:line="247" w:lineRule="auto"/>
        <w:ind w:left="851" w:right="155" w:hanging="429"/>
      </w:pPr>
      <w:r>
        <w:t>——更新后的机翼组件和过程数字孪生通过</w:t>
      </w:r>
      <w:r>
        <w:rPr>
          <w:spacing w:val="-51"/>
        </w:rPr>
        <w:t xml:space="preserve"> </w:t>
      </w:r>
      <w:r>
        <w:t>MOM</w:t>
      </w:r>
      <w:r>
        <w:rPr>
          <w:spacing w:val="-42"/>
        </w:rPr>
        <w:t xml:space="preserve"> </w:t>
      </w:r>
      <w:r>
        <w:t>上传回</w:t>
      </w:r>
      <w:r>
        <w:rPr>
          <w:spacing w:val="-50"/>
        </w:rPr>
        <w:t xml:space="preserve"> </w:t>
      </w:r>
      <w:r>
        <w:t>PLM。然后将</w:t>
      </w:r>
      <w:r>
        <w:rPr>
          <w:spacing w:val="-1"/>
        </w:rPr>
        <w:t>这些数字孪生用作下游流程</w:t>
      </w:r>
      <w:r>
        <w:t xml:space="preserve"> </w:t>
      </w:r>
      <w:r>
        <w:rPr>
          <w:spacing w:val="-2"/>
        </w:rPr>
        <w:t>和报告的</w:t>
      </w:r>
      <w:r>
        <w:rPr>
          <w:spacing w:val="-45"/>
        </w:rPr>
        <w:t xml:space="preserve"> </w:t>
      </w:r>
      <w:r>
        <w:rPr>
          <w:spacing w:val="-2"/>
        </w:rPr>
        <w:t>CoA；</w:t>
      </w:r>
    </w:p>
    <w:p>
      <w:pPr>
        <w:pStyle w:val="BodyText"/>
        <w:spacing w:before="62" w:line="468" w:lineRule="exact"/>
        <w:ind w:left="422"/>
      </w:pPr>
      <w:r>
        <w:rPr>
          <w:spacing w:val="-1"/>
          <w:position w:val="19"/>
        </w:rPr>
        <w:t>——包含新孔的机翼组件从制造单元上卸下。</w:t>
      </w:r>
    </w:p>
    <w:p>
      <w:pPr>
        <w:spacing w:line="219" w:lineRule="auto"/>
        <w:rPr>
          <w:rFonts w:ascii="SimHei" w:eastAsia="SimHei" w:hAnsi="SimHei" w:cs="SimHei"/>
          <w:sz w:val="21"/>
          <w:szCs w:val="21"/>
        </w:rPr>
      </w:pPr>
      <w:r>
        <w:rPr>
          <w:rFonts w:ascii="SimHei" w:eastAsia="SimHei" w:hAnsi="SimHei" w:cs="SimHei"/>
          <w:spacing w:val="-1"/>
          <w:sz w:val="21"/>
          <w:szCs w:val="21"/>
        </w:rPr>
        <w:t>B.3</w:t>
      </w:r>
      <w:r>
        <w:rPr>
          <w:rFonts w:ascii="SimHei" w:eastAsia="SimHei" w:hAnsi="SimHei" w:cs="SimHei"/>
          <w:spacing w:val="-1"/>
          <w:sz w:val="21"/>
          <w:szCs w:val="21"/>
        </w:rPr>
        <w:t xml:space="preserve">  </w:t>
      </w:r>
      <w:r>
        <w:rPr>
          <w:rFonts w:ascii="SimHei" w:eastAsia="SimHei" w:hAnsi="SimHei" w:cs="SimHei"/>
          <w:spacing w:val="-1"/>
          <w:sz w:val="21"/>
          <w:szCs w:val="21"/>
        </w:rPr>
        <w:t>映射到框架</w:t>
      </w:r>
    </w:p>
    <w:p>
      <w:pPr>
        <w:spacing w:before="218" w:line="219" w:lineRule="auto"/>
        <w:rPr>
          <w:rFonts w:ascii="SimHei" w:eastAsia="SimHei" w:hAnsi="SimHei" w:cs="SimHei"/>
          <w:sz w:val="21"/>
          <w:szCs w:val="21"/>
        </w:rPr>
      </w:pPr>
      <w:r>
        <w:rPr>
          <w:rFonts w:ascii="SimHei" w:eastAsia="SimHei" w:hAnsi="SimHei" w:cs="SimHei"/>
          <w:spacing w:val="-1"/>
          <w:sz w:val="21"/>
          <w:szCs w:val="21"/>
        </w:rPr>
        <w:t>B.3.1</w:t>
      </w:r>
      <w:r>
        <w:rPr>
          <w:rFonts w:ascii="SimHei" w:eastAsia="SimHei" w:hAnsi="SimHei" w:cs="SimHei"/>
          <w:spacing w:val="-1"/>
          <w:sz w:val="21"/>
          <w:szCs w:val="21"/>
        </w:rPr>
        <w:t xml:space="preserve">  </w:t>
      </w:r>
      <w:r>
        <w:rPr>
          <w:rFonts w:ascii="SimHei" w:eastAsia="SimHei" w:hAnsi="SimHei" w:cs="SimHei"/>
          <w:spacing w:val="-1"/>
          <w:sz w:val="21"/>
          <w:szCs w:val="21"/>
        </w:rPr>
        <w:t>概述</w:t>
      </w:r>
    </w:p>
    <w:p>
      <w:pPr>
        <w:pStyle w:val="BodyText"/>
        <w:spacing w:before="219" w:line="221" w:lineRule="auto"/>
        <w:ind w:left="439"/>
      </w:pPr>
      <w:r>
        <w:rPr>
          <w:spacing w:val="-3"/>
        </w:rPr>
        <w:t>图B.2展示了如何根据框架实现示例。</w:t>
      </w:r>
    </w:p>
    <w:p>
      <w:pPr>
        <w:spacing w:before="97" w:line="5126" w:lineRule="exact"/>
        <w:ind w:firstLine="410"/>
      </w:pPr>
      <w:r>
        <w:rPr>
          <w:position w:val="-102"/>
        </w:rPr>
        <w:drawing>
          <wp:inline distT="0" distB="0" distL="0" distR="0">
            <wp:extent cx="5478779" cy="325501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59"/>
                    <a:stretch>
                      <a:fillRect/>
                    </a:stretch>
                  </pic:blipFill>
                  <pic:spPr>
                    <a:xfrm>
                      <a:off x="0" y="0"/>
                      <a:ext cx="5478779" cy="3255010"/>
                    </a:xfrm>
                    <a:prstGeom prst="rect">
                      <a:avLst/>
                    </a:prstGeom>
                  </pic:spPr>
                </pic:pic>
              </a:graphicData>
            </a:graphic>
          </wp:inline>
        </w:drawing>
      </w:r>
    </w:p>
    <w:p>
      <w:pPr>
        <w:spacing w:line="235" w:lineRule="exact"/>
      </w:pPr>
    </w:p>
    <w:p>
      <w:pPr>
        <w:spacing w:line="235" w:lineRule="exact"/>
        <w:sectPr>
          <w:headerReference w:type="default" r:id="rId60"/>
          <w:footerReference w:type="default" r:id="rId61"/>
          <w:pgSz w:w="11907" w:h="16839"/>
          <w:pgMar w:top="1659" w:right="1128" w:bottom="1311" w:left="1427" w:header="1448" w:footer="1133" w:gutter="0"/>
          <w:pgNumType w:start="24"/>
          <w:cols w:num="1" w:space="708" w:equalWidth="0">
            <w:col w:w="9351" w:space="0"/>
          </w:cols>
        </w:sectPr>
      </w:pPr>
    </w:p>
    <w:p>
      <w:pPr>
        <w:pStyle w:val="BodyText"/>
        <w:spacing w:before="42" w:line="459" w:lineRule="exact"/>
      </w:pPr>
      <w:r>
        <w:rPr>
          <w:rFonts w:ascii="SimHei" w:eastAsia="SimHei" w:hAnsi="SimHei" w:cs="SimHei"/>
          <w:color w:val="221E1F"/>
          <w:spacing w:val="-15"/>
          <w:position w:val="19"/>
          <w:sz w:val="18"/>
          <w:szCs w:val="18"/>
        </w:rPr>
        <w:t>注：</w:t>
      </w:r>
      <w:r>
        <w:rPr>
          <w:rFonts w:ascii="SimHei" w:eastAsia="SimHei" w:hAnsi="SimHei" w:cs="SimHei"/>
          <w:color w:val="221E1F"/>
          <w:spacing w:val="60"/>
          <w:position w:val="19"/>
          <w:sz w:val="18"/>
          <w:szCs w:val="18"/>
        </w:rPr>
        <w:t xml:space="preserve"> </w:t>
      </w:r>
      <w:r>
        <w:rPr>
          <w:color w:val="221E1F"/>
          <w:spacing w:val="-15"/>
          <w:position w:val="19"/>
          <w14:textOutline w14:w="3831">
            <w14:solidFill>
              <w14:srgbClr w14:val="221E1F"/>
            </w14:solidFill>
            <w14:prstDash w14:val="solid"/>
            <w14:miter w14:lim="10"/>
          </w14:textOutline>
        </w:rPr>
        <w:t>图标注释</w:t>
      </w:r>
    </w:p>
    <w:p>
      <w:pPr>
        <w:pStyle w:val="BodyText"/>
        <w:spacing w:before="1" w:line="219" w:lineRule="auto"/>
        <w:ind w:left="35"/>
        <w:rPr>
          <w:sz w:val="18"/>
          <w:szCs w:val="18"/>
        </w:rPr>
      </w:pPr>
      <w:r>
        <w:rPr>
          <w:color w:val="221E1F"/>
          <w:spacing w:val="-1"/>
          <w:sz w:val="18"/>
          <w:szCs w:val="18"/>
          <w14:textOutline w14:w="3265">
            <w14:solidFill>
              <w14:srgbClr w14:val="221E1F"/>
            </w14:solidFill>
            <w14:prstDash w14:val="solid"/>
            <w14:miter w14:lim="10"/>
          </w14:textOutline>
        </w:rPr>
        <w:t>模型</w:t>
      </w:r>
    </w:p>
    <w:p>
      <w:pPr>
        <w:spacing w:before="186" w:line="338" w:lineRule="exact"/>
        <w:ind w:firstLine="30"/>
      </w:pPr>
      <w:r>
        <w:rPr>
          <w:position w:val="-6"/>
        </w:rPr>
        <w:drawing>
          <wp:inline distT="0" distB="0" distL="0" distR="0">
            <wp:extent cx="914399" cy="214426"/>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62"/>
                    <a:stretch>
                      <a:fillRect/>
                    </a:stretch>
                  </pic:blipFill>
                  <pic:spPr>
                    <a:xfrm>
                      <a:off x="0" y="0"/>
                      <a:ext cx="914399" cy="214426"/>
                    </a:xfrm>
                    <a:prstGeom prst="rect">
                      <a:avLst/>
                    </a:prstGeom>
                  </pic:spPr>
                </pic:pic>
              </a:graphicData>
            </a:graphic>
          </wp:inline>
        </w:drawing>
      </w:r>
    </w:p>
    <w:p>
      <w:pPr>
        <w:pStyle w:val="BodyText"/>
        <w:spacing w:before="186" w:line="231" w:lineRule="auto"/>
        <w:ind w:left="36"/>
        <w:rPr>
          <w:sz w:val="18"/>
          <w:szCs w:val="18"/>
        </w:rPr>
      </w:pPr>
      <w:r>
        <w:rPr>
          <w:color w:val="221E1F"/>
          <w:spacing w:val="-1"/>
          <w:sz w:val="18"/>
          <w:szCs w:val="18"/>
          <w14:textOutline w14:w="3265">
            <w14:solidFill>
              <w14:srgbClr w14:val="221E1F"/>
            </w14:solidFill>
            <w14:prstDash w14:val="solid"/>
            <w14:miter w14:lim="10"/>
          </w14:textOutline>
        </w:rPr>
        <w:t>产品</w:t>
      </w:r>
      <w:r>
        <w:rPr>
          <w:rFonts w:ascii="Calibri" w:eastAsia="Calibri" w:hAnsi="Calibri" w:cs="Calibri"/>
          <w:b/>
          <w:bCs/>
          <w:color w:val="221E1F"/>
          <w:spacing w:val="-1"/>
          <w:sz w:val="18"/>
          <w:szCs w:val="18"/>
        </w:rPr>
        <w:t>/</w:t>
      </w:r>
      <w:r>
        <w:rPr>
          <w:color w:val="221E1F"/>
          <w:spacing w:val="-1"/>
          <w:sz w:val="18"/>
          <w:szCs w:val="18"/>
          <w14:textOutline w14:w="3265">
            <w14:solidFill>
              <w14:srgbClr w14:val="221E1F"/>
            </w14:solidFill>
            <w14:prstDash w14:val="solid"/>
            <w14:miter w14:lim="10"/>
          </w14:textOutline>
        </w:rPr>
        <w:t>过程</w:t>
      </w:r>
    </w:p>
    <w:p>
      <w:pPr>
        <w:spacing w:before="175" w:line="341" w:lineRule="exact"/>
        <w:ind w:firstLine="30"/>
      </w:pPr>
      <w:r>
        <w:rPr>
          <w:position w:val="-6"/>
        </w:rPr>
        <w:drawing>
          <wp:inline distT="0" distB="0" distL="0" distR="0">
            <wp:extent cx="877569" cy="216966"/>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63"/>
                    <a:stretch>
                      <a:fillRect/>
                    </a:stretch>
                  </pic:blipFill>
                  <pic:spPr>
                    <a:xfrm>
                      <a:off x="0" y="0"/>
                      <a:ext cx="877569" cy="216966"/>
                    </a:xfrm>
                    <a:prstGeom prst="rect">
                      <a:avLst/>
                    </a:prstGeom>
                  </pic:spPr>
                </pic:pic>
              </a:graphicData>
            </a:graphic>
          </wp:inline>
        </w:drawing>
      </w:r>
    </w:p>
    <w:p>
      <w:pPr>
        <w:pStyle w:val="BodyText"/>
        <w:spacing w:before="183" w:line="219" w:lineRule="auto"/>
        <w:ind w:left="38"/>
        <w:rPr>
          <w:sz w:val="18"/>
          <w:szCs w:val="18"/>
        </w:rPr>
      </w:pPr>
      <w:r>
        <w:rPr>
          <w:color w:val="221E1F"/>
          <w:spacing w:val="-2"/>
          <w:sz w:val="18"/>
          <w:szCs w:val="18"/>
          <w14:textOutline w14:w="3265">
            <w14:solidFill>
              <w14:srgbClr w14:val="221E1F"/>
            </w14:solidFill>
            <w14:prstDash w14:val="solid"/>
            <w14:miter w14:lim="10"/>
          </w14:textOutline>
        </w:rPr>
        <w:t>指令</w:t>
      </w:r>
    </w:p>
    <w:p>
      <w:pPr>
        <w:spacing w:before="186" w:line="342" w:lineRule="exact"/>
        <w:ind w:firstLine="30"/>
      </w:pPr>
      <w:r>
        <w:rPr>
          <w:position w:val="-6"/>
        </w:rPr>
        <w:drawing>
          <wp:inline distT="0" distB="0" distL="0" distR="0">
            <wp:extent cx="885190" cy="216966"/>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64"/>
                    <a:stretch>
                      <a:fillRect/>
                    </a:stretch>
                  </pic:blipFill>
                  <pic:spPr>
                    <a:xfrm>
                      <a:off x="0" y="0"/>
                      <a:ext cx="885190" cy="216966"/>
                    </a:xfrm>
                    <a:prstGeom prst="rect">
                      <a:avLst/>
                    </a:prstGeom>
                  </pic:spPr>
                </pic:pic>
              </a:graphicData>
            </a:graphic>
          </wp:inline>
        </w:drawing>
      </w:r>
    </w:p>
    <w:p>
      <w:pPr>
        <w:spacing w:line="342" w:lineRule="auto"/>
        <w:rPr>
          <w:rFonts w:ascii="Arial"/>
          <w:sz w:val="21"/>
        </w:rPr>
      </w:pPr>
    </w:p>
    <w:p>
      <w:pPr>
        <w:spacing w:line="343" w:lineRule="auto"/>
        <w:rPr>
          <w:rFonts w:ascii="Arial"/>
          <w:sz w:val="21"/>
        </w:rPr>
      </w:pPr>
    </w:p>
    <w:p>
      <w:pPr>
        <w:spacing w:before="68" w:line="186" w:lineRule="auto"/>
        <w:rPr>
          <w:rFonts w:ascii="SimHei" w:eastAsia="SimHei" w:hAnsi="SimHei" w:cs="SimHei"/>
          <w:sz w:val="21"/>
          <w:szCs w:val="21"/>
        </w:rPr>
      </w:pPr>
      <w:r>
        <w:rPr>
          <w:rFonts w:ascii="SimHei" w:eastAsia="SimHei" w:hAnsi="SimHei" w:cs="SimHei"/>
          <w:spacing w:val="-1"/>
          <w:sz w:val="21"/>
          <w:szCs w:val="21"/>
        </w:rPr>
        <w:t>B.3.2</w:t>
      </w:r>
      <w:r>
        <w:rPr>
          <w:rFonts w:ascii="SimHei" w:eastAsia="SimHei" w:hAnsi="SimHei" w:cs="SimHei"/>
          <w:spacing w:val="-1"/>
          <w:sz w:val="21"/>
          <w:szCs w:val="21"/>
        </w:rPr>
        <w:t xml:space="preserve">  </w:t>
      </w:r>
      <w:r>
        <w:rPr>
          <w:rFonts w:ascii="SimHei" w:eastAsia="SimHei" w:hAnsi="SimHei" w:cs="SimHei"/>
          <w:spacing w:val="-1"/>
          <w:sz w:val="21"/>
          <w:szCs w:val="21"/>
        </w:rPr>
        <w:t>使用框架实现</w:t>
      </w:r>
    </w:p>
    <w:p>
      <w:pPr>
        <w:spacing w:line="14" w:lineRule="auto"/>
        <w:rPr>
          <w:rFonts w:ascii="Arial"/>
          <w:sz w:val="2"/>
        </w:rPr>
        <w:sectPr>
          <w:headerReference w:type="default" r:id="rId65"/>
          <w:footerReference w:type="default" r:id="rId66"/>
          <w:type w:val="continuous"/>
          <w:pgSz w:w="11907" w:h="16839"/>
          <w:pgMar w:top="1659" w:right="1128" w:bottom="1311" w:left="1427" w:header="1448" w:footer="1133" w:gutter="0"/>
          <w:pgNumType w:start="25"/>
          <w:cols w:num="2" w:space="708" w:equalWidth="0">
            <w:col w:w="2025" w:space="100"/>
            <w:col w:w="7226" w:space="0"/>
          </w:cols>
        </w:sectPr>
      </w:pPr>
      <w:r>
        <w:rPr>
          <w:rFonts w:ascii="Arial" w:eastAsia="Arial" w:hAnsi="Arial" w:cs="Arial"/>
          <w:sz w:val="2"/>
          <w:szCs w:val="2"/>
        </w:rPr>
        <w:br w:type="column"/>
      </w:r>
    </w:p>
    <w:p>
      <w:pPr>
        <w:spacing w:line="298" w:lineRule="auto"/>
        <w:rPr>
          <w:rFonts w:ascii="Arial"/>
          <w:sz w:val="21"/>
        </w:rPr>
      </w:pPr>
    </w:p>
    <w:p>
      <w:pPr>
        <w:spacing w:line="299" w:lineRule="auto"/>
        <w:rPr>
          <w:rFonts w:ascii="Arial"/>
          <w:sz w:val="21"/>
        </w:rPr>
      </w:pPr>
    </w:p>
    <w:p>
      <w:pPr>
        <w:spacing w:line="299" w:lineRule="auto"/>
        <w:rPr>
          <w:rFonts w:ascii="Arial"/>
          <w:sz w:val="21"/>
        </w:rPr>
      </w:pPr>
    </w:p>
    <w:p>
      <w:pPr>
        <w:pStyle w:val="BodyText"/>
        <w:spacing w:before="59" w:line="233" w:lineRule="auto"/>
        <w:rPr>
          <w:sz w:val="18"/>
          <w:szCs w:val="18"/>
        </w:rPr>
      </w:pPr>
      <w:r>
        <w:rPr>
          <w:color w:val="221E1F"/>
          <w:spacing w:val="-2"/>
          <w:sz w:val="18"/>
          <w:szCs w:val="18"/>
        </w:rPr>
        <w:t>产品</w:t>
      </w:r>
      <w:r>
        <w:rPr>
          <w:rFonts w:ascii="Calibri" w:eastAsia="Calibri" w:hAnsi="Calibri" w:cs="Calibri"/>
          <w:color w:val="221E1F"/>
          <w:spacing w:val="-2"/>
          <w:sz w:val="18"/>
          <w:szCs w:val="18"/>
        </w:rPr>
        <w:t>/</w:t>
      </w:r>
      <w:r>
        <w:rPr>
          <w:color w:val="221E1F"/>
          <w:spacing w:val="-2"/>
          <w:sz w:val="18"/>
          <w:szCs w:val="18"/>
        </w:rPr>
        <w:t>过程</w:t>
      </w:r>
    </w:p>
    <w:p>
      <w:pPr>
        <w:spacing w:line="316" w:lineRule="auto"/>
        <w:rPr>
          <w:rFonts w:ascii="Arial"/>
          <w:sz w:val="21"/>
        </w:rPr>
      </w:pPr>
    </w:p>
    <w:p>
      <w:pPr>
        <w:spacing w:line="317" w:lineRule="auto"/>
        <w:rPr>
          <w:rFonts w:ascii="Arial"/>
          <w:sz w:val="21"/>
        </w:rPr>
      </w:pPr>
    </w:p>
    <w:p>
      <w:pPr>
        <w:pStyle w:val="BodyText"/>
        <w:spacing w:before="59" w:line="220" w:lineRule="auto"/>
        <w:ind w:left="5"/>
        <w:rPr>
          <w:sz w:val="18"/>
          <w:szCs w:val="18"/>
        </w:rPr>
      </w:pPr>
      <w:r>
        <w:rPr>
          <w:color w:val="221E1F"/>
          <w:spacing w:val="-6"/>
          <w:sz w:val="18"/>
          <w:szCs w:val="18"/>
        </w:rPr>
        <w:t>下放完成等。</w:t>
      </w:r>
    </w:p>
    <w:p>
      <w:pPr>
        <w:spacing w:line="323" w:lineRule="auto"/>
        <w:rPr>
          <w:rFonts w:ascii="Arial"/>
          <w:sz w:val="21"/>
        </w:rPr>
      </w:pPr>
    </w:p>
    <w:p>
      <w:pPr>
        <w:spacing w:line="324" w:lineRule="auto"/>
        <w:rPr>
          <w:rFonts w:ascii="Arial"/>
          <w:sz w:val="21"/>
        </w:rPr>
      </w:pPr>
    </w:p>
    <w:p>
      <w:pPr>
        <w:pStyle w:val="BodyText"/>
        <w:spacing w:before="60" w:line="220" w:lineRule="auto"/>
        <w:rPr>
          <w:sz w:val="18"/>
          <w:szCs w:val="18"/>
        </w:rPr>
      </w:pPr>
      <w:r>
        <w:rPr>
          <w:rFonts w:ascii="Calibri" w:eastAsia="Calibri" w:hAnsi="Calibri" w:cs="Calibri"/>
          <w:color w:val="221E1F"/>
          <w:spacing w:val="-5"/>
          <w:sz w:val="18"/>
          <w:szCs w:val="18"/>
        </w:rPr>
        <w:t>G-</w:t>
      </w:r>
      <w:r>
        <w:rPr>
          <w:color w:val="221E1F"/>
          <w:spacing w:val="-5"/>
          <w:sz w:val="18"/>
          <w:szCs w:val="18"/>
        </w:rPr>
        <w:t>代码等。</w:t>
      </w:r>
    </w:p>
    <w:p>
      <w:pPr>
        <w:spacing w:line="305" w:lineRule="auto"/>
        <w:rPr>
          <w:rFonts w:ascii="Arial"/>
          <w:sz w:val="21"/>
        </w:rPr>
      </w:pPr>
    </w:p>
    <w:p>
      <w:pPr>
        <w:spacing w:before="68" w:line="220" w:lineRule="auto"/>
        <w:ind w:left="1495"/>
        <w:rPr>
          <w:rFonts w:ascii="SimHei" w:eastAsia="SimHei" w:hAnsi="SimHei" w:cs="SimHei"/>
          <w:sz w:val="21"/>
          <w:szCs w:val="21"/>
        </w:rPr>
      </w:pPr>
      <w:r>
        <w:rPr>
          <w:rFonts w:ascii="SimHei" w:eastAsia="SimHei" w:hAnsi="SimHei" w:cs="SimHei"/>
          <w:spacing w:val="-2"/>
          <w:sz w:val="21"/>
          <w:szCs w:val="21"/>
        </w:rPr>
        <w:t>图B.2</w:t>
      </w:r>
      <w:r>
        <w:rPr>
          <w:rFonts w:ascii="SimHei" w:eastAsia="SimHei" w:hAnsi="SimHei" w:cs="SimHei"/>
          <w:spacing w:val="-39"/>
          <w:sz w:val="21"/>
          <w:szCs w:val="21"/>
        </w:rPr>
        <w:t xml:space="preserve"> </w:t>
      </w:r>
      <w:r>
        <w:rPr>
          <w:rFonts w:ascii="SimHei" w:eastAsia="SimHei" w:hAnsi="SimHei" w:cs="SimHei"/>
          <w:spacing w:val="-2"/>
          <w:sz w:val="21"/>
          <w:szCs w:val="21"/>
        </w:rPr>
        <w:t>机器人的动态调度</w:t>
      </w:r>
    </w:p>
    <w:p>
      <w:pPr>
        <w:spacing w:line="220" w:lineRule="auto"/>
        <w:rPr>
          <w:rFonts w:ascii="SimHei" w:eastAsia="SimHei" w:hAnsi="SimHei" w:cs="SimHei"/>
          <w:sz w:val="21"/>
          <w:szCs w:val="21"/>
        </w:rPr>
        <w:sectPr>
          <w:headerReference w:type="default" r:id="rId67"/>
          <w:footerReference w:type="default" r:id="rId68"/>
          <w:type w:val="nextPage"/>
          <w:pgSz w:w="11907" w:h="16839"/>
          <w:pgMar w:top="1659" w:right="1128" w:bottom="1311" w:left="1427" w:header="1448" w:footer="1133" w:gutter="0"/>
          <w:pgNumType w:start="26"/>
          <w:cols w:num="2" w:space="708" w:equalWidth="0">
            <w:col w:w="2025" w:space="100"/>
            <w:col w:w="7226" w:space="0"/>
          </w:cols>
          <w:titlePg w:val="0"/>
        </w:sectPr>
      </w:pPr>
    </w:p>
    <w:p>
      <w:pPr>
        <w:spacing w:line="249" w:lineRule="auto"/>
        <w:rPr>
          <w:rFonts w:ascii="Arial"/>
          <w:sz w:val="21"/>
        </w:rPr>
      </w:pPr>
    </w:p>
    <w:p>
      <w:pPr>
        <w:pStyle w:val="BodyText"/>
        <w:spacing w:before="68" w:line="221" w:lineRule="auto"/>
        <w:ind w:left="427"/>
      </w:pPr>
      <w:r>
        <w:rPr>
          <w:spacing w:val="-1"/>
        </w:rPr>
        <w:t>框架的动态调度用例的实现如表B.2所示，标签如图B.2所示。</w:t>
      </w:r>
    </w:p>
    <w:p>
      <w:pPr>
        <w:spacing w:before="195" w:line="220" w:lineRule="auto"/>
        <w:ind w:left="3094"/>
        <w:rPr>
          <w:rFonts w:ascii="SimHei" w:eastAsia="SimHei" w:hAnsi="SimHei" w:cs="SimHei"/>
          <w:sz w:val="21"/>
          <w:szCs w:val="21"/>
        </w:rPr>
      </w:pPr>
      <w:r>
        <w:rPr>
          <w:rFonts w:ascii="SimHei" w:eastAsia="SimHei" w:hAnsi="SimHei" w:cs="SimHei"/>
          <w:spacing w:val="-1"/>
          <w:sz w:val="21"/>
          <w:szCs w:val="21"/>
        </w:rPr>
        <w:t>表B.2</w:t>
      </w:r>
      <w:r>
        <w:rPr>
          <w:rFonts w:ascii="SimHei" w:eastAsia="SimHei" w:hAnsi="SimHei" w:cs="SimHei"/>
          <w:spacing w:val="-37"/>
          <w:sz w:val="21"/>
          <w:szCs w:val="21"/>
        </w:rPr>
        <w:t xml:space="preserve"> </w:t>
      </w:r>
      <w:r>
        <w:rPr>
          <w:rFonts w:ascii="SimHei" w:eastAsia="SimHei" w:hAnsi="SimHei" w:cs="SimHei"/>
          <w:spacing w:val="-1"/>
          <w:sz w:val="21"/>
          <w:szCs w:val="21"/>
        </w:rPr>
        <w:t>利用框架动态调度用例的实现</w:t>
      </w:r>
    </w:p>
    <w:tbl>
      <w:tblPr>
        <w:tblStyle w:val="TableNormal2"/>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88"/>
        <w:gridCol w:w="1772"/>
        <w:gridCol w:w="1771"/>
        <w:gridCol w:w="1634"/>
        <w:gridCol w:w="1773"/>
        <w:gridCol w:w="1811"/>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0"/>
        </w:trPr>
        <w:tc>
          <w:tcPr>
            <w:tcW w:w="588" w:type="dxa"/>
            <w:vAlign w:val="top"/>
          </w:tcPr>
          <w:p>
            <w:pPr>
              <w:pStyle w:val="TableText"/>
              <w:spacing w:before="203" w:line="220" w:lineRule="auto"/>
              <w:ind w:left="118"/>
            </w:pPr>
            <w:r>
              <w:rPr>
                <w:color w:val="221E1F"/>
                <w:spacing w:val="-2"/>
                <w14:textOutline w14:w="3265">
                  <w14:solidFill>
                    <w14:srgbClr w14:val="221E1F"/>
                  </w14:solidFill>
                  <w14:prstDash w14:val="solid"/>
                  <w14:miter w14:lim="10"/>
                </w14:textOutline>
              </w:rPr>
              <w:t>标签</w:t>
            </w:r>
          </w:p>
        </w:tc>
        <w:tc>
          <w:tcPr>
            <w:tcW w:w="1772" w:type="dxa"/>
            <w:vAlign w:val="top"/>
          </w:tcPr>
          <w:p>
            <w:pPr>
              <w:pStyle w:val="TableText"/>
              <w:spacing w:before="202" w:line="219" w:lineRule="auto"/>
              <w:ind w:left="347"/>
            </w:pPr>
            <w:r>
              <w:rPr>
                <w:color w:val="221E1F"/>
                <w:spacing w:val="-1"/>
                <w14:textOutline w14:w="3265">
                  <w14:solidFill>
                    <w14:srgbClr w14:val="221E1F"/>
                  </w14:solidFill>
                  <w14:prstDash w14:val="solid"/>
                  <w14:miter w14:lim="10"/>
                </w14:textOutline>
              </w:rPr>
              <w:t>用例中的角色</w:t>
            </w:r>
          </w:p>
        </w:tc>
        <w:tc>
          <w:tcPr>
            <w:tcW w:w="1771" w:type="dxa"/>
            <w:vAlign w:val="top"/>
          </w:tcPr>
          <w:p>
            <w:pPr>
              <w:pStyle w:val="TableText"/>
              <w:spacing w:before="202" w:line="222" w:lineRule="auto"/>
              <w:ind w:left="338"/>
            </w:pPr>
            <w:r>
              <w:rPr>
                <w:rFonts w:ascii="Calibri" w:eastAsia="Calibri" w:hAnsi="Calibri" w:cs="Calibri"/>
                <w:b/>
                <w:bCs/>
                <w:color w:val="221E1F"/>
                <w:spacing w:val="-1"/>
              </w:rPr>
              <w:t>ISO 23247</w:t>
            </w:r>
            <w:r>
              <w:rPr>
                <w:color w:val="221E1F"/>
                <w:spacing w:val="-1"/>
                <w14:textOutline w14:w="3265">
                  <w14:solidFill>
                    <w14:srgbClr w14:val="221E1F"/>
                  </w14:solidFill>
                  <w14:prstDash w14:val="solid"/>
                  <w14:miter w14:lim="10"/>
                </w14:textOutline>
              </w:rPr>
              <w:t>名称</w:t>
            </w:r>
          </w:p>
        </w:tc>
        <w:tc>
          <w:tcPr>
            <w:tcW w:w="1634" w:type="dxa"/>
            <w:vAlign w:val="top"/>
          </w:tcPr>
          <w:p>
            <w:pPr>
              <w:pStyle w:val="TableText"/>
              <w:spacing w:before="202" w:line="220" w:lineRule="auto"/>
              <w:ind w:left="271"/>
            </w:pPr>
            <w:r>
              <w:rPr>
                <w:rFonts w:ascii="Calibri" w:eastAsia="Calibri" w:hAnsi="Calibri" w:cs="Calibri"/>
                <w:b/>
                <w:bCs/>
                <w:color w:val="221E1F"/>
                <w:spacing w:val="-1"/>
              </w:rPr>
              <w:t>ISO 23247</w:t>
            </w:r>
            <w:r>
              <w:rPr>
                <w:color w:val="221E1F"/>
                <w:spacing w:val="-1"/>
                <w14:textOutline w14:w="3265">
                  <w14:solidFill>
                    <w14:srgbClr w14:val="221E1F"/>
                  </w14:solidFill>
                  <w14:prstDash w14:val="solid"/>
                  <w14:miter w14:lim="10"/>
                </w14:textOutline>
              </w:rPr>
              <w:t>参考</w:t>
            </w:r>
          </w:p>
        </w:tc>
        <w:tc>
          <w:tcPr>
            <w:tcW w:w="1773" w:type="dxa"/>
            <w:vAlign w:val="top"/>
          </w:tcPr>
          <w:p>
            <w:pPr>
              <w:pStyle w:val="TableText"/>
              <w:spacing w:before="202" w:line="220" w:lineRule="auto"/>
              <w:ind w:left="535"/>
            </w:pPr>
            <w:r>
              <w:rPr>
                <w:color w:val="221E1F"/>
                <w:spacing w:val="-3"/>
                <w14:textOutline w14:w="3265">
                  <w14:solidFill>
                    <w14:srgbClr w14:val="221E1F"/>
                  </w14:solidFill>
                  <w14:prstDash w14:val="solid"/>
                  <w14:miter w14:lim="10"/>
                </w14:textOutline>
              </w:rPr>
              <w:t>实现技术</w:t>
            </w:r>
          </w:p>
        </w:tc>
        <w:tc>
          <w:tcPr>
            <w:tcW w:w="1811" w:type="dxa"/>
            <w:vAlign w:val="top"/>
          </w:tcPr>
          <w:p>
            <w:pPr>
              <w:pStyle w:val="TableText"/>
              <w:spacing w:before="202" w:line="221" w:lineRule="auto"/>
              <w:ind w:left="731"/>
            </w:pPr>
            <w:r>
              <w:rPr>
                <w:color w:val="221E1F"/>
                <w:spacing w:val="-2"/>
                <w14:textOutline w14:w="3265">
                  <w14:solidFill>
                    <w14:srgbClr w14:val="221E1F"/>
                  </w14:solidFill>
                  <w14:prstDash w14:val="solid"/>
                  <w14:miter w14:lim="10"/>
                </w14:textOutline>
              </w:rPr>
              <w:t>备注</w:t>
            </w:r>
          </w:p>
        </w:tc>
      </w:tr>
      <w:tr>
        <w:tblPrEx>
          <w:tblW w:w="9349" w:type="dxa"/>
          <w:tblInd w:w="2" w:type="dxa"/>
          <w:tblLayout w:type="fixed"/>
        </w:tblPrEx>
        <w:trPr>
          <w:trHeight w:val="705"/>
        </w:trPr>
        <w:tc>
          <w:tcPr>
            <w:tcW w:w="588" w:type="dxa"/>
            <w:vAlign w:val="top"/>
          </w:tcPr>
          <w:p>
            <w:pPr>
              <w:pStyle w:val="TableText"/>
              <w:spacing w:before="289" w:line="183" w:lineRule="auto"/>
              <w:ind w:left="248"/>
            </w:pPr>
            <w:r>
              <w:rPr>
                <w:color w:val="221E1F"/>
              </w:rPr>
              <w:t>A</w:t>
            </w:r>
          </w:p>
        </w:tc>
        <w:tc>
          <w:tcPr>
            <w:tcW w:w="1772" w:type="dxa"/>
            <w:vAlign w:val="top"/>
          </w:tcPr>
          <w:p>
            <w:pPr>
              <w:pStyle w:val="TableText"/>
              <w:spacing w:before="260" w:line="220" w:lineRule="auto"/>
              <w:ind w:left="708"/>
            </w:pPr>
            <w:r>
              <w:rPr>
                <w:color w:val="221E1F"/>
                <w:spacing w:val="-2"/>
              </w:rPr>
              <w:t>监控</w:t>
            </w:r>
          </w:p>
        </w:tc>
        <w:tc>
          <w:tcPr>
            <w:tcW w:w="1771" w:type="dxa"/>
            <w:vAlign w:val="top"/>
          </w:tcPr>
          <w:p>
            <w:pPr>
              <w:pStyle w:val="TableText"/>
              <w:spacing w:before="260" w:line="220" w:lineRule="auto"/>
              <w:ind w:left="531"/>
            </w:pPr>
            <w:r>
              <w:rPr>
                <w:color w:val="221E1F"/>
                <w:spacing w:val="-2"/>
              </w:rPr>
              <w:t>用户实体</w:t>
            </w:r>
          </w:p>
        </w:tc>
        <w:tc>
          <w:tcPr>
            <w:tcW w:w="1634" w:type="dxa"/>
            <w:vAlign w:val="top"/>
          </w:tcPr>
          <w:p>
            <w:pPr>
              <w:spacing w:before="170" w:line="219" w:lineRule="auto"/>
              <w:ind w:left="641" w:right="139" w:hanging="485"/>
              <w:rPr>
                <w:rFonts w:ascii="Calibri" w:eastAsia="Calibri" w:hAnsi="Calibri" w:cs="Calibri"/>
                <w:sz w:val="18"/>
                <w:szCs w:val="18"/>
              </w:rPr>
            </w:pPr>
            <w:r>
              <w:rPr>
                <w:rFonts w:ascii="Calibri" w:eastAsia="Calibri" w:hAnsi="Calibri" w:cs="Calibri"/>
                <w:color w:val="221E1F"/>
                <w:spacing w:val="-2"/>
                <w:sz w:val="18"/>
                <w:szCs w:val="18"/>
              </w:rPr>
              <w:t>ISO</w:t>
            </w:r>
            <w:r>
              <w:rPr>
                <w:rFonts w:ascii="Calibri" w:eastAsia="Calibri" w:hAnsi="Calibri" w:cs="Calibri"/>
                <w:color w:val="221E1F"/>
                <w:spacing w:val="15"/>
                <w:w w:val="101"/>
                <w:sz w:val="18"/>
                <w:szCs w:val="18"/>
              </w:rPr>
              <w:t xml:space="preserve"> </w:t>
            </w:r>
            <w:r>
              <w:rPr>
                <w:rFonts w:ascii="Calibri" w:eastAsia="Calibri" w:hAnsi="Calibri" w:cs="Calibri"/>
                <w:color w:val="221E1F"/>
                <w:spacing w:val="-2"/>
                <w:sz w:val="18"/>
                <w:szCs w:val="18"/>
              </w:rPr>
              <w:t>23247-2:2021,</w:t>
            </w:r>
            <w:r>
              <w:rPr>
                <w:rFonts w:ascii="Calibri" w:eastAsia="Calibri" w:hAnsi="Calibri" w:cs="Calibri"/>
                <w:color w:val="221E1F"/>
                <w:sz w:val="18"/>
                <w:szCs w:val="18"/>
              </w:rPr>
              <w:t xml:space="preserve"> </w:t>
            </w:r>
            <w:r>
              <w:rPr>
                <w:rFonts w:ascii="Calibri" w:eastAsia="Calibri" w:hAnsi="Calibri" w:cs="Calibri"/>
                <w:color w:val="221E1F"/>
                <w:spacing w:val="-2"/>
                <w:sz w:val="18"/>
                <w:szCs w:val="18"/>
              </w:rPr>
              <w:t>5.3.4</w:t>
            </w:r>
          </w:p>
        </w:tc>
        <w:tc>
          <w:tcPr>
            <w:tcW w:w="1773" w:type="dxa"/>
            <w:vAlign w:val="top"/>
          </w:tcPr>
          <w:p>
            <w:pPr>
              <w:pStyle w:val="TableText"/>
              <w:spacing w:before="142" w:line="220" w:lineRule="auto"/>
              <w:ind w:left="267"/>
            </w:pPr>
            <w:r>
              <w:rPr>
                <w:color w:val="221E1F"/>
                <w:spacing w:val="-1"/>
              </w:rPr>
              <w:t>使用</w:t>
            </w:r>
            <w:r>
              <w:rPr>
                <w:rFonts w:ascii="Calibri" w:eastAsia="Calibri" w:hAnsi="Calibri" w:cs="Calibri"/>
                <w:color w:val="221E1F"/>
                <w:spacing w:val="-1"/>
              </w:rPr>
              <w:t>STEP</w:t>
            </w:r>
            <w:r>
              <w:rPr>
                <w:color w:val="221E1F"/>
                <w:spacing w:val="-1"/>
              </w:rPr>
              <w:t>模块的</w:t>
            </w:r>
          </w:p>
          <w:p>
            <w:pPr>
              <w:pStyle w:val="TableText"/>
              <w:spacing w:before="20" w:line="220" w:lineRule="auto"/>
              <w:ind w:left="97"/>
            </w:pPr>
            <w:r>
              <w:rPr>
                <w:rFonts w:ascii="Calibri" w:eastAsia="Calibri" w:hAnsi="Calibri" w:cs="Calibri"/>
                <w:color w:val="221E1F"/>
                <w:spacing w:val="-1"/>
              </w:rPr>
              <w:t>Windows</w:t>
            </w:r>
            <w:r>
              <w:rPr>
                <w:color w:val="221E1F"/>
                <w:spacing w:val="-1"/>
              </w:rPr>
              <w:t>可执行文件</w:t>
            </w:r>
          </w:p>
        </w:tc>
        <w:tc>
          <w:tcPr>
            <w:tcW w:w="1811" w:type="dxa"/>
            <w:vAlign w:val="top"/>
          </w:tcPr>
          <w:p>
            <w:pPr>
              <w:pStyle w:val="TableText"/>
              <w:spacing w:before="27" w:line="230" w:lineRule="auto"/>
              <w:ind w:left="46" w:right="114"/>
            </w:pPr>
            <w:r>
              <w:rPr>
                <w:color w:val="221E1F"/>
                <w:spacing w:val="-1"/>
              </w:rPr>
              <w:t>通过</w:t>
            </w:r>
            <w:r>
              <w:rPr>
                <w:rFonts w:ascii="Calibri" w:eastAsia="Calibri" w:hAnsi="Calibri" w:cs="Calibri"/>
                <w:color w:val="221E1F"/>
                <w:spacing w:val="-1"/>
              </w:rPr>
              <w:t>MOM</w:t>
            </w:r>
            <w:r>
              <w:rPr>
                <w:color w:val="221E1F"/>
                <w:spacing w:val="-1"/>
              </w:rPr>
              <w:t>向</w:t>
            </w:r>
            <w:r>
              <w:rPr>
                <w:rFonts w:ascii="Calibri" w:eastAsia="Calibri" w:hAnsi="Calibri" w:cs="Calibri"/>
                <w:color w:val="221E1F"/>
                <w:spacing w:val="-1"/>
              </w:rPr>
              <w:t>PLM</w:t>
            </w:r>
            <w:r>
              <w:rPr>
                <w:color w:val="221E1F"/>
                <w:spacing w:val="-1"/>
              </w:rPr>
              <w:t>提供</w:t>
            </w:r>
            <w:r>
              <w:rPr>
                <w:color w:val="221E1F"/>
                <w:spacing w:val="5"/>
              </w:rPr>
              <w:t xml:space="preserve"> </w:t>
            </w:r>
            <w:r>
              <w:rPr>
                <w:color w:val="221E1F"/>
                <w:spacing w:val="-8"/>
              </w:rPr>
              <w:t>接口。</w:t>
            </w:r>
          </w:p>
          <w:p>
            <w:pPr>
              <w:pStyle w:val="TableText"/>
              <w:spacing w:before="17" w:line="207" w:lineRule="auto"/>
              <w:ind w:left="47"/>
            </w:pPr>
            <w:r>
              <w:rPr>
                <w:color w:val="221E1F"/>
                <w:spacing w:val="-3"/>
              </w:rPr>
              <w:t>根据</w:t>
            </w:r>
            <w:r>
              <w:rPr>
                <w:rFonts w:ascii="Calibri" w:eastAsia="Calibri" w:hAnsi="Calibri" w:cs="Calibri"/>
                <w:color w:val="221E1F"/>
                <w:spacing w:val="-3"/>
              </w:rPr>
              <w:t>CoA</w:t>
            </w:r>
            <w:r>
              <w:rPr>
                <w:color w:val="221E1F"/>
                <w:spacing w:val="-3"/>
              </w:rPr>
              <w:t>优化过程。</w:t>
            </w:r>
          </w:p>
        </w:tc>
      </w:tr>
      <w:tr>
        <w:tblPrEx>
          <w:tblW w:w="9349" w:type="dxa"/>
          <w:tblInd w:w="2" w:type="dxa"/>
          <w:tblLayout w:type="fixed"/>
        </w:tblPrEx>
        <w:trPr>
          <w:trHeight w:val="1173"/>
        </w:trPr>
        <w:tc>
          <w:tcPr>
            <w:tcW w:w="588" w:type="dxa"/>
            <w:vAlign w:val="top"/>
          </w:tcPr>
          <w:p>
            <w:pPr>
              <w:spacing w:line="476" w:lineRule="auto"/>
              <w:rPr>
                <w:rFonts w:ascii="Arial"/>
                <w:sz w:val="21"/>
              </w:rPr>
            </w:pPr>
          </w:p>
          <w:p>
            <w:pPr>
              <w:spacing w:before="55" w:line="177" w:lineRule="auto"/>
              <w:ind w:left="257"/>
              <w:rPr>
                <w:rFonts w:ascii="Calibri" w:eastAsia="Calibri" w:hAnsi="Calibri" w:cs="Calibri"/>
                <w:sz w:val="18"/>
                <w:szCs w:val="18"/>
              </w:rPr>
            </w:pPr>
            <w:r>
              <w:rPr>
                <w:rFonts w:ascii="Calibri" w:eastAsia="Calibri" w:hAnsi="Calibri" w:cs="Calibri"/>
                <w:color w:val="221E1F"/>
                <w:sz w:val="18"/>
                <w:szCs w:val="18"/>
              </w:rPr>
              <w:t>B</w:t>
            </w:r>
          </w:p>
        </w:tc>
        <w:tc>
          <w:tcPr>
            <w:tcW w:w="1772" w:type="dxa"/>
            <w:vAlign w:val="top"/>
          </w:tcPr>
          <w:p>
            <w:pPr>
              <w:spacing w:line="432" w:lineRule="auto"/>
              <w:rPr>
                <w:rFonts w:ascii="Arial"/>
                <w:sz w:val="21"/>
              </w:rPr>
            </w:pPr>
          </w:p>
          <w:p>
            <w:pPr>
              <w:pStyle w:val="TableText"/>
              <w:spacing w:before="58" w:line="219" w:lineRule="auto"/>
              <w:ind w:left="347"/>
            </w:pPr>
            <w:r>
              <w:rPr>
                <w:color w:val="221E1F"/>
                <w:spacing w:val="-1"/>
              </w:rPr>
              <w:t>机翼数字孪生</w:t>
            </w:r>
          </w:p>
        </w:tc>
        <w:tc>
          <w:tcPr>
            <w:tcW w:w="1771" w:type="dxa"/>
            <w:vAlign w:val="top"/>
          </w:tcPr>
          <w:p>
            <w:pPr>
              <w:spacing w:line="432" w:lineRule="auto"/>
              <w:rPr>
                <w:rFonts w:ascii="Arial"/>
                <w:sz w:val="21"/>
              </w:rPr>
            </w:pPr>
          </w:p>
          <w:p>
            <w:pPr>
              <w:pStyle w:val="TableText"/>
              <w:spacing w:before="58" w:line="220" w:lineRule="auto"/>
              <w:ind w:left="351"/>
            </w:pPr>
            <w:r>
              <w:rPr>
                <w:color w:val="221E1F"/>
                <w:spacing w:val="-2"/>
              </w:rPr>
              <w:t>数字孪生实体</w:t>
            </w:r>
          </w:p>
        </w:tc>
        <w:tc>
          <w:tcPr>
            <w:tcW w:w="1634" w:type="dxa"/>
            <w:vAlign w:val="top"/>
          </w:tcPr>
          <w:p>
            <w:pPr>
              <w:spacing w:line="346" w:lineRule="auto"/>
              <w:rPr>
                <w:rFonts w:ascii="Arial"/>
                <w:sz w:val="21"/>
              </w:rPr>
            </w:pPr>
          </w:p>
          <w:p>
            <w:pPr>
              <w:spacing w:before="55" w:line="219" w:lineRule="auto"/>
              <w:ind w:left="641" w:right="139" w:hanging="485"/>
              <w:rPr>
                <w:rFonts w:ascii="Calibri" w:eastAsia="Calibri" w:hAnsi="Calibri" w:cs="Calibri"/>
                <w:sz w:val="18"/>
                <w:szCs w:val="18"/>
              </w:rPr>
            </w:pPr>
            <w:r>
              <w:rPr>
                <w:rFonts w:ascii="Calibri" w:eastAsia="Calibri" w:hAnsi="Calibri" w:cs="Calibri"/>
                <w:color w:val="221E1F"/>
                <w:spacing w:val="-2"/>
                <w:sz w:val="18"/>
                <w:szCs w:val="18"/>
              </w:rPr>
              <w:t>ISO</w:t>
            </w:r>
            <w:r>
              <w:rPr>
                <w:rFonts w:ascii="Calibri" w:eastAsia="Calibri" w:hAnsi="Calibri" w:cs="Calibri"/>
                <w:color w:val="221E1F"/>
                <w:spacing w:val="15"/>
                <w:w w:val="101"/>
                <w:sz w:val="18"/>
                <w:szCs w:val="18"/>
              </w:rPr>
              <w:t xml:space="preserve"> </w:t>
            </w:r>
            <w:r>
              <w:rPr>
                <w:rFonts w:ascii="Calibri" w:eastAsia="Calibri" w:hAnsi="Calibri" w:cs="Calibri"/>
                <w:color w:val="221E1F"/>
                <w:spacing w:val="-2"/>
                <w:sz w:val="18"/>
                <w:szCs w:val="18"/>
              </w:rPr>
              <w:t>23247-2:2021,</w:t>
            </w:r>
            <w:r>
              <w:rPr>
                <w:rFonts w:ascii="Calibri" w:eastAsia="Calibri" w:hAnsi="Calibri" w:cs="Calibri"/>
                <w:color w:val="221E1F"/>
                <w:sz w:val="18"/>
                <w:szCs w:val="18"/>
              </w:rPr>
              <w:t xml:space="preserve"> </w:t>
            </w:r>
            <w:r>
              <w:rPr>
                <w:rFonts w:ascii="Calibri" w:eastAsia="Calibri" w:hAnsi="Calibri" w:cs="Calibri"/>
                <w:color w:val="221E1F"/>
                <w:spacing w:val="-2"/>
                <w:sz w:val="18"/>
                <w:szCs w:val="18"/>
              </w:rPr>
              <w:t>5.3.3</w:t>
            </w:r>
          </w:p>
        </w:tc>
        <w:tc>
          <w:tcPr>
            <w:tcW w:w="1773" w:type="dxa"/>
            <w:vAlign w:val="top"/>
          </w:tcPr>
          <w:p>
            <w:pPr>
              <w:spacing w:line="317" w:lineRule="auto"/>
              <w:rPr>
                <w:rFonts w:ascii="Arial"/>
                <w:sz w:val="21"/>
              </w:rPr>
            </w:pPr>
          </w:p>
          <w:p>
            <w:pPr>
              <w:pStyle w:val="TableText"/>
              <w:spacing w:before="59" w:line="220" w:lineRule="auto"/>
              <w:ind w:left="267"/>
            </w:pPr>
            <w:r>
              <w:rPr>
                <w:color w:val="221E1F"/>
                <w:spacing w:val="-1"/>
              </w:rPr>
              <w:t>使用</w:t>
            </w:r>
            <w:r>
              <w:rPr>
                <w:rFonts w:ascii="Calibri" w:eastAsia="Calibri" w:hAnsi="Calibri" w:cs="Calibri"/>
                <w:color w:val="221E1F"/>
                <w:spacing w:val="-1"/>
              </w:rPr>
              <w:t>STEP</w:t>
            </w:r>
            <w:r>
              <w:rPr>
                <w:color w:val="221E1F"/>
                <w:spacing w:val="-1"/>
              </w:rPr>
              <w:t>模块的</w:t>
            </w:r>
          </w:p>
          <w:p>
            <w:pPr>
              <w:pStyle w:val="TableText"/>
              <w:spacing w:before="18" w:line="220" w:lineRule="auto"/>
              <w:ind w:left="97"/>
            </w:pPr>
            <w:r>
              <w:rPr>
                <w:rFonts w:ascii="Calibri" w:eastAsia="Calibri" w:hAnsi="Calibri" w:cs="Calibri"/>
                <w:color w:val="221E1F"/>
                <w:spacing w:val="-1"/>
              </w:rPr>
              <w:t>Windows</w:t>
            </w:r>
            <w:r>
              <w:rPr>
                <w:color w:val="221E1F"/>
                <w:spacing w:val="-1"/>
              </w:rPr>
              <w:t>可执行文件</w:t>
            </w:r>
          </w:p>
        </w:tc>
        <w:tc>
          <w:tcPr>
            <w:tcW w:w="1811" w:type="dxa"/>
            <w:vAlign w:val="top"/>
          </w:tcPr>
          <w:p>
            <w:pPr>
              <w:pStyle w:val="TableText"/>
              <w:spacing w:before="27" w:line="229" w:lineRule="auto"/>
              <w:ind w:left="46" w:right="145" w:firstLine="1"/>
            </w:pPr>
            <w:r>
              <w:rPr>
                <w:color w:val="221E1F"/>
                <w:spacing w:val="-1"/>
              </w:rPr>
              <w:t>利用状态流同步过程</w:t>
            </w:r>
            <w:r>
              <w:rPr>
                <w:color w:val="221E1F"/>
              </w:rPr>
              <w:t xml:space="preserve"> </w:t>
            </w:r>
            <w:r>
              <w:rPr>
                <w:color w:val="221E1F"/>
                <w:spacing w:val="-1"/>
              </w:rPr>
              <w:t>机翼的数字孪生与</w:t>
            </w:r>
          </w:p>
          <w:p>
            <w:pPr>
              <w:pStyle w:val="TableText"/>
              <w:spacing w:before="58" w:line="172" w:lineRule="auto"/>
              <w:ind w:left="48"/>
            </w:pPr>
            <w:r>
              <w:rPr>
                <w:rFonts w:ascii="Calibri" w:eastAsia="Calibri" w:hAnsi="Calibri" w:cs="Calibri"/>
                <w:color w:val="221E1F"/>
                <w:spacing w:val="-2"/>
              </w:rPr>
              <w:t>OME</w:t>
            </w:r>
            <w:r>
              <w:rPr>
                <w:color w:val="221E1F"/>
                <w:spacing w:val="-2"/>
              </w:rPr>
              <w:t>。</w:t>
            </w:r>
          </w:p>
          <w:p>
            <w:pPr>
              <w:pStyle w:val="TableText"/>
              <w:spacing w:before="25" w:line="224" w:lineRule="auto"/>
              <w:ind w:left="48" w:right="215"/>
            </w:pPr>
            <w:r>
              <w:rPr>
                <w:color w:val="221E1F"/>
                <w:spacing w:val="-1"/>
              </w:rPr>
              <w:t>完成时在</w:t>
            </w:r>
            <w:r>
              <w:rPr>
                <w:rFonts w:ascii="Calibri" w:eastAsia="Calibri" w:hAnsi="Calibri" w:cs="Calibri"/>
                <w:color w:val="221E1F"/>
                <w:spacing w:val="-1"/>
              </w:rPr>
              <w:t>AP242</w:t>
            </w:r>
            <w:r>
              <w:rPr>
                <w:color w:val="221E1F"/>
                <w:spacing w:val="-1"/>
              </w:rPr>
              <w:t>中展</w:t>
            </w:r>
            <w:r>
              <w:rPr>
                <w:color w:val="221E1F"/>
                <w:spacing w:val="1"/>
              </w:rPr>
              <w:t xml:space="preserve"> </w:t>
            </w:r>
            <w:r>
              <w:rPr>
                <w:color w:val="221E1F"/>
                <w:spacing w:val="-4"/>
              </w:rPr>
              <w:t>现机翼数字孪生。</w:t>
            </w:r>
          </w:p>
        </w:tc>
      </w:tr>
      <w:tr>
        <w:tblPrEx>
          <w:tblW w:w="9349" w:type="dxa"/>
          <w:tblInd w:w="2" w:type="dxa"/>
          <w:tblLayout w:type="fixed"/>
        </w:tblPrEx>
        <w:trPr>
          <w:trHeight w:val="938"/>
        </w:trPr>
        <w:tc>
          <w:tcPr>
            <w:tcW w:w="588" w:type="dxa"/>
            <w:vAlign w:val="top"/>
          </w:tcPr>
          <w:p>
            <w:pPr>
              <w:spacing w:line="357" w:lineRule="auto"/>
              <w:rPr>
                <w:rFonts w:ascii="Arial"/>
                <w:sz w:val="21"/>
              </w:rPr>
            </w:pPr>
          </w:p>
          <w:p>
            <w:pPr>
              <w:spacing w:before="55" w:line="178" w:lineRule="auto"/>
              <w:ind w:left="253"/>
              <w:rPr>
                <w:rFonts w:ascii="Calibri" w:eastAsia="Calibri" w:hAnsi="Calibri" w:cs="Calibri"/>
                <w:sz w:val="18"/>
                <w:szCs w:val="18"/>
              </w:rPr>
            </w:pPr>
            <w:r>
              <w:rPr>
                <w:rFonts w:ascii="Calibri" w:eastAsia="Calibri" w:hAnsi="Calibri" w:cs="Calibri"/>
                <w:color w:val="221E1F"/>
                <w:sz w:val="18"/>
                <w:szCs w:val="18"/>
              </w:rPr>
              <w:t>C</w:t>
            </w:r>
          </w:p>
        </w:tc>
        <w:tc>
          <w:tcPr>
            <w:tcW w:w="1772" w:type="dxa"/>
            <w:vAlign w:val="top"/>
          </w:tcPr>
          <w:p>
            <w:pPr>
              <w:spacing w:line="316" w:lineRule="auto"/>
              <w:rPr>
                <w:rFonts w:ascii="Arial"/>
                <w:sz w:val="21"/>
              </w:rPr>
            </w:pPr>
          </w:p>
          <w:p>
            <w:pPr>
              <w:pStyle w:val="TableText"/>
              <w:spacing w:before="58" w:line="220" w:lineRule="auto"/>
              <w:ind w:left="348"/>
            </w:pPr>
            <w:r>
              <w:rPr>
                <w:color w:val="221E1F"/>
                <w:spacing w:val="-2"/>
              </w:rPr>
              <w:t>过程数字孪生</w:t>
            </w:r>
          </w:p>
        </w:tc>
        <w:tc>
          <w:tcPr>
            <w:tcW w:w="1771" w:type="dxa"/>
            <w:vAlign w:val="top"/>
          </w:tcPr>
          <w:p>
            <w:pPr>
              <w:spacing w:line="316" w:lineRule="auto"/>
              <w:rPr>
                <w:rFonts w:ascii="Arial"/>
                <w:sz w:val="21"/>
              </w:rPr>
            </w:pPr>
          </w:p>
          <w:p>
            <w:pPr>
              <w:pStyle w:val="TableText"/>
              <w:spacing w:before="58" w:line="220" w:lineRule="auto"/>
              <w:ind w:left="351"/>
            </w:pPr>
            <w:r>
              <w:rPr>
                <w:color w:val="221E1F"/>
                <w:spacing w:val="-2"/>
              </w:rPr>
              <w:t>数字孪生实体</w:t>
            </w:r>
          </w:p>
        </w:tc>
        <w:tc>
          <w:tcPr>
            <w:tcW w:w="1634" w:type="dxa"/>
            <w:vAlign w:val="top"/>
          </w:tcPr>
          <w:p>
            <w:pPr>
              <w:spacing w:before="286" w:line="219" w:lineRule="auto"/>
              <w:ind w:left="641" w:right="139" w:hanging="485"/>
              <w:rPr>
                <w:rFonts w:ascii="Calibri" w:eastAsia="Calibri" w:hAnsi="Calibri" w:cs="Calibri"/>
                <w:sz w:val="18"/>
                <w:szCs w:val="18"/>
              </w:rPr>
            </w:pPr>
            <w:r>
              <w:rPr>
                <w:rFonts w:ascii="Calibri" w:eastAsia="Calibri" w:hAnsi="Calibri" w:cs="Calibri"/>
                <w:color w:val="221E1F"/>
                <w:spacing w:val="-2"/>
                <w:sz w:val="18"/>
                <w:szCs w:val="18"/>
              </w:rPr>
              <w:t>ISO</w:t>
            </w:r>
            <w:r>
              <w:rPr>
                <w:rFonts w:ascii="Calibri" w:eastAsia="Calibri" w:hAnsi="Calibri" w:cs="Calibri"/>
                <w:color w:val="221E1F"/>
                <w:spacing w:val="15"/>
                <w:w w:val="101"/>
                <w:sz w:val="18"/>
                <w:szCs w:val="18"/>
              </w:rPr>
              <w:t xml:space="preserve"> </w:t>
            </w:r>
            <w:r>
              <w:rPr>
                <w:rFonts w:ascii="Calibri" w:eastAsia="Calibri" w:hAnsi="Calibri" w:cs="Calibri"/>
                <w:color w:val="221E1F"/>
                <w:spacing w:val="-2"/>
                <w:sz w:val="18"/>
                <w:szCs w:val="18"/>
              </w:rPr>
              <w:t>23247-2:2021,</w:t>
            </w:r>
            <w:r>
              <w:rPr>
                <w:rFonts w:ascii="Calibri" w:eastAsia="Calibri" w:hAnsi="Calibri" w:cs="Calibri"/>
                <w:color w:val="221E1F"/>
                <w:sz w:val="18"/>
                <w:szCs w:val="18"/>
              </w:rPr>
              <w:t xml:space="preserve"> </w:t>
            </w:r>
            <w:r>
              <w:rPr>
                <w:rFonts w:ascii="Calibri" w:eastAsia="Calibri" w:hAnsi="Calibri" w:cs="Calibri"/>
                <w:color w:val="221E1F"/>
                <w:spacing w:val="-2"/>
                <w:sz w:val="18"/>
                <w:szCs w:val="18"/>
              </w:rPr>
              <w:t>5.3.3</w:t>
            </w:r>
          </w:p>
        </w:tc>
        <w:tc>
          <w:tcPr>
            <w:tcW w:w="1773" w:type="dxa"/>
            <w:vAlign w:val="top"/>
          </w:tcPr>
          <w:p>
            <w:pPr>
              <w:pStyle w:val="TableText"/>
              <w:spacing w:before="259" w:line="220" w:lineRule="auto"/>
              <w:ind w:left="267"/>
            </w:pPr>
            <w:r>
              <w:rPr>
                <w:color w:val="221E1F"/>
                <w:spacing w:val="-1"/>
              </w:rPr>
              <w:t>使用</w:t>
            </w:r>
            <w:r>
              <w:rPr>
                <w:rFonts w:ascii="Calibri" w:eastAsia="Calibri" w:hAnsi="Calibri" w:cs="Calibri"/>
                <w:color w:val="221E1F"/>
                <w:spacing w:val="-1"/>
              </w:rPr>
              <w:t>STEP</w:t>
            </w:r>
            <w:r>
              <w:rPr>
                <w:color w:val="221E1F"/>
                <w:spacing w:val="-1"/>
              </w:rPr>
              <w:t>模块的</w:t>
            </w:r>
          </w:p>
          <w:p>
            <w:pPr>
              <w:pStyle w:val="TableText"/>
              <w:spacing w:before="20" w:line="220" w:lineRule="auto"/>
              <w:ind w:left="97"/>
            </w:pPr>
            <w:r>
              <w:rPr>
                <w:rFonts w:ascii="Calibri" w:eastAsia="Calibri" w:hAnsi="Calibri" w:cs="Calibri"/>
                <w:color w:val="221E1F"/>
                <w:spacing w:val="-1"/>
              </w:rPr>
              <w:t>Windows</w:t>
            </w:r>
            <w:r>
              <w:rPr>
                <w:color w:val="221E1F"/>
                <w:spacing w:val="-1"/>
              </w:rPr>
              <w:t>可执行文件</w:t>
            </w:r>
          </w:p>
        </w:tc>
        <w:tc>
          <w:tcPr>
            <w:tcW w:w="1811" w:type="dxa"/>
            <w:vAlign w:val="top"/>
          </w:tcPr>
          <w:p>
            <w:pPr>
              <w:pStyle w:val="TableText"/>
              <w:spacing w:before="27" w:line="229" w:lineRule="auto"/>
              <w:ind w:left="47" w:right="145"/>
            </w:pPr>
            <w:r>
              <w:rPr>
                <w:color w:val="221E1F"/>
                <w:spacing w:val="-1"/>
              </w:rPr>
              <w:t>利用状态流同步过程</w:t>
            </w:r>
            <w:r>
              <w:rPr>
                <w:color w:val="221E1F"/>
              </w:rPr>
              <w:t xml:space="preserve"> </w:t>
            </w:r>
            <w:r>
              <w:rPr>
                <w:color w:val="221E1F"/>
                <w:spacing w:val="-1"/>
              </w:rPr>
              <w:t>数字孪生与</w:t>
            </w:r>
            <w:r>
              <w:rPr>
                <w:rFonts w:ascii="Calibri" w:eastAsia="Calibri" w:hAnsi="Calibri" w:cs="Calibri"/>
                <w:color w:val="221E1F"/>
                <w:spacing w:val="-1"/>
              </w:rPr>
              <w:t>OME</w:t>
            </w:r>
            <w:r>
              <w:rPr>
                <w:color w:val="221E1F"/>
                <w:spacing w:val="-1"/>
              </w:rPr>
              <w:t>。</w:t>
            </w:r>
          </w:p>
          <w:p>
            <w:pPr>
              <w:pStyle w:val="TableText"/>
              <w:spacing w:before="21" w:line="222" w:lineRule="auto"/>
              <w:ind w:left="48" w:right="215"/>
            </w:pPr>
            <w:r>
              <w:rPr>
                <w:color w:val="221E1F"/>
                <w:spacing w:val="-1"/>
              </w:rPr>
              <w:t>完成时在</w:t>
            </w:r>
            <w:r>
              <w:rPr>
                <w:rFonts w:ascii="Calibri" w:eastAsia="Calibri" w:hAnsi="Calibri" w:cs="Calibri"/>
                <w:color w:val="221E1F"/>
                <w:spacing w:val="-1"/>
              </w:rPr>
              <w:t>AP238</w:t>
            </w:r>
            <w:r>
              <w:rPr>
                <w:color w:val="221E1F"/>
                <w:spacing w:val="-1"/>
              </w:rPr>
              <w:t>中展</w:t>
            </w:r>
            <w:r>
              <w:rPr>
                <w:color w:val="221E1F"/>
                <w:spacing w:val="1"/>
              </w:rPr>
              <w:t xml:space="preserve"> </w:t>
            </w:r>
            <w:r>
              <w:rPr>
                <w:color w:val="221E1F"/>
                <w:spacing w:val="-4"/>
              </w:rPr>
              <w:t>现过程数字孪生。</w:t>
            </w:r>
          </w:p>
        </w:tc>
      </w:tr>
      <w:tr>
        <w:tblPrEx>
          <w:tblW w:w="9349" w:type="dxa"/>
          <w:tblInd w:w="2" w:type="dxa"/>
          <w:tblLayout w:type="fixed"/>
        </w:tblPrEx>
        <w:trPr>
          <w:trHeight w:val="705"/>
        </w:trPr>
        <w:tc>
          <w:tcPr>
            <w:tcW w:w="588" w:type="dxa"/>
            <w:vAlign w:val="top"/>
          </w:tcPr>
          <w:p>
            <w:pPr>
              <w:spacing w:line="244" w:lineRule="auto"/>
              <w:rPr>
                <w:rFonts w:ascii="Arial"/>
                <w:sz w:val="21"/>
              </w:rPr>
            </w:pPr>
          </w:p>
          <w:p>
            <w:pPr>
              <w:spacing w:before="55" w:line="177" w:lineRule="auto"/>
              <w:ind w:left="252"/>
              <w:rPr>
                <w:rFonts w:ascii="Calibri" w:eastAsia="Calibri" w:hAnsi="Calibri" w:cs="Calibri"/>
                <w:sz w:val="18"/>
                <w:szCs w:val="18"/>
              </w:rPr>
            </w:pPr>
            <w:r>
              <w:rPr>
                <w:rFonts w:ascii="Calibri" w:eastAsia="Calibri" w:hAnsi="Calibri" w:cs="Calibri"/>
                <w:color w:val="221E1F"/>
                <w:sz w:val="18"/>
                <w:szCs w:val="18"/>
              </w:rPr>
              <w:t>D</w:t>
            </w:r>
          </w:p>
        </w:tc>
        <w:tc>
          <w:tcPr>
            <w:tcW w:w="1772" w:type="dxa"/>
            <w:vAlign w:val="top"/>
          </w:tcPr>
          <w:p>
            <w:pPr>
              <w:pStyle w:val="TableText"/>
              <w:spacing w:before="261" w:line="220" w:lineRule="auto"/>
              <w:ind w:left="301"/>
            </w:pPr>
            <w:r>
              <w:rPr>
                <w:color w:val="221E1F"/>
                <w:spacing w:val="-1"/>
              </w:rPr>
              <w:t>模型通信（</w:t>
            </w:r>
            <w:r>
              <w:rPr>
                <w:rFonts w:ascii="Calibri" w:eastAsia="Calibri" w:hAnsi="Calibri" w:cs="Calibri"/>
                <w:color w:val="221E1F"/>
                <w:spacing w:val="-1"/>
              </w:rPr>
              <w:t>1</w:t>
            </w:r>
            <w:r>
              <w:rPr>
                <w:color w:val="221E1F"/>
                <w:spacing w:val="-1"/>
              </w:rPr>
              <w:t>）</w:t>
            </w:r>
          </w:p>
        </w:tc>
        <w:tc>
          <w:tcPr>
            <w:tcW w:w="1771" w:type="dxa"/>
            <w:vAlign w:val="top"/>
          </w:tcPr>
          <w:p>
            <w:pPr>
              <w:pStyle w:val="TableText"/>
              <w:spacing w:before="262" w:line="220" w:lineRule="auto"/>
              <w:ind w:left="531"/>
            </w:pPr>
            <w:r>
              <w:rPr>
                <w:color w:val="221E1F"/>
                <w:spacing w:val="-2"/>
              </w:rPr>
              <w:t>用户网络</w:t>
            </w:r>
          </w:p>
        </w:tc>
        <w:tc>
          <w:tcPr>
            <w:tcW w:w="1634" w:type="dxa"/>
            <w:vAlign w:val="top"/>
          </w:tcPr>
          <w:p>
            <w:pPr>
              <w:spacing w:line="242" w:lineRule="auto"/>
              <w:rPr>
                <w:rFonts w:ascii="Arial"/>
                <w:sz w:val="21"/>
              </w:rPr>
            </w:pPr>
          </w:p>
          <w:p>
            <w:pPr>
              <w:spacing w:before="55" w:line="179" w:lineRule="auto"/>
              <w:ind w:left="705"/>
              <w:rPr>
                <w:rFonts w:ascii="Calibri" w:eastAsia="Calibri" w:hAnsi="Calibri" w:cs="Calibri"/>
                <w:sz w:val="18"/>
                <w:szCs w:val="18"/>
              </w:rPr>
            </w:pPr>
            <w:r>
              <w:rPr>
                <w:rFonts w:ascii="Calibri" w:eastAsia="Calibri" w:hAnsi="Calibri" w:cs="Calibri"/>
                <w:color w:val="221E1F"/>
                <w:spacing w:val="-1"/>
                <w:sz w:val="18"/>
                <w:szCs w:val="18"/>
              </w:rPr>
              <w:t>4.2</w:t>
            </w:r>
          </w:p>
        </w:tc>
        <w:tc>
          <w:tcPr>
            <w:tcW w:w="1773" w:type="dxa"/>
            <w:vAlign w:val="top"/>
          </w:tcPr>
          <w:p>
            <w:pPr>
              <w:pStyle w:val="TableText"/>
              <w:spacing w:before="261" w:line="220" w:lineRule="auto"/>
              <w:ind w:left="644"/>
            </w:pPr>
            <w:r>
              <w:rPr>
                <w:color w:val="221E1F"/>
                <w:spacing w:val="-7"/>
              </w:rPr>
              <w:t>内联网</w:t>
            </w:r>
          </w:p>
        </w:tc>
        <w:tc>
          <w:tcPr>
            <w:tcW w:w="1811" w:type="dxa"/>
            <w:vAlign w:val="top"/>
          </w:tcPr>
          <w:p>
            <w:pPr>
              <w:pStyle w:val="TableText"/>
              <w:spacing w:before="28" w:line="228" w:lineRule="auto"/>
              <w:ind w:left="47" w:right="145"/>
              <w:jc w:val="both"/>
            </w:pPr>
            <w:r>
              <w:rPr>
                <w:color w:val="221E1F"/>
                <w:spacing w:val="-1"/>
              </w:rPr>
              <w:t>制造完成后，提供并</w:t>
            </w:r>
            <w:r>
              <w:rPr>
                <w:color w:val="221E1F"/>
              </w:rPr>
              <w:t xml:space="preserve"> </w:t>
            </w:r>
            <w:r>
              <w:rPr>
                <w:color w:val="221E1F"/>
                <w:spacing w:val="-1"/>
              </w:rPr>
              <w:t>检索机翼和过程数字</w:t>
            </w:r>
            <w:r>
              <w:rPr>
                <w:color w:val="221E1F"/>
              </w:rPr>
              <w:t xml:space="preserve"> </w:t>
            </w:r>
            <w:r>
              <w:rPr>
                <w:color w:val="221E1F"/>
                <w:spacing w:val="-3"/>
              </w:rPr>
              <w:t>孪生。</w:t>
            </w:r>
          </w:p>
        </w:tc>
      </w:tr>
      <w:tr>
        <w:tblPrEx>
          <w:tblW w:w="9349" w:type="dxa"/>
          <w:tblInd w:w="2" w:type="dxa"/>
          <w:tblLayout w:type="fixed"/>
        </w:tblPrEx>
        <w:trPr>
          <w:trHeight w:val="472"/>
        </w:trPr>
        <w:tc>
          <w:tcPr>
            <w:tcW w:w="588" w:type="dxa"/>
            <w:vAlign w:val="top"/>
          </w:tcPr>
          <w:p>
            <w:pPr>
              <w:spacing w:before="183" w:line="177" w:lineRule="auto"/>
              <w:ind w:left="262"/>
              <w:rPr>
                <w:rFonts w:ascii="Calibri" w:eastAsia="Calibri" w:hAnsi="Calibri" w:cs="Calibri"/>
                <w:sz w:val="18"/>
                <w:szCs w:val="18"/>
              </w:rPr>
            </w:pPr>
            <w:r>
              <w:rPr>
                <w:rFonts w:ascii="Calibri" w:eastAsia="Calibri" w:hAnsi="Calibri" w:cs="Calibri"/>
                <w:color w:val="221E1F"/>
                <w:sz w:val="18"/>
                <w:szCs w:val="18"/>
              </w:rPr>
              <w:t>E</w:t>
            </w:r>
          </w:p>
        </w:tc>
        <w:tc>
          <w:tcPr>
            <w:tcW w:w="1772" w:type="dxa"/>
            <w:vAlign w:val="top"/>
          </w:tcPr>
          <w:p>
            <w:pPr>
              <w:pStyle w:val="TableText"/>
              <w:spacing w:before="144" w:line="220" w:lineRule="auto"/>
              <w:ind w:left="301"/>
            </w:pPr>
            <w:r>
              <w:rPr>
                <w:color w:val="221E1F"/>
                <w:spacing w:val="-1"/>
              </w:rPr>
              <w:t>模型通信（</w:t>
            </w:r>
            <w:r>
              <w:rPr>
                <w:rFonts w:ascii="Calibri" w:eastAsia="Calibri" w:hAnsi="Calibri" w:cs="Calibri"/>
                <w:color w:val="221E1F"/>
                <w:spacing w:val="-1"/>
              </w:rPr>
              <w:t>2</w:t>
            </w:r>
            <w:r>
              <w:rPr>
                <w:color w:val="221E1F"/>
                <w:spacing w:val="-1"/>
              </w:rPr>
              <w:t>）</w:t>
            </w:r>
          </w:p>
        </w:tc>
        <w:tc>
          <w:tcPr>
            <w:tcW w:w="1771" w:type="dxa"/>
            <w:vAlign w:val="top"/>
          </w:tcPr>
          <w:p>
            <w:pPr>
              <w:pStyle w:val="TableText"/>
              <w:spacing w:before="144" w:line="221" w:lineRule="auto"/>
              <w:ind w:left="529"/>
            </w:pPr>
            <w:r>
              <w:rPr>
                <w:color w:val="221E1F"/>
                <w:spacing w:val="-2"/>
              </w:rPr>
              <w:t>接入网络</w:t>
            </w:r>
          </w:p>
        </w:tc>
        <w:tc>
          <w:tcPr>
            <w:tcW w:w="1634" w:type="dxa"/>
            <w:vAlign w:val="top"/>
          </w:tcPr>
          <w:p>
            <w:pPr>
              <w:spacing w:before="181" w:line="179" w:lineRule="auto"/>
              <w:ind w:left="705"/>
              <w:rPr>
                <w:rFonts w:ascii="Calibri" w:eastAsia="Calibri" w:hAnsi="Calibri" w:cs="Calibri"/>
                <w:sz w:val="18"/>
                <w:szCs w:val="18"/>
              </w:rPr>
            </w:pPr>
            <w:r>
              <w:rPr>
                <w:rFonts w:ascii="Calibri" w:eastAsia="Calibri" w:hAnsi="Calibri" w:cs="Calibri"/>
                <w:color w:val="221E1F"/>
                <w:spacing w:val="-1"/>
                <w:sz w:val="18"/>
                <w:szCs w:val="18"/>
              </w:rPr>
              <w:t>4.3</w:t>
            </w:r>
          </w:p>
        </w:tc>
        <w:tc>
          <w:tcPr>
            <w:tcW w:w="1773" w:type="dxa"/>
            <w:vAlign w:val="top"/>
          </w:tcPr>
          <w:p>
            <w:pPr>
              <w:pStyle w:val="TableText"/>
              <w:spacing w:before="144" w:line="220" w:lineRule="auto"/>
              <w:ind w:left="644"/>
            </w:pPr>
            <w:r>
              <w:rPr>
                <w:color w:val="221E1F"/>
                <w:spacing w:val="-7"/>
              </w:rPr>
              <w:t>内联网</w:t>
            </w:r>
          </w:p>
        </w:tc>
        <w:tc>
          <w:tcPr>
            <w:tcW w:w="1811" w:type="dxa"/>
            <w:vAlign w:val="top"/>
          </w:tcPr>
          <w:p>
            <w:pPr>
              <w:pStyle w:val="TableText"/>
              <w:spacing w:before="27" w:line="223" w:lineRule="auto"/>
              <w:ind w:left="49" w:right="145" w:hanging="4"/>
            </w:pPr>
            <w:r>
              <w:rPr>
                <w:color w:val="221E1F"/>
                <w:spacing w:val="-1"/>
              </w:rPr>
              <w:t>将调整后的制造过程</w:t>
            </w:r>
            <w:r>
              <w:rPr>
                <w:color w:val="221E1F"/>
                <w:spacing w:val="2"/>
              </w:rPr>
              <w:t xml:space="preserve"> </w:t>
            </w:r>
            <w:r>
              <w:rPr>
                <w:color w:val="221E1F"/>
                <w:spacing w:val="-4"/>
              </w:rPr>
              <w:t>发送给单元控制器。</w:t>
            </w:r>
          </w:p>
        </w:tc>
      </w:tr>
      <w:tr>
        <w:tblPrEx>
          <w:tblW w:w="9349" w:type="dxa"/>
          <w:tblInd w:w="2" w:type="dxa"/>
          <w:tblLayout w:type="fixed"/>
        </w:tblPrEx>
        <w:trPr>
          <w:trHeight w:val="705"/>
        </w:trPr>
        <w:tc>
          <w:tcPr>
            <w:tcW w:w="588" w:type="dxa"/>
            <w:vAlign w:val="top"/>
          </w:tcPr>
          <w:p>
            <w:pPr>
              <w:spacing w:line="245" w:lineRule="auto"/>
              <w:rPr>
                <w:rFonts w:ascii="Arial"/>
                <w:sz w:val="21"/>
              </w:rPr>
            </w:pPr>
          </w:p>
          <w:p>
            <w:pPr>
              <w:spacing w:before="55" w:line="177" w:lineRule="auto"/>
              <w:ind w:left="267"/>
              <w:rPr>
                <w:rFonts w:ascii="Calibri" w:eastAsia="Calibri" w:hAnsi="Calibri" w:cs="Calibri"/>
                <w:sz w:val="18"/>
                <w:szCs w:val="18"/>
              </w:rPr>
            </w:pPr>
            <w:r>
              <w:rPr>
                <w:rFonts w:ascii="Calibri" w:eastAsia="Calibri" w:hAnsi="Calibri" w:cs="Calibri"/>
                <w:color w:val="221E1F"/>
                <w:sz w:val="18"/>
                <w:szCs w:val="18"/>
              </w:rPr>
              <w:t>F</w:t>
            </w:r>
          </w:p>
        </w:tc>
        <w:tc>
          <w:tcPr>
            <w:tcW w:w="1772" w:type="dxa"/>
            <w:vAlign w:val="top"/>
          </w:tcPr>
          <w:p>
            <w:pPr>
              <w:pStyle w:val="TableText"/>
              <w:spacing w:before="260" w:line="220" w:lineRule="auto"/>
              <w:ind w:left="171"/>
            </w:pPr>
            <w:r>
              <w:rPr>
                <w:color w:val="221E1F"/>
                <w:spacing w:val="-2"/>
              </w:rPr>
              <w:t>交换模型（</w:t>
            </w:r>
            <w:r>
              <w:rPr>
                <w:rFonts w:ascii="Calibri" w:eastAsia="Calibri" w:hAnsi="Calibri" w:cs="Calibri"/>
                <w:color w:val="221E1F"/>
                <w:spacing w:val="-2"/>
              </w:rPr>
              <w:t>OME</w:t>
            </w:r>
            <w:r>
              <w:rPr>
                <w:color w:val="221E1F"/>
                <w:spacing w:val="-2"/>
              </w:rPr>
              <w:t>）</w:t>
            </w:r>
          </w:p>
        </w:tc>
        <w:tc>
          <w:tcPr>
            <w:tcW w:w="1771" w:type="dxa"/>
            <w:vAlign w:val="top"/>
          </w:tcPr>
          <w:p>
            <w:pPr>
              <w:pStyle w:val="TableText"/>
              <w:spacing w:before="260" w:line="220" w:lineRule="auto"/>
              <w:ind w:left="351"/>
            </w:pPr>
            <w:r>
              <w:rPr>
                <w:color w:val="221E1F"/>
                <w:spacing w:val="-2"/>
              </w:rPr>
              <w:t>数字孪生表示</w:t>
            </w:r>
          </w:p>
        </w:tc>
        <w:tc>
          <w:tcPr>
            <w:tcW w:w="1634" w:type="dxa"/>
            <w:vAlign w:val="top"/>
          </w:tcPr>
          <w:p>
            <w:pPr>
              <w:spacing w:before="170" w:line="219" w:lineRule="auto"/>
              <w:ind w:left="518" w:right="139" w:hanging="362"/>
              <w:rPr>
                <w:rFonts w:ascii="Calibri" w:eastAsia="Calibri" w:hAnsi="Calibri" w:cs="Calibri"/>
                <w:sz w:val="18"/>
                <w:szCs w:val="18"/>
              </w:rPr>
            </w:pPr>
            <w:r>
              <w:rPr>
                <w:rFonts w:ascii="Calibri" w:eastAsia="Calibri" w:hAnsi="Calibri" w:cs="Calibri"/>
                <w:color w:val="221E1F"/>
                <w:spacing w:val="-2"/>
                <w:sz w:val="18"/>
                <w:szCs w:val="18"/>
              </w:rPr>
              <w:t>ISO</w:t>
            </w:r>
            <w:r>
              <w:rPr>
                <w:rFonts w:ascii="Calibri" w:eastAsia="Calibri" w:hAnsi="Calibri" w:cs="Calibri"/>
                <w:color w:val="221E1F"/>
                <w:spacing w:val="15"/>
                <w:w w:val="101"/>
                <w:sz w:val="18"/>
                <w:szCs w:val="18"/>
              </w:rPr>
              <w:t xml:space="preserve"> </w:t>
            </w:r>
            <w:r>
              <w:rPr>
                <w:rFonts w:ascii="Calibri" w:eastAsia="Calibri" w:hAnsi="Calibri" w:cs="Calibri"/>
                <w:color w:val="221E1F"/>
                <w:spacing w:val="-2"/>
                <w:sz w:val="18"/>
                <w:szCs w:val="18"/>
              </w:rPr>
              <w:t>23247-3:2021,</w:t>
            </w:r>
            <w:r>
              <w:rPr>
                <w:rFonts w:ascii="Calibri" w:eastAsia="Calibri" w:hAnsi="Calibri" w:cs="Calibri"/>
                <w:color w:val="221E1F"/>
                <w:sz w:val="18"/>
                <w:szCs w:val="18"/>
              </w:rPr>
              <w:t xml:space="preserve"> </w:t>
            </w:r>
            <w:r>
              <w:rPr>
                <w:rFonts w:ascii="Calibri" w:eastAsia="Calibri" w:hAnsi="Calibri" w:cs="Calibri"/>
                <w:color w:val="221E1F"/>
                <w:spacing w:val="-2"/>
                <w:sz w:val="18"/>
                <w:szCs w:val="18"/>
              </w:rPr>
              <w:t>Clause</w:t>
            </w:r>
            <w:r>
              <w:rPr>
                <w:rFonts w:ascii="Calibri" w:eastAsia="Calibri" w:hAnsi="Calibri" w:cs="Calibri"/>
                <w:color w:val="221E1F"/>
                <w:spacing w:val="10"/>
                <w:w w:val="101"/>
                <w:sz w:val="18"/>
                <w:szCs w:val="18"/>
              </w:rPr>
              <w:t xml:space="preserve"> </w:t>
            </w:r>
            <w:r>
              <w:rPr>
                <w:rFonts w:ascii="Calibri" w:eastAsia="Calibri" w:hAnsi="Calibri" w:cs="Calibri"/>
                <w:color w:val="221E1F"/>
                <w:spacing w:val="-2"/>
                <w:sz w:val="18"/>
                <w:szCs w:val="18"/>
              </w:rPr>
              <w:t>5</w:t>
            </w:r>
          </w:p>
        </w:tc>
        <w:tc>
          <w:tcPr>
            <w:tcW w:w="1773" w:type="dxa"/>
            <w:vAlign w:val="top"/>
          </w:tcPr>
          <w:p>
            <w:pPr>
              <w:pStyle w:val="TableText"/>
              <w:spacing w:before="299" w:line="172" w:lineRule="auto"/>
              <w:ind w:left="328"/>
              <w:rPr>
                <w:rFonts w:ascii="Calibri" w:eastAsia="Calibri" w:hAnsi="Calibri" w:cs="Calibri"/>
              </w:rPr>
            </w:pPr>
            <w:r>
              <w:rPr>
                <w:rFonts w:ascii="Calibri" w:eastAsia="Calibri" w:hAnsi="Calibri" w:cs="Calibri"/>
                <w:color w:val="221E1F"/>
                <w:spacing w:val="-3"/>
              </w:rPr>
              <w:t>AP242</w:t>
            </w:r>
            <w:r>
              <w:rPr>
                <w:rFonts w:ascii="Calibri" w:eastAsia="Calibri" w:hAnsi="Calibri" w:cs="Calibri"/>
                <w:color w:val="221E1F"/>
                <w:spacing w:val="-13"/>
              </w:rPr>
              <w:t xml:space="preserve"> </w:t>
            </w:r>
            <w:r>
              <w:rPr>
                <w:color w:val="221E1F"/>
                <w:spacing w:val="-3"/>
              </w:rPr>
              <w:t>，</w:t>
            </w:r>
            <w:r>
              <w:rPr>
                <w:rFonts w:ascii="Calibri" w:eastAsia="Calibri" w:hAnsi="Calibri" w:cs="Calibri"/>
                <w:color w:val="221E1F"/>
                <w:spacing w:val="-3"/>
              </w:rPr>
              <w:t>AP238</w:t>
            </w:r>
          </w:p>
        </w:tc>
        <w:tc>
          <w:tcPr>
            <w:tcW w:w="1811" w:type="dxa"/>
            <w:vAlign w:val="top"/>
          </w:tcPr>
          <w:p>
            <w:pPr>
              <w:pStyle w:val="TableText"/>
              <w:spacing w:before="28" w:line="228" w:lineRule="auto"/>
              <w:ind w:left="47" w:right="145" w:hanging="1"/>
              <w:jc w:val="both"/>
            </w:pPr>
            <w:r>
              <w:rPr>
                <w:color w:val="221E1F"/>
                <w:spacing w:val="-1"/>
              </w:rPr>
              <w:t>机翼组件和过程的初</w:t>
            </w:r>
            <w:r>
              <w:rPr>
                <w:color w:val="221E1F"/>
                <w:spacing w:val="1"/>
              </w:rPr>
              <w:t xml:space="preserve"> </w:t>
            </w:r>
            <w:r>
              <w:rPr>
                <w:color w:val="221E1F"/>
                <w:spacing w:val="-1"/>
              </w:rPr>
              <w:t>始和同步数字孪生表</w:t>
            </w:r>
            <w:r>
              <w:rPr>
                <w:color w:val="221E1F"/>
              </w:rPr>
              <w:t xml:space="preserve"> </w:t>
            </w:r>
            <w:r>
              <w:rPr>
                <w:color w:val="221E1F"/>
                <w:spacing w:val="-9"/>
              </w:rPr>
              <w:t>示。</w:t>
            </w:r>
          </w:p>
        </w:tc>
      </w:tr>
      <w:tr>
        <w:tblPrEx>
          <w:tblW w:w="9349" w:type="dxa"/>
          <w:tblInd w:w="2" w:type="dxa"/>
          <w:tblLayout w:type="fixed"/>
        </w:tblPrEx>
        <w:trPr>
          <w:trHeight w:val="705"/>
        </w:trPr>
        <w:tc>
          <w:tcPr>
            <w:tcW w:w="588" w:type="dxa"/>
            <w:vAlign w:val="top"/>
          </w:tcPr>
          <w:p>
            <w:pPr>
              <w:spacing w:line="243" w:lineRule="auto"/>
              <w:rPr>
                <w:rFonts w:ascii="Arial"/>
                <w:sz w:val="21"/>
              </w:rPr>
            </w:pPr>
          </w:p>
          <w:p>
            <w:pPr>
              <w:spacing w:before="55" w:line="179" w:lineRule="auto"/>
              <w:ind w:left="243"/>
              <w:rPr>
                <w:rFonts w:ascii="Calibri" w:eastAsia="Calibri" w:hAnsi="Calibri" w:cs="Calibri"/>
                <w:sz w:val="18"/>
                <w:szCs w:val="18"/>
              </w:rPr>
            </w:pPr>
            <w:r>
              <w:rPr>
                <w:rFonts w:ascii="Calibri" w:eastAsia="Calibri" w:hAnsi="Calibri" w:cs="Calibri"/>
                <w:color w:val="221E1F"/>
                <w:sz w:val="18"/>
                <w:szCs w:val="18"/>
              </w:rPr>
              <w:t>G</w:t>
            </w:r>
          </w:p>
        </w:tc>
        <w:tc>
          <w:tcPr>
            <w:tcW w:w="1772" w:type="dxa"/>
            <w:vAlign w:val="top"/>
          </w:tcPr>
          <w:p>
            <w:pPr>
              <w:pStyle w:val="TableText"/>
              <w:spacing w:before="260" w:line="220" w:lineRule="auto"/>
              <w:ind w:left="169"/>
            </w:pPr>
            <w:r>
              <w:rPr>
                <w:color w:val="221E1F"/>
                <w:spacing w:val="-3"/>
              </w:rPr>
              <w:t>数据缓存（单元）</w:t>
            </w:r>
          </w:p>
        </w:tc>
        <w:tc>
          <w:tcPr>
            <w:tcW w:w="1771" w:type="dxa"/>
            <w:vAlign w:val="top"/>
          </w:tcPr>
          <w:p>
            <w:pPr>
              <w:pStyle w:val="TableText"/>
              <w:spacing w:before="260" w:line="220" w:lineRule="auto"/>
              <w:ind w:left="82"/>
            </w:pPr>
            <w:r>
              <w:rPr>
                <w:color w:val="221E1F"/>
                <w:spacing w:val="-1"/>
              </w:rPr>
              <w:t>数据预处理功能实体</w:t>
            </w:r>
          </w:p>
        </w:tc>
        <w:tc>
          <w:tcPr>
            <w:tcW w:w="1634" w:type="dxa"/>
            <w:vAlign w:val="top"/>
          </w:tcPr>
          <w:p>
            <w:pPr>
              <w:spacing w:before="170" w:line="219" w:lineRule="auto"/>
              <w:ind w:left="572" w:right="139" w:hanging="416"/>
              <w:rPr>
                <w:rFonts w:ascii="Calibri" w:eastAsia="Calibri" w:hAnsi="Calibri" w:cs="Calibri"/>
                <w:sz w:val="18"/>
                <w:szCs w:val="18"/>
              </w:rPr>
            </w:pPr>
            <w:r>
              <w:rPr>
                <w:rFonts w:ascii="Calibri" w:eastAsia="Calibri" w:hAnsi="Calibri" w:cs="Calibri"/>
                <w:color w:val="221E1F"/>
                <w:spacing w:val="-2"/>
                <w:sz w:val="18"/>
                <w:szCs w:val="18"/>
              </w:rPr>
              <w:t>ISO</w:t>
            </w:r>
            <w:r>
              <w:rPr>
                <w:rFonts w:ascii="Calibri" w:eastAsia="Calibri" w:hAnsi="Calibri" w:cs="Calibri"/>
                <w:color w:val="221E1F"/>
                <w:spacing w:val="15"/>
                <w:w w:val="101"/>
                <w:sz w:val="18"/>
                <w:szCs w:val="18"/>
              </w:rPr>
              <w:t xml:space="preserve"> </w:t>
            </w:r>
            <w:r>
              <w:rPr>
                <w:rFonts w:ascii="Calibri" w:eastAsia="Calibri" w:hAnsi="Calibri" w:cs="Calibri"/>
                <w:color w:val="221E1F"/>
                <w:spacing w:val="-2"/>
                <w:sz w:val="18"/>
                <w:szCs w:val="18"/>
              </w:rPr>
              <w:t>23247-2:2021,</w:t>
            </w:r>
            <w:r>
              <w:rPr>
                <w:rFonts w:ascii="Calibri" w:eastAsia="Calibri" w:hAnsi="Calibri" w:cs="Calibri"/>
                <w:color w:val="221E1F"/>
                <w:sz w:val="18"/>
                <w:szCs w:val="18"/>
              </w:rPr>
              <w:t xml:space="preserve"> </w:t>
            </w:r>
            <w:hyperlink r:id="rId69" w:history="1">
              <w:r>
                <w:rPr>
                  <w:rFonts w:ascii="Calibri" w:eastAsia="Calibri" w:hAnsi="Calibri" w:cs="Calibri"/>
                  <w:color w:val="221E1F"/>
                  <w:spacing w:val="-2"/>
                  <w:sz w:val="18"/>
                  <w:szCs w:val="18"/>
                </w:rPr>
                <w:t>6.2.1.2</w:t>
              </w:r>
            </w:hyperlink>
          </w:p>
        </w:tc>
        <w:tc>
          <w:tcPr>
            <w:tcW w:w="1773" w:type="dxa"/>
            <w:vAlign w:val="top"/>
          </w:tcPr>
          <w:p>
            <w:pPr>
              <w:pStyle w:val="TableText"/>
              <w:spacing w:before="260" w:line="220" w:lineRule="auto"/>
              <w:ind w:left="296"/>
            </w:pPr>
            <w:r>
              <w:rPr>
                <w:rFonts w:ascii="Calibri" w:eastAsia="Calibri" w:hAnsi="Calibri" w:cs="Calibri"/>
                <w:color w:val="221E1F"/>
                <w:spacing w:val="-2"/>
              </w:rPr>
              <w:t>MTConnect</w:t>
            </w:r>
            <w:r>
              <w:rPr>
                <w:color w:val="221E1F"/>
                <w:spacing w:val="-2"/>
              </w:rPr>
              <w:t>代理</w:t>
            </w:r>
          </w:p>
        </w:tc>
        <w:tc>
          <w:tcPr>
            <w:tcW w:w="1811" w:type="dxa"/>
            <w:vAlign w:val="top"/>
          </w:tcPr>
          <w:p>
            <w:pPr>
              <w:pStyle w:val="TableText"/>
              <w:spacing w:before="28" w:line="228" w:lineRule="auto"/>
              <w:ind w:left="47" w:right="145" w:firstLine="1"/>
            </w:pPr>
            <w:r>
              <w:rPr>
                <w:color w:val="221E1F"/>
                <w:spacing w:val="-6"/>
              </w:rPr>
              <w:t>缓存处理状态信息，</w:t>
            </w:r>
            <w:r>
              <w:rPr>
                <w:color w:val="221E1F"/>
                <w:spacing w:val="3"/>
              </w:rPr>
              <w:t xml:space="preserve"> </w:t>
            </w:r>
            <w:r>
              <w:rPr>
                <w:color w:val="221E1F"/>
                <w:spacing w:val="-1"/>
              </w:rPr>
              <w:t>以确保机翼和过程数</w:t>
            </w:r>
            <w:r>
              <w:rPr>
                <w:color w:val="221E1F"/>
              </w:rPr>
              <w:t xml:space="preserve"> </w:t>
            </w:r>
            <w:r>
              <w:rPr>
                <w:color w:val="221E1F"/>
                <w:spacing w:val="-4"/>
              </w:rPr>
              <w:t>字孪生的可靠更新。</w:t>
            </w:r>
          </w:p>
        </w:tc>
      </w:tr>
      <w:tr>
        <w:tblPrEx>
          <w:tblW w:w="9349" w:type="dxa"/>
          <w:tblInd w:w="2" w:type="dxa"/>
          <w:tblLayout w:type="fixed"/>
        </w:tblPrEx>
        <w:trPr>
          <w:trHeight w:val="1639"/>
        </w:trPr>
        <w:tc>
          <w:tcPr>
            <w:tcW w:w="588" w:type="dxa"/>
            <w:vAlign w:val="top"/>
          </w:tcPr>
          <w:p>
            <w:pPr>
              <w:spacing w:line="354" w:lineRule="auto"/>
              <w:rPr>
                <w:rFonts w:ascii="Arial"/>
                <w:sz w:val="21"/>
              </w:rPr>
            </w:pPr>
          </w:p>
          <w:p>
            <w:pPr>
              <w:spacing w:line="355" w:lineRule="auto"/>
              <w:rPr>
                <w:rFonts w:ascii="Arial"/>
                <w:sz w:val="21"/>
              </w:rPr>
            </w:pPr>
          </w:p>
          <w:p>
            <w:pPr>
              <w:spacing w:before="54" w:line="177" w:lineRule="auto"/>
              <w:ind w:left="250"/>
              <w:rPr>
                <w:rFonts w:ascii="Calibri" w:eastAsia="Calibri" w:hAnsi="Calibri" w:cs="Calibri"/>
                <w:sz w:val="18"/>
                <w:szCs w:val="18"/>
              </w:rPr>
            </w:pPr>
            <w:r>
              <w:rPr>
                <w:rFonts w:ascii="Calibri" w:eastAsia="Calibri" w:hAnsi="Calibri" w:cs="Calibri"/>
                <w:color w:val="221E1F"/>
                <w:sz w:val="18"/>
                <w:szCs w:val="18"/>
              </w:rPr>
              <w:t>H</w:t>
            </w:r>
          </w:p>
        </w:tc>
        <w:tc>
          <w:tcPr>
            <w:tcW w:w="1772" w:type="dxa"/>
            <w:vAlign w:val="top"/>
          </w:tcPr>
          <w:p>
            <w:pPr>
              <w:spacing w:line="333" w:lineRule="auto"/>
              <w:rPr>
                <w:rFonts w:ascii="Arial"/>
                <w:sz w:val="21"/>
              </w:rPr>
            </w:pPr>
          </w:p>
          <w:p>
            <w:pPr>
              <w:spacing w:line="333" w:lineRule="auto"/>
              <w:rPr>
                <w:rFonts w:ascii="Arial"/>
                <w:sz w:val="21"/>
              </w:rPr>
            </w:pPr>
          </w:p>
          <w:p>
            <w:pPr>
              <w:pStyle w:val="TableText"/>
              <w:spacing w:before="59" w:line="220" w:lineRule="auto"/>
              <w:ind w:left="439"/>
            </w:pPr>
            <w:r>
              <w:rPr>
                <w:color w:val="221E1F"/>
                <w:spacing w:val="-2"/>
              </w:rPr>
              <w:t>语境翻译器</w:t>
            </w:r>
          </w:p>
        </w:tc>
        <w:tc>
          <w:tcPr>
            <w:tcW w:w="1771" w:type="dxa"/>
            <w:vAlign w:val="top"/>
          </w:tcPr>
          <w:p>
            <w:pPr>
              <w:spacing w:line="333" w:lineRule="auto"/>
              <w:rPr>
                <w:rFonts w:ascii="Arial"/>
                <w:sz w:val="21"/>
              </w:rPr>
            </w:pPr>
          </w:p>
          <w:p>
            <w:pPr>
              <w:spacing w:line="333" w:lineRule="auto"/>
              <w:rPr>
                <w:rFonts w:ascii="Arial"/>
                <w:sz w:val="21"/>
              </w:rPr>
            </w:pPr>
          </w:p>
          <w:p>
            <w:pPr>
              <w:pStyle w:val="TableText"/>
              <w:spacing w:before="59" w:line="220" w:lineRule="auto"/>
              <w:ind w:left="171"/>
            </w:pPr>
            <w:r>
              <w:rPr>
                <w:color w:val="221E1F"/>
                <w:spacing w:val="-1"/>
              </w:rPr>
              <w:t>数据转换功能实体</w:t>
            </w:r>
          </w:p>
        </w:tc>
        <w:tc>
          <w:tcPr>
            <w:tcW w:w="1634" w:type="dxa"/>
            <w:vAlign w:val="top"/>
          </w:tcPr>
          <w:p>
            <w:pPr>
              <w:spacing w:line="288" w:lineRule="auto"/>
              <w:rPr>
                <w:rFonts w:ascii="Arial"/>
                <w:sz w:val="21"/>
              </w:rPr>
            </w:pPr>
          </w:p>
          <w:p>
            <w:pPr>
              <w:spacing w:line="289" w:lineRule="auto"/>
              <w:rPr>
                <w:rFonts w:ascii="Arial"/>
                <w:sz w:val="21"/>
              </w:rPr>
            </w:pPr>
          </w:p>
          <w:p>
            <w:pPr>
              <w:spacing w:before="55" w:line="221" w:lineRule="auto"/>
              <w:ind w:left="642" w:right="139" w:hanging="486"/>
              <w:rPr>
                <w:rFonts w:ascii="Calibri" w:eastAsia="Calibri" w:hAnsi="Calibri" w:cs="Calibri"/>
                <w:sz w:val="18"/>
                <w:szCs w:val="18"/>
              </w:rPr>
            </w:pPr>
            <w:r>
              <w:rPr>
                <w:rFonts w:ascii="Calibri" w:eastAsia="Calibri" w:hAnsi="Calibri" w:cs="Calibri"/>
                <w:color w:val="221E1F"/>
                <w:spacing w:val="-2"/>
                <w:sz w:val="18"/>
                <w:szCs w:val="18"/>
              </w:rPr>
              <w:t>ISO</w:t>
            </w:r>
            <w:r>
              <w:rPr>
                <w:rFonts w:ascii="Calibri" w:eastAsia="Calibri" w:hAnsi="Calibri" w:cs="Calibri"/>
                <w:color w:val="221E1F"/>
                <w:spacing w:val="15"/>
                <w:w w:val="101"/>
                <w:sz w:val="18"/>
                <w:szCs w:val="18"/>
              </w:rPr>
              <w:t xml:space="preserve"> </w:t>
            </w:r>
            <w:r>
              <w:rPr>
                <w:rFonts w:ascii="Calibri" w:eastAsia="Calibri" w:hAnsi="Calibri" w:cs="Calibri"/>
                <w:color w:val="221E1F"/>
                <w:spacing w:val="-2"/>
                <w:sz w:val="18"/>
                <w:szCs w:val="18"/>
              </w:rPr>
              <w:t>23247-2:2021,</w:t>
            </w:r>
            <w:r>
              <w:rPr>
                <w:rFonts w:ascii="Calibri" w:eastAsia="Calibri" w:hAnsi="Calibri" w:cs="Calibri"/>
                <w:color w:val="221E1F"/>
                <w:sz w:val="18"/>
                <w:szCs w:val="18"/>
              </w:rPr>
              <w:t xml:space="preserve"> </w:t>
            </w:r>
            <w:r>
              <w:rPr>
                <w:rFonts w:ascii="Calibri" w:eastAsia="Calibri" w:hAnsi="Calibri" w:cs="Calibri"/>
                <w:color w:val="221E1F"/>
                <w:spacing w:val="-2"/>
                <w:sz w:val="18"/>
                <w:szCs w:val="18"/>
              </w:rPr>
              <w:t>6.5.3</w:t>
            </w:r>
          </w:p>
        </w:tc>
        <w:tc>
          <w:tcPr>
            <w:tcW w:w="1773" w:type="dxa"/>
            <w:vAlign w:val="top"/>
          </w:tcPr>
          <w:p>
            <w:pPr>
              <w:spacing w:line="275" w:lineRule="auto"/>
              <w:rPr>
                <w:rFonts w:ascii="Arial"/>
                <w:sz w:val="21"/>
              </w:rPr>
            </w:pPr>
          </w:p>
          <w:p>
            <w:pPr>
              <w:spacing w:line="275" w:lineRule="auto"/>
              <w:rPr>
                <w:rFonts w:ascii="Arial"/>
                <w:sz w:val="21"/>
              </w:rPr>
            </w:pPr>
          </w:p>
          <w:p>
            <w:pPr>
              <w:pStyle w:val="TableText"/>
              <w:spacing w:before="58" w:line="220" w:lineRule="auto"/>
              <w:ind w:left="267"/>
            </w:pPr>
            <w:r>
              <w:rPr>
                <w:color w:val="221E1F"/>
                <w:spacing w:val="-1"/>
              </w:rPr>
              <w:t>使用</w:t>
            </w:r>
            <w:r>
              <w:rPr>
                <w:rFonts w:ascii="Calibri" w:eastAsia="Calibri" w:hAnsi="Calibri" w:cs="Calibri"/>
                <w:color w:val="221E1F"/>
                <w:spacing w:val="-1"/>
              </w:rPr>
              <w:t>STEP</w:t>
            </w:r>
            <w:r>
              <w:rPr>
                <w:color w:val="221E1F"/>
                <w:spacing w:val="-1"/>
              </w:rPr>
              <w:t>模块的</w:t>
            </w:r>
          </w:p>
          <w:p>
            <w:pPr>
              <w:pStyle w:val="TableText"/>
              <w:spacing w:before="18" w:line="220" w:lineRule="auto"/>
              <w:ind w:left="97"/>
            </w:pPr>
            <w:r>
              <w:rPr>
                <w:rFonts w:ascii="Calibri" w:eastAsia="Calibri" w:hAnsi="Calibri" w:cs="Calibri"/>
                <w:color w:val="221E1F"/>
                <w:spacing w:val="-1"/>
              </w:rPr>
              <w:t>Windows</w:t>
            </w:r>
            <w:r>
              <w:rPr>
                <w:color w:val="221E1F"/>
                <w:spacing w:val="-1"/>
              </w:rPr>
              <w:t>可执行文件</w:t>
            </w:r>
          </w:p>
        </w:tc>
        <w:tc>
          <w:tcPr>
            <w:tcW w:w="1811" w:type="dxa"/>
            <w:vAlign w:val="top"/>
          </w:tcPr>
          <w:p>
            <w:pPr>
              <w:pStyle w:val="TableText"/>
              <w:spacing w:before="29" w:line="220" w:lineRule="auto"/>
              <w:ind w:left="47"/>
            </w:pPr>
            <w:r>
              <w:rPr>
                <w:color w:val="221E1F"/>
                <w:spacing w:val="-1"/>
              </w:rPr>
              <w:t>利用增强型快速约定</w:t>
            </w:r>
          </w:p>
          <w:p>
            <w:pPr>
              <w:pStyle w:val="TableText"/>
              <w:spacing w:before="18" w:line="273" w:lineRule="exact"/>
              <w:ind w:left="45"/>
            </w:pPr>
            <w:r>
              <w:rPr>
                <w:color w:val="221E1F"/>
                <w:spacing w:val="-1"/>
                <w:position w:val="6"/>
              </w:rPr>
              <w:t>将</w:t>
            </w:r>
            <w:r>
              <w:rPr>
                <w:rFonts w:ascii="Calibri" w:eastAsia="Calibri" w:hAnsi="Calibri" w:cs="Calibri"/>
                <w:color w:val="221E1F"/>
                <w:spacing w:val="-1"/>
                <w:position w:val="6"/>
              </w:rPr>
              <w:t>AP238</w:t>
            </w:r>
            <w:r>
              <w:rPr>
                <w:color w:val="221E1F"/>
                <w:spacing w:val="-1"/>
                <w:position w:val="6"/>
              </w:rPr>
              <w:t>转换为</w:t>
            </w:r>
          </w:p>
          <w:p>
            <w:pPr>
              <w:pStyle w:val="TableText"/>
              <w:spacing w:line="170" w:lineRule="auto"/>
              <w:ind w:left="55"/>
            </w:pPr>
            <w:r>
              <w:rPr>
                <w:rFonts w:ascii="Calibri" w:eastAsia="Calibri" w:hAnsi="Calibri" w:cs="Calibri"/>
                <w:color w:val="221E1F"/>
                <w:spacing w:val="-3"/>
              </w:rPr>
              <w:t>RAPID</w:t>
            </w:r>
            <w:r>
              <w:rPr>
                <w:color w:val="221E1F"/>
                <w:spacing w:val="-3"/>
              </w:rPr>
              <w:t>。</w:t>
            </w:r>
          </w:p>
          <w:p>
            <w:pPr>
              <w:pStyle w:val="TableText"/>
              <w:spacing w:before="26" w:line="231" w:lineRule="auto"/>
              <w:ind w:left="46" w:right="145"/>
              <w:jc w:val="both"/>
            </w:pPr>
            <w:r>
              <w:rPr>
                <w:color w:val="221E1F"/>
                <w:spacing w:val="-1"/>
              </w:rPr>
              <w:t>在该用例中，数据转</w:t>
            </w:r>
            <w:r>
              <w:rPr>
                <w:color w:val="221E1F"/>
                <w:spacing w:val="2"/>
              </w:rPr>
              <w:t xml:space="preserve"> </w:t>
            </w:r>
            <w:r>
              <w:rPr>
                <w:color w:val="221E1F"/>
                <w:spacing w:val="-1"/>
              </w:rPr>
              <w:t>换功能实体是在设备</w:t>
            </w:r>
            <w:r>
              <w:rPr>
                <w:color w:val="221E1F"/>
                <w:spacing w:val="1"/>
              </w:rPr>
              <w:t xml:space="preserve"> </w:t>
            </w:r>
            <w:r>
              <w:rPr>
                <w:color w:val="221E1F"/>
                <w:spacing w:val="-1"/>
              </w:rPr>
              <w:t>控制子实体中实现的</w:t>
            </w:r>
            <w:r>
              <w:rPr>
                <w:color w:val="221E1F"/>
                <w:spacing w:val="2"/>
              </w:rPr>
              <w:t xml:space="preserve"> </w:t>
            </w:r>
            <w:r>
              <w:rPr>
                <w:color w:val="221E1F"/>
                <w:spacing w:val="-5"/>
              </w:rPr>
              <w:t>跨系统实体。</w:t>
            </w:r>
          </w:p>
        </w:tc>
      </w:tr>
      <w:tr>
        <w:tblPrEx>
          <w:tblW w:w="9349" w:type="dxa"/>
          <w:tblInd w:w="2" w:type="dxa"/>
          <w:tblLayout w:type="fixed"/>
        </w:tblPrEx>
        <w:trPr>
          <w:trHeight w:val="705"/>
        </w:trPr>
        <w:tc>
          <w:tcPr>
            <w:tcW w:w="588" w:type="dxa"/>
            <w:vAlign w:val="top"/>
          </w:tcPr>
          <w:p>
            <w:pPr>
              <w:spacing w:line="246" w:lineRule="auto"/>
              <w:rPr>
                <w:rFonts w:ascii="Arial"/>
                <w:sz w:val="21"/>
              </w:rPr>
            </w:pPr>
          </w:p>
          <w:p>
            <w:pPr>
              <w:spacing w:before="55" w:line="177" w:lineRule="auto"/>
              <w:ind w:left="284"/>
              <w:rPr>
                <w:rFonts w:ascii="Calibri" w:eastAsia="Calibri" w:hAnsi="Calibri" w:cs="Calibri"/>
                <w:sz w:val="18"/>
                <w:szCs w:val="18"/>
              </w:rPr>
            </w:pPr>
            <w:r>
              <w:rPr>
                <w:rFonts w:ascii="Calibri" w:eastAsia="Calibri" w:hAnsi="Calibri" w:cs="Calibri"/>
                <w:color w:val="221E1F"/>
                <w:sz w:val="18"/>
                <w:szCs w:val="18"/>
              </w:rPr>
              <w:t>I</w:t>
            </w:r>
          </w:p>
        </w:tc>
        <w:tc>
          <w:tcPr>
            <w:tcW w:w="1772" w:type="dxa"/>
            <w:vAlign w:val="top"/>
          </w:tcPr>
          <w:p>
            <w:pPr>
              <w:pStyle w:val="TableText"/>
              <w:spacing w:before="261" w:line="219" w:lineRule="auto"/>
              <w:ind w:left="530"/>
            </w:pPr>
            <w:r>
              <w:rPr>
                <w:color w:val="221E1F"/>
                <w:spacing w:val="-2"/>
              </w:rPr>
              <w:t>指令通信</w:t>
            </w:r>
          </w:p>
        </w:tc>
        <w:tc>
          <w:tcPr>
            <w:tcW w:w="1771" w:type="dxa"/>
            <w:vAlign w:val="top"/>
          </w:tcPr>
          <w:p>
            <w:pPr>
              <w:pStyle w:val="TableText"/>
              <w:spacing w:before="262" w:line="220" w:lineRule="auto"/>
              <w:ind w:left="529"/>
            </w:pPr>
            <w:r>
              <w:rPr>
                <w:color w:val="221E1F"/>
                <w:spacing w:val="-2"/>
              </w:rPr>
              <w:t>邻近网络</w:t>
            </w:r>
          </w:p>
        </w:tc>
        <w:tc>
          <w:tcPr>
            <w:tcW w:w="1634" w:type="dxa"/>
            <w:vAlign w:val="top"/>
          </w:tcPr>
          <w:p>
            <w:pPr>
              <w:spacing w:line="246" w:lineRule="auto"/>
              <w:rPr>
                <w:rFonts w:ascii="Arial"/>
                <w:sz w:val="21"/>
              </w:rPr>
            </w:pPr>
          </w:p>
          <w:p>
            <w:pPr>
              <w:spacing w:before="55" w:line="177" w:lineRule="auto"/>
              <w:ind w:left="705"/>
              <w:rPr>
                <w:rFonts w:ascii="Calibri" w:eastAsia="Calibri" w:hAnsi="Calibri" w:cs="Calibri"/>
                <w:sz w:val="18"/>
                <w:szCs w:val="18"/>
              </w:rPr>
            </w:pPr>
            <w:r>
              <w:rPr>
                <w:rFonts w:ascii="Calibri" w:eastAsia="Calibri" w:hAnsi="Calibri" w:cs="Calibri"/>
                <w:color w:val="221E1F"/>
                <w:spacing w:val="-1"/>
                <w:sz w:val="18"/>
                <w:szCs w:val="18"/>
              </w:rPr>
              <w:t>4.5</w:t>
            </w:r>
          </w:p>
        </w:tc>
        <w:tc>
          <w:tcPr>
            <w:tcW w:w="1773" w:type="dxa"/>
            <w:vAlign w:val="top"/>
          </w:tcPr>
          <w:p>
            <w:pPr>
              <w:pStyle w:val="TableText"/>
              <w:spacing w:before="261" w:line="222" w:lineRule="auto"/>
              <w:ind w:left="444"/>
            </w:pPr>
            <w:r>
              <w:rPr>
                <w:color w:val="221E1F"/>
                <w:spacing w:val="-2"/>
              </w:rPr>
              <w:t>工业以太网</w:t>
            </w:r>
          </w:p>
        </w:tc>
        <w:tc>
          <w:tcPr>
            <w:tcW w:w="1811" w:type="dxa"/>
            <w:vAlign w:val="top"/>
          </w:tcPr>
          <w:p>
            <w:pPr>
              <w:pStyle w:val="TableText"/>
              <w:spacing w:before="28" w:line="228" w:lineRule="auto"/>
              <w:ind w:left="45" w:right="54"/>
            </w:pPr>
            <w:r>
              <w:rPr>
                <w:color w:val="221E1F"/>
                <w:spacing w:val="-1"/>
              </w:rPr>
              <w:t>将增强型</w:t>
            </w:r>
            <w:r>
              <w:rPr>
                <w:rFonts w:ascii="Calibri" w:eastAsia="Calibri" w:hAnsi="Calibri" w:cs="Calibri"/>
                <w:color w:val="221E1F"/>
                <w:spacing w:val="-1"/>
              </w:rPr>
              <w:t>RAPID</w:t>
            </w:r>
            <w:r>
              <w:rPr>
                <w:color w:val="221E1F"/>
                <w:spacing w:val="-1"/>
              </w:rPr>
              <w:t>的命令</w:t>
            </w:r>
            <w:r>
              <w:rPr>
                <w:color w:val="221E1F"/>
                <w:spacing w:val="6"/>
              </w:rPr>
              <w:t xml:space="preserve"> </w:t>
            </w:r>
            <w:r>
              <w:rPr>
                <w:color w:val="221E1F"/>
                <w:spacing w:val="-1"/>
              </w:rPr>
              <w:t>从单元控制器传输给</w:t>
            </w:r>
            <w:r>
              <w:rPr>
                <w:color w:val="221E1F"/>
              </w:rPr>
              <w:t xml:space="preserve">  </w:t>
            </w:r>
            <w:r>
              <w:rPr>
                <w:color w:val="221E1F"/>
                <w:spacing w:val="-7"/>
              </w:rPr>
              <w:t>机器人。</w:t>
            </w:r>
          </w:p>
        </w:tc>
      </w:tr>
      <w:tr>
        <w:tblPrEx>
          <w:tblW w:w="9349" w:type="dxa"/>
          <w:tblInd w:w="2" w:type="dxa"/>
          <w:tblLayout w:type="fixed"/>
        </w:tblPrEx>
        <w:trPr>
          <w:trHeight w:val="705"/>
        </w:trPr>
        <w:tc>
          <w:tcPr>
            <w:tcW w:w="588" w:type="dxa"/>
            <w:vAlign w:val="top"/>
          </w:tcPr>
          <w:p>
            <w:pPr>
              <w:spacing w:line="246" w:lineRule="auto"/>
              <w:rPr>
                <w:rFonts w:ascii="Arial"/>
                <w:sz w:val="21"/>
              </w:rPr>
            </w:pPr>
          </w:p>
          <w:p>
            <w:pPr>
              <w:spacing w:before="55" w:line="177" w:lineRule="auto"/>
              <w:ind w:left="264"/>
              <w:rPr>
                <w:rFonts w:ascii="Calibri" w:eastAsia="Calibri" w:hAnsi="Calibri" w:cs="Calibri"/>
                <w:sz w:val="18"/>
                <w:szCs w:val="18"/>
              </w:rPr>
            </w:pPr>
            <w:r>
              <w:rPr>
                <w:rFonts w:ascii="Calibri" w:eastAsia="Calibri" w:hAnsi="Calibri" w:cs="Calibri"/>
                <w:color w:val="221E1F"/>
                <w:sz w:val="18"/>
                <w:szCs w:val="18"/>
              </w:rPr>
              <w:t>J</w:t>
            </w:r>
          </w:p>
        </w:tc>
        <w:tc>
          <w:tcPr>
            <w:tcW w:w="1772" w:type="dxa"/>
            <w:vAlign w:val="top"/>
          </w:tcPr>
          <w:p>
            <w:pPr>
              <w:pStyle w:val="TableText"/>
              <w:spacing w:before="262" w:line="219" w:lineRule="auto"/>
              <w:ind w:left="710"/>
            </w:pPr>
            <w:r>
              <w:rPr>
                <w:color w:val="221E1F"/>
                <w:spacing w:val="-3"/>
              </w:rPr>
              <w:t>指令</w:t>
            </w:r>
          </w:p>
        </w:tc>
        <w:tc>
          <w:tcPr>
            <w:tcW w:w="1771" w:type="dxa"/>
            <w:vAlign w:val="top"/>
          </w:tcPr>
          <w:p>
            <w:pPr>
              <w:pStyle w:val="TableText"/>
              <w:spacing w:before="146" w:line="230" w:lineRule="auto"/>
              <w:ind w:left="636" w:right="72" w:hanging="556"/>
            </w:pPr>
            <w:r>
              <w:rPr>
                <w:color w:val="221E1F"/>
                <w:spacing w:val="-1"/>
              </w:rPr>
              <w:t>邻近网络中信息交换</w:t>
            </w:r>
            <w:r>
              <w:rPr>
                <w:color w:val="221E1F"/>
                <w:spacing w:val="1"/>
              </w:rPr>
              <w:t xml:space="preserve"> </w:t>
            </w:r>
            <w:r>
              <w:rPr>
                <w:color w:val="221E1F"/>
                <w:spacing w:val="-5"/>
              </w:rPr>
              <w:t>的要求</w:t>
            </w:r>
          </w:p>
        </w:tc>
        <w:tc>
          <w:tcPr>
            <w:tcW w:w="1634" w:type="dxa"/>
            <w:vAlign w:val="top"/>
          </w:tcPr>
          <w:p>
            <w:pPr>
              <w:pStyle w:val="TableText"/>
              <w:spacing w:before="262" w:line="219" w:lineRule="auto"/>
              <w:ind w:left="597"/>
            </w:pPr>
            <w:r>
              <w:rPr>
                <w:color w:val="221E1F"/>
                <w:spacing w:val="-3"/>
              </w:rPr>
              <w:t>第</w:t>
            </w:r>
            <w:r>
              <w:rPr>
                <w:rFonts w:ascii="Calibri" w:eastAsia="Calibri" w:hAnsi="Calibri" w:cs="Calibri"/>
                <w:color w:val="221E1F"/>
                <w:spacing w:val="-3"/>
              </w:rPr>
              <w:t>8</w:t>
            </w:r>
            <w:r>
              <w:rPr>
                <w:color w:val="221E1F"/>
                <w:spacing w:val="-3"/>
              </w:rPr>
              <w:t>章</w:t>
            </w:r>
          </w:p>
        </w:tc>
        <w:tc>
          <w:tcPr>
            <w:tcW w:w="1773" w:type="dxa"/>
            <w:vAlign w:val="top"/>
          </w:tcPr>
          <w:p>
            <w:pPr>
              <w:pStyle w:val="TableText"/>
              <w:spacing w:before="262" w:line="221" w:lineRule="auto"/>
              <w:ind w:left="397"/>
              <w:rPr>
                <w:rFonts w:ascii="Calibri" w:eastAsia="Calibri" w:hAnsi="Calibri" w:cs="Calibri"/>
              </w:rPr>
            </w:pPr>
            <w:r>
              <w:rPr>
                <w:color w:val="221E1F"/>
                <w:spacing w:val="-1"/>
              </w:rPr>
              <w:t>增强型</w:t>
            </w:r>
            <w:r>
              <w:rPr>
                <w:rFonts w:ascii="Calibri" w:eastAsia="Calibri" w:hAnsi="Calibri" w:cs="Calibri"/>
                <w:color w:val="221E1F"/>
                <w:spacing w:val="-1"/>
              </w:rPr>
              <w:t>RAPID</w:t>
            </w:r>
          </w:p>
        </w:tc>
        <w:tc>
          <w:tcPr>
            <w:tcW w:w="1811" w:type="dxa"/>
            <w:vAlign w:val="top"/>
          </w:tcPr>
          <w:p>
            <w:pPr>
              <w:pStyle w:val="TableText"/>
              <w:spacing w:before="31" w:line="227" w:lineRule="auto"/>
              <w:ind w:left="14" w:right="85" w:firstLine="33"/>
              <w:jc w:val="both"/>
            </w:pPr>
            <w:r>
              <w:rPr>
                <w:color w:val="221E1F"/>
                <w:spacing w:val="-2"/>
              </w:rPr>
              <w:t xml:space="preserve">利用机器人本地语言 </w:t>
            </w:r>
            <w:r>
              <w:rPr>
                <w:rFonts w:ascii="Calibri" w:eastAsia="Calibri" w:hAnsi="Calibri" w:cs="Calibri"/>
                <w:color w:val="221E1F"/>
                <w:spacing w:val="3"/>
              </w:rPr>
              <w:t>“</w:t>
            </w:r>
            <w:r>
              <w:rPr>
                <w:rFonts w:ascii="Calibri" w:eastAsia="Calibri" w:hAnsi="Calibri" w:cs="Calibri"/>
                <w:color w:val="221E1F"/>
              </w:rPr>
              <w:t>RAPID</w:t>
            </w:r>
            <w:r>
              <w:rPr>
                <w:rFonts w:ascii="Calibri" w:eastAsia="Calibri" w:hAnsi="Calibri" w:cs="Calibri"/>
                <w:color w:val="221E1F"/>
                <w:spacing w:val="3"/>
              </w:rPr>
              <w:t>”</w:t>
            </w:r>
            <w:r>
              <w:rPr>
                <w:color w:val="221E1F"/>
                <w:spacing w:val="3"/>
              </w:rPr>
              <w:t>的标准实现过</w:t>
            </w:r>
            <w:r>
              <w:rPr>
                <w:color w:val="221E1F"/>
              </w:rPr>
              <w:t xml:space="preserve"> </w:t>
            </w:r>
            <w:r>
              <w:rPr>
                <w:color w:val="221E1F"/>
                <w:spacing w:val="-1"/>
              </w:rPr>
              <w:t>程指令。</w:t>
            </w:r>
          </w:p>
        </w:tc>
      </w:tr>
    </w:tbl>
    <w:p>
      <w:pPr>
        <w:sectPr>
          <w:headerReference w:type="default" r:id="rId70"/>
          <w:footerReference w:type="default" r:id="rId71"/>
          <w:pgSz w:w="11907" w:h="16839"/>
          <w:pgMar w:top="1659" w:right="1418" w:bottom="1311" w:left="1132" w:header="1448" w:footer="1133" w:gutter="0"/>
          <w:pgNumType w:start="27"/>
          <w:cols w:space="708"/>
        </w:sectPr>
      </w:pPr>
    </w:p>
    <w:tbl>
      <w:tblPr>
        <w:tblStyle w:val="TableNormal3"/>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88"/>
        <w:gridCol w:w="1772"/>
        <w:gridCol w:w="1771"/>
        <w:gridCol w:w="1634"/>
        <w:gridCol w:w="1773"/>
        <w:gridCol w:w="1811"/>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05"/>
        </w:trPr>
        <w:tc>
          <w:tcPr>
            <w:tcW w:w="588" w:type="dxa"/>
            <w:vAlign w:val="top"/>
          </w:tcPr>
          <w:p>
            <w:pPr>
              <w:spacing w:line="247" w:lineRule="auto"/>
              <w:rPr>
                <w:rFonts w:ascii="Arial"/>
                <w:sz w:val="21"/>
              </w:rPr>
            </w:pPr>
          </w:p>
          <w:p>
            <w:pPr>
              <w:spacing w:before="54" w:line="177" w:lineRule="auto"/>
              <w:ind w:left="260"/>
              <w:rPr>
                <w:rFonts w:ascii="Calibri" w:eastAsia="Calibri" w:hAnsi="Calibri" w:cs="Calibri"/>
                <w:sz w:val="18"/>
                <w:szCs w:val="18"/>
              </w:rPr>
            </w:pPr>
            <w:r>
              <w:rPr>
                <w:rFonts w:ascii="Calibri" w:eastAsia="Calibri" w:hAnsi="Calibri" w:cs="Calibri"/>
                <w:color w:val="221E1F"/>
                <w:sz w:val="18"/>
                <w:szCs w:val="18"/>
              </w:rPr>
              <w:t>K</w:t>
            </w:r>
          </w:p>
        </w:tc>
        <w:tc>
          <w:tcPr>
            <w:tcW w:w="1772" w:type="dxa"/>
            <w:vAlign w:val="top"/>
          </w:tcPr>
          <w:p>
            <w:pPr>
              <w:pStyle w:val="TableText"/>
              <w:spacing w:before="262" w:line="220" w:lineRule="auto"/>
              <w:ind w:left="213"/>
            </w:pPr>
            <w:r>
              <w:rPr>
                <w:color w:val="221E1F"/>
                <w:spacing w:val="-1"/>
              </w:rPr>
              <w:t>状态流通信（</w:t>
            </w:r>
            <w:r>
              <w:rPr>
                <w:rFonts w:ascii="Calibri" w:eastAsia="Calibri" w:hAnsi="Calibri" w:cs="Calibri"/>
                <w:color w:val="221E1F"/>
                <w:spacing w:val="-1"/>
              </w:rPr>
              <w:t>1</w:t>
            </w:r>
            <w:r>
              <w:rPr>
                <w:color w:val="221E1F"/>
                <w:spacing w:val="-1"/>
              </w:rPr>
              <w:t>）</w:t>
            </w:r>
          </w:p>
        </w:tc>
        <w:tc>
          <w:tcPr>
            <w:tcW w:w="1771" w:type="dxa"/>
            <w:vAlign w:val="top"/>
          </w:tcPr>
          <w:p>
            <w:pPr>
              <w:pStyle w:val="TableText"/>
              <w:spacing w:before="262" w:line="221" w:lineRule="auto"/>
              <w:ind w:left="529"/>
            </w:pPr>
            <w:r>
              <w:rPr>
                <w:color w:val="221E1F"/>
                <w:spacing w:val="-2"/>
              </w:rPr>
              <w:t>接入网络</w:t>
            </w:r>
          </w:p>
        </w:tc>
        <w:tc>
          <w:tcPr>
            <w:tcW w:w="1634" w:type="dxa"/>
            <w:vAlign w:val="top"/>
          </w:tcPr>
          <w:p>
            <w:pPr>
              <w:spacing w:line="246" w:lineRule="auto"/>
              <w:rPr>
                <w:rFonts w:ascii="Arial"/>
                <w:sz w:val="21"/>
              </w:rPr>
            </w:pPr>
          </w:p>
          <w:p>
            <w:pPr>
              <w:spacing w:before="55" w:line="177" w:lineRule="auto"/>
              <w:ind w:left="705"/>
              <w:rPr>
                <w:rFonts w:ascii="Calibri" w:eastAsia="Calibri" w:hAnsi="Calibri" w:cs="Calibri"/>
                <w:sz w:val="18"/>
                <w:szCs w:val="18"/>
              </w:rPr>
            </w:pPr>
            <w:r>
              <w:rPr>
                <w:rFonts w:ascii="Calibri" w:eastAsia="Calibri" w:hAnsi="Calibri" w:cs="Calibri"/>
                <w:color w:val="221E1F"/>
                <w:spacing w:val="-1"/>
                <w:sz w:val="18"/>
                <w:szCs w:val="18"/>
              </w:rPr>
              <w:t>4.4</w:t>
            </w:r>
          </w:p>
        </w:tc>
        <w:tc>
          <w:tcPr>
            <w:tcW w:w="1773" w:type="dxa"/>
            <w:vAlign w:val="top"/>
          </w:tcPr>
          <w:p>
            <w:pPr>
              <w:spacing w:line="246" w:lineRule="auto"/>
              <w:rPr>
                <w:rFonts w:ascii="Arial"/>
                <w:sz w:val="21"/>
              </w:rPr>
            </w:pPr>
          </w:p>
          <w:p>
            <w:pPr>
              <w:spacing w:before="55" w:line="178" w:lineRule="auto"/>
              <w:ind w:left="476"/>
              <w:rPr>
                <w:rFonts w:ascii="Calibri" w:eastAsia="Calibri" w:hAnsi="Calibri" w:cs="Calibri"/>
                <w:sz w:val="18"/>
                <w:szCs w:val="18"/>
              </w:rPr>
            </w:pPr>
            <w:r>
              <w:rPr>
                <w:rFonts w:ascii="Calibri" w:eastAsia="Calibri" w:hAnsi="Calibri" w:cs="Calibri"/>
                <w:color w:val="221E1F"/>
                <w:spacing w:val="-2"/>
                <w:sz w:val="18"/>
                <w:szCs w:val="18"/>
              </w:rPr>
              <w:t>MTConnect</w:t>
            </w:r>
          </w:p>
        </w:tc>
        <w:tc>
          <w:tcPr>
            <w:tcW w:w="1811" w:type="dxa"/>
            <w:vAlign w:val="top"/>
          </w:tcPr>
          <w:p>
            <w:pPr>
              <w:pStyle w:val="TableText"/>
              <w:spacing w:before="31" w:line="227" w:lineRule="auto"/>
              <w:ind w:left="47" w:right="145" w:hanging="2"/>
              <w:jc w:val="both"/>
            </w:pPr>
            <w:r>
              <w:rPr>
                <w:color w:val="221E1F"/>
                <w:spacing w:val="-1"/>
              </w:rPr>
              <w:t>将机器人的状态传输</w:t>
            </w:r>
            <w:r>
              <w:rPr>
                <w:color w:val="221E1F"/>
                <w:spacing w:val="2"/>
              </w:rPr>
              <w:t xml:space="preserve"> </w:t>
            </w:r>
            <w:r>
              <w:rPr>
                <w:color w:val="221E1F"/>
                <w:spacing w:val="-1"/>
              </w:rPr>
              <w:t>给机翼与过程数字孪</w:t>
            </w:r>
            <w:r>
              <w:rPr>
                <w:color w:val="221E1F"/>
              </w:rPr>
              <w:t xml:space="preserve"> </w:t>
            </w:r>
            <w:r>
              <w:rPr>
                <w:color w:val="221E1F"/>
                <w:spacing w:val="-4"/>
              </w:rPr>
              <w:t>生。</w:t>
            </w:r>
          </w:p>
        </w:tc>
      </w:tr>
      <w:tr>
        <w:tblPrEx>
          <w:tblW w:w="9349" w:type="dxa"/>
          <w:tblInd w:w="2" w:type="dxa"/>
          <w:tblLayout w:type="fixed"/>
        </w:tblPrEx>
        <w:trPr>
          <w:trHeight w:val="470"/>
        </w:trPr>
        <w:tc>
          <w:tcPr>
            <w:tcW w:w="588" w:type="dxa"/>
            <w:vAlign w:val="top"/>
          </w:tcPr>
          <w:p>
            <w:pPr>
              <w:spacing w:before="185" w:line="178" w:lineRule="auto"/>
              <w:ind w:left="269"/>
              <w:rPr>
                <w:rFonts w:ascii="Calibri" w:eastAsia="Calibri" w:hAnsi="Calibri" w:cs="Calibri"/>
                <w:sz w:val="18"/>
                <w:szCs w:val="18"/>
              </w:rPr>
            </w:pPr>
            <w:r>
              <w:rPr>
                <w:rFonts w:ascii="Calibri" w:eastAsia="Calibri" w:hAnsi="Calibri" w:cs="Calibri"/>
                <w:color w:val="221E1F"/>
                <w:sz w:val="18"/>
                <w:szCs w:val="18"/>
              </w:rPr>
              <w:t>L</w:t>
            </w:r>
          </w:p>
        </w:tc>
        <w:tc>
          <w:tcPr>
            <w:tcW w:w="1772" w:type="dxa"/>
            <w:vAlign w:val="top"/>
          </w:tcPr>
          <w:p>
            <w:pPr>
              <w:pStyle w:val="TableText"/>
              <w:spacing w:before="145" w:line="220" w:lineRule="auto"/>
              <w:ind w:left="393"/>
            </w:pPr>
            <w:r>
              <w:rPr>
                <w:color w:val="221E1F"/>
                <w:spacing w:val="-2"/>
              </w:rPr>
              <w:t>状态流（</w:t>
            </w:r>
            <w:r>
              <w:rPr>
                <w:rFonts w:ascii="Calibri" w:eastAsia="Calibri" w:hAnsi="Calibri" w:cs="Calibri"/>
                <w:color w:val="221E1F"/>
                <w:spacing w:val="-2"/>
              </w:rPr>
              <w:t>1</w:t>
            </w:r>
            <w:r>
              <w:rPr>
                <w:color w:val="221E1F"/>
                <w:spacing w:val="-2"/>
              </w:rPr>
              <w:t>）</w:t>
            </w:r>
          </w:p>
        </w:tc>
        <w:tc>
          <w:tcPr>
            <w:tcW w:w="1771" w:type="dxa"/>
            <w:vAlign w:val="top"/>
          </w:tcPr>
          <w:p>
            <w:pPr>
              <w:pStyle w:val="TableText"/>
              <w:spacing w:before="30" w:line="220" w:lineRule="auto"/>
              <w:ind w:left="636" w:right="72" w:hanging="556"/>
            </w:pPr>
            <w:r>
              <w:rPr>
                <w:color w:val="221E1F"/>
                <w:spacing w:val="-1"/>
              </w:rPr>
              <w:t>接入网络中信息交换</w:t>
            </w:r>
            <w:r>
              <w:rPr>
                <w:color w:val="221E1F"/>
                <w:spacing w:val="1"/>
              </w:rPr>
              <w:t xml:space="preserve"> </w:t>
            </w:r>
            <w:r>
              <w:rPr>
                <w:color w:val="221E1F"/>
                <w:spacing w:val="-5"/>
              </w:rPr>
              <w:t>的要求</w:t>
            </w:r>
          </w:p>
        </w:tc>
        <w:tc>
          <w:tcPr>
            <w:tcW w:w="1634" w:type="dxa"/>
            <w:vAlign w:val="top"/>
          </w:tcPr>
          <w:p>
            <w:pPr>
              <w:pStyle w:val="TableText"/>
              <w:spacing w:before="145" w:line="220" w:lineRule="auto"/>
              <w:ind w:left="597"/>
            </w:pPr>
            <w:r>
              <w:rPr>
                <w:color w:val="221E1F"/>
                <w:spacing w:val="-3"/>
              </w:rPr>
              <w:t>第</w:t>
            </w:r>
            <w:r>
              <w:rPr>
                <w:rFonts w:ascii="Calibri" w:eastAsia="Calibri" w:hAnsi="Calibri" w:cs="Calibri"/>
                <w:color w:val="221E1F"/>
                <w:spacing w:val="-3"/>
              </w:rPr>
              <w:t>8</w:t>
            </w:r>
            <w:r>
              <w:rPr>
                <w:color w:val="221E1F"/>
                <w:spacing w:val="-3"/>
              </w:rPr>
              <w:t>条</w:t>
            </w:r>
          </w:p>
        </w:tc>
        <w:tc>
          <w:tcPr>
            <w:tcW w:w="1773" w:type="dxa"/>
            <w:vAlign w:val="top"/>
          </w:tcPr>
          <w:p>
            <w:pPr>
              <w:spacing w:before="185" w:line="178" w:lineRule="auto"/>
              <w:ind w:left="476"/>
              <w:rPr>
                <w:rFonts w:ascii="Calibri" w:eastAsia="Calibri" w:hAnsi="Calibri" w:cs="Calibri"/>
                <w:sz w:val="18"/>
                <w:szCs w:val="18"/>
              </w:rPr>
            </w:pPr>
            <w:r>
              <w:rPr>
                <w:rFonts w:ascii="Calibri" w:eastAsia="Calibri" w:hAnsi="Calibri" w:cs="Calibri"/>
                <w:color w:val="221E1F"/>
                <w:spacing w:val="-2"/>
                <w:sz w:val="18"/>
                <w:szCs w:val="18"/>
              </w:rPr>
              <w:t>MTConnect</w:t>
            </w:r>
          </w:p>
        </w:tc>
        <w:tc>
          <w:tcPr>
            <w:tcW w:w="1811" w:type="dxa"/>
            <w:vAlign w:val="top"/>
          </w:tcPr>
          <w:p>
            <w:pPr>
              <w:pStyle w:val="TableText"/>
              <w:spacing w:before="30" w:line="220" w:lineRule="auto"/>
              <w:ind w:left="46" w:right="145"/>
            </w:pPr>
            <w:r>
              <w:rPr>
                <w:color w:val="221E1F"/>
                <w:spacing w:val="-1"/>
              </w:rPr>
              <w:t>机器人状态，包括环</w:t>
            </w:r>
            <w:r>
              <w:rPr>
                <w:color w:val="221E1F"/>
                <w:spacing w:val="1"/>
              </w:rPr>
              <w:t xml:space="preserve"> </w:t>
            </w:r>
            <w:r>
              <w:rPr>
                <w:color w:val="221E1F"/>
                <w:spacing w:val="-4"/>
              </w:rPr>
              <w:t>节状况与过程状态。</w:t>
            </w:r>
          </w:p>
        </w:tc>
      </w:tr>
      <w:tr>
        <w:tblPrEx>
          <w:tblW w:w="9349" w:type="dxa"/>
          <w:tblInd w:w="2" w:type="dxa"/>
          <w:tblLayout w:type="fixed"/>
        </w:tblPrEx>
        <w:trPr>
          <w:trHeight w:val="473"/>
        </w:trPr>
        <w:tc>
          <w:tcPr>
            <w:tcW w:w="588" w:type="dxa"/>
            <w:vAlign w:val="top"/>
          </w:tcPr>
          <w:p>
            <w:pPr>
              <w:spacing w:before="189" w:line="177" w:lineRule="auto"/>
              <w:ind w:left="231"/>
              <w:rPr>
                <w:rFonts w:ascii="Calibri" w:eastAsia="Calibri" w:hAnsi="Calibri" w:cs="Calibri"/>
                <w:sz w:val="18"/>
                <w:szCs w:val="18"/>
              </w:rPr>
            </w:pPr>
            <w:r>
              <w:rPr>
                <w:rFonts w:ascii="Calibri" w:eastAsia="Calibri" w:hAnsi="Calibri" w:cs="Calibri"/>
                <w:color w:val="221E1F"/>
                <w:sz w:val="18"/>
                <w:szCs w:val="18"/>
              </w:rPr>
              <w:t>M</w:t>
            </w:r>
          </w:p>
        </w:tc>
        <w:tc>
          <w:tcPr>
            <w:tcW w:w="1772" w:type="dxa"/>
            <w:vAlign w:val="top"/>
          </w:tcPr>
          <w:p>
            <w:pPr>
              <w:pStyle w:val="TableText"/>
              <w:spacing w:before="148" w:line="220" w:lineRule="auto"/>
              <w:ind w:left="213"/>
            </w:pPr>
            <w:r>
              <w:rPr>
                <w:color w:val="221E1F"/>
                <w:spacing w:val="-1"/>
              </w:rPr>
              <w:t>状态流通信（</w:t>
            </w:r>
            <w:r>
              <w:rPr>
                <w:rFonts w:ascii="Calibri" w:eastAsia="Calibri" w:hAnsi="Calibri" w:cs="Calibri"/>
                <w:color w:val="221E1F"/>
                <w:spacing w:val="-1"/>
              </w:rPr>
              <w:t>2</w:t>
            </w:r>
            <w:r>
              <w:rPr>
                <w:color w:val="221E1F"/>
                <w:spacing w:val="-1"/>
              </w:rPr>
              <w:t>）</w:t>
            </w:r>
          </w:p>
        </w:tc>
        <w:tc>
          <w:tcPr>
            <w:tcW w:w="1771" w:type="dxa"/>
            <w:vAlign w:val="top"/>
          </w:tcPr>
          <w:p>
            <w:pPr>
              <w:pStyle w:val="TableText"/>
              <w:spacing w:before="149" w:line="220" w:lineRule="auto"/>
              <w:ind w:left="529"/>
            </w:pPr>
            <w:r>
              <w:rPr>
                <w:color w:val="221E1F"/>
                <w:spacing w:val="-2"/>
              </w:rPr>
              <w:t>邻近网络</w:t>
            </w:r>
          </w:p>
        </w:tc>
        <w:tc>
          <w:tcPr>
            <w:tcW w:w="1634" w:type="dxa"/>
            <w:vAlign w:val="top"/>
          </w:tcPr>
          <w:p>
            <w:pPr>
              <w:spacing w:before="189" w:line="177" w:lineRule="auto"/>
              <w:ind w:left="705"/>
              <w:rPr>
                <w:rFonts w:ascii="Calibri" w:eastAsia="Calibri" w:hAnsi="Calibri" w:cs="Calibri"/>
                <w:sz w:val="18"/>
                <w:szCs w:val="18"/>
              </w:rPr>
            </w:pPr>
            <w:r>
              <w:rPr>
                <w:rFonts w:ascii="Calibri" w:eastAsia="Calibri" w:hAnsi="Calibri" w:cs="Calibri"/>
                <w:color w:val="221E1F"/>
                <w:spacing w:val="-1"/>
                <w:sz w:val="18"/>
                <w:szCs w:val="18"/>
              </w:rPr>
              <w:t>4.5</w:t>
            </w:r>
          </w:p>
        </w:tc>
        <w:tc>
          <w:tcPr>
            <w:tcW w:w="1773" w:type="dxa"/>
            <w:vAlign w:val="top"/>
          </w:tcPr>
          <w:p>
            <w:pPr>
              <w:spacing w:before="187" w:line="179" w:lineRule="auto"/>
              <w:ind w:left="602"/>
              <w:rPr>
                <w:rFonts w:ascii="Calibri" w:eastAsia="Calibri" w:hAnsi="Calibri" w:cs="Calibri"/>
                <w:sz w:val="18"/>
                <w:szCs w:val="18"/>
              </w:rPr>
            </w:pPr>
            <w:r>
              <w:rPr>
                <w:rFonts w:ascii="Calibri" w:eastAsia="Calibri" w:hAnsi="Calibri" w:cs="Calibri"/>
                <w:color w:val="221E1F"/>
                <w:spacing w:val="-2"/>
                <w:sz w:val="18"/>
                <w:szCs w:val="18"/>
              </w:rPr>
              <w:t>OPC-UA</w:t>
            </w:r>
          </w:p>
        </w:tc>
        <w:tc>
          <w:tcPr>
            <w:tcW w:w="1811" w:type="dxa"/>
            <w:vAlign w:val="top"/>
          </w:tcPr>
          <w:p>
            <w:pPr>
              <w:pStyle w:val="TableText"/>
              <w:spacing w:before="33" w:line="220" w:lineRule="auto"/>
              <w:ind w:left="47" w:right="145" w:hanging="2"/>
            </w:pPr>
            <w:r>
              <w:rPr>
                <w:color w:val="221E1F"/>
                <w:spacing w:val="-1"/>
              </w:rPr>
              <w:t>将机器人的状态传输</w:t>
            </w:r>
            <w:r>
              <w:rPr>
                <w:color w:val="221E1F"/>
                <w:spacing w:val="2"/>
              </w:rPr>
              <w:t xml:space="preserve"> </w:t>
            </w:r>
            <w:r>
              <w:rPr>
                <w:color w:val="221E1F"/>
                <w:spacing w:val="-5"/>
              </w:rPr>
              <w:t>给单元控制器。</w:t>
            </w:r>
          </w:p>
        </w:tc>
      </w:tr>
      <w:tr>
        <w:tblPrEx>
          <w:tblW w:w="9349" w:type="dxa"/>
          <w:tblInd w:w="2" w:type="dxa"/>
          <w:tblLayout w:type="fixed"/>
        </w:tblPrEx>
        <w:trPr>
          <w:trHeight w:val="473"/>
        </w:trPr>
        <w:tc>
          <w:tcPr>
            <w:tcW w:w="588" w:type="dxa"/>
            <w:vAlign w:val="top"/>
          </w:tcPr>
          <w:p>
            <w:pPr>
              <w:spacing w:before="186" w:line="177" w:lineRule="auto"/>
              <w:ind w:left="250"/>
              <w:rPr>
                <w:rFonts w:ascii="Calibri" w:eastAsia="Calibri" w:hAnsi="Calibri" w:cs="Calibri"/>
                <w:sz w:val="18"/>
                <w:szCs w:val="18"/>
              </w:rPr>
            </w:pPr>
            <w:r>
              <w:rPr>
                <w:rFonts w:ascii="Calibri" w:eastAsia="Calibri" w:hAnsi="Calibri" w:cs="Calibri"/>
                <w:color w:val="221E1F"/>
                <w:sz w:val="18"/>
                <w:szCs w:val="18"/>
              </w:rPr>
              <w:t>N</w:t>
            </w:r>
          </w:p>
        </w:tc>
        <w:tc>
          <w:tcPr>
            <w:tcW w:w="1772" w:type="dxa"/>
            <w:vAlign w:val="top"/>
          </w:tcPr>
          <w:p>
            <w:pPr>
              <w:pStyle w:val="TableText"/>
              <w:spacing w:before="147" w:line="220" w:lineRule="auto"/>
              <w:ind w:left="393"/>
            </w:pPr>
            <w:r>
              <w:rPr>
                <w:color w:val="221E1F"/>
                <w:spacing w:val="-2"/>
              </w:rPr>
              <w:t>状态流（</w:t>
            </w:r>
            <w:r>
              <w:rPr>
                <w:rFonts w:ascii="Calibri" w:eastAsia="Calibri" w:hAnsi="Calibri" w:cs="Calibri"/>
                <w:color w:val="221E1F"/>
                <w:spacing w:val="-2"/>
              </w:rPr>
              <w:t>2</w:t>
            </w:r>
            <w:r>
              <w:rPr>
                <w:color w:val="221E1F"/>
                <w:spacing w:val="-2"/>
              </w:rPr>
              <w:t>）</w:t>
            </w:r>
          </w:p>
        </w:tc>
        <w:tc>
          <w:tcPr>
            <w:tcW w:w="1771" w:type="dxa"/>
            <w:vAlign w:val="top"/>
          </w:tcPr>
          <w:p>
            <w:pPr>
              <w:pStyle w:val="TableText"/>
              <w:spacing w:before="30" w:line="222" w:lineRule="auto"/>
              <w:ind w:left="636" w:right="72" w:hanging="556"/>
            </w:pPr>
            <w:r>
              <w:rPr>
                <w:color w:val="221E1F"/>
                <w:spacing w:val="-1"/>
              </w:rPr>
              <w:t>邻近网络中信息交换</w:t>
            </w:r>
            <w:r>
              <w:rPr>
                <w:color w:val="221E1F"/>
                <w:spacing w:val="1"/>
              </w:rPr>
              <w:t xml:space="preserve"> </w:t>
            </w:r>
            <w:r>
              <w:rPr>
                <w:color w:val="221E1F"/>
                <w:spacing w:val="-5"/>
              </w:rPr>
              <w:t>的要求</w:t>
            </w:r>
          </w:p>
        </w:tc>
        <w:tc>
          <w:tcPr>
            <w:tcW w:w="1634" w:type="dxa"/>
            <w:vAlign w:val="top"/>
          </w:tcPr>
          <w:p>
            <w:pPr>
              <w:pStyle w:val="TableText"/>
              <w:spacing w:before="148" w:line="219" w:lineRule="auto"/>
              <w:ind w:left="597"/>
            </w:pPr>
            <w:r>
              <w:rPr>
                <w:color w:val="221E1F"/>
                <w:spacing w:val="-3"/>
              </w:rPr>
              <w:t>第</w:t>
            </w:r>
            <w:r>
              <w:rPr>
                <w:rFonts w:ascii="Calibri" w:eastAsia="Calibri" w:hAnsi="Calibri" w:cs="Calibri"/>
                <w:color w:val="221E1F"/>
                <w:spacing w:val="-3"/>
              </w:rPr>
              <w:t>8</w:t>
            </w:r>
            <w:r>
              <w:rPr>
                <w:color w:val="221E1F"/>
                <w:spacing w:val="-3"/>
              </w:rPr>
              <w:t>章</w:t>
            </w:r>
          </w:p>
        </w:tc>
        <w:tc>
          <w:tcPr>
            <w:tcW w:w="1773" w:type="dxa"/>
            <w:vAlign w:val="top"/>
          </w:tcPr>
          <w:p>
            <w:pPr>
              <w:spacing w:before="184" w:line="179" w:lineRule="auto"/>
              <w:ind w:left="602"/>
              <w:rPr>
                <w:rFonts w:ascii="Calibri" w:eastAsia="Calibri" w:hAnsi="Calibri" w:cs="Calibri"/>
                <w:sz w:val="18"/>
                <w:szCs w:val="18"/>
              </w:rPr>
            </w:pPr>
            <w:r>
              <w:rPr>
                <w:rFonts w:ascii="Calibri" w:eastAsia="Calibri" w:hAnsi="Calibri" w:cs="Calibri"/>
                <w:color w:val="221E1F"/>
                <w:spacing w:val="-2"/>
                <w:sz w:val="18"/>
                <w:szCs w:val="18"/>
              </w:rPr>
              <w:t>OPC-UA</w:t>
            </w:r>
          </w:p>
        </w:tc>
        <w:tc>
          <w:tcPr>
            <w:tcW w:w="1811" w:type="dxa"/>
            <w:vAlign w:val="top"/>
          </w:tcPr>
          <w:p>
            <w:pPr>
              <w:pStyle w:val="TableText"/>
              <w:spacing w:before="30" w:line="222" w:lineRule="auto"/>
              <w:ind w:left="46" w:right="145"/>
            </w:pPr>
            <w:r>
              <w:rPr>
                <w:color w:val="221E1F"/>
                <w:spacing w:val="-1"/>
              </w:rPr>
              <w:t>机器人状态，包括环</w:t>
            </w:r>
            <w:r>
              <w:rPr>
                <w:color w:val="221E1F"/>
                <w:spacing w:val="1"/>
              </w:rPr>
              <w:t xml:space="preserve"> </w:t>
            </w:r>
            <w:r>
              <w:rPr>
                <w:color w:val="221E1F"/>
                <w:spacing w:val="-4"/>
              </w:rPr>
              <w:t>节状况与过程状态。</w:t>
            </w:r>
          </w:p>
        </w:tc>
      </w:tr>
      <w:tr>
        <w:tblPrEx>
          <w:tblW w:w="9349" w:type="dxa"/>
          <w:tblInd w:w="2" w:type="dxa"/>
          <w:tblLayout w:type="fixed"/>
        </w:tblPrEx>
        <w:trPr>
          <w:trHeight w:val="477"/>
        </w:trPr>
        <w:tc>
          <w:tcPr>
            <w:tcW w:w="588" w:type="dxa"/>
            <w:vAlign w:val="top"/>
          </w:tcPr>
          <w:p>
            <w:pPr>
              <w:spacing w:before="184" w:line="179" w:lineRule="auto"/>
              <w:ind w:left="241"/>
              <w:rPr>
                <w:rFonts w:ascii="Calibri" w:eastAsia="Calibri" w:hAnsi="Calibri" w:cs="Calibri"/>
                <w:sz w:val="18"/>
                <w:szCs w:val="18"/>
              </w:rPr>
            </w:pPr>
            <w:r>
              <w:rPr>
                <w:rFonts w:ascii="Calibri" w:eastAsia="Calibri" w:hAnsi="Calibri" w:cs="Calibri"/>
                <w:color w:val="221E1F"/>
                <w:sz w:val="18"/>
                <w:szCs w:val="18"/>
              </w:rPr>
              <w:t>O</w:t>
            </w:r>
          </w:p>
        </w:tc>
        <w:tc>
          <w:tcPr>
            <w:tcW w:w="1772" w:type="dxa"/>
            <w:vAlign w:val="top"/>
          </w:tcPr>
          <w:p>
            <w:pPr>
              <w:pStyle w:val="TableText"/>
              <w:spacing w:before="147" w:line="219" w:lineRule="auto"/>
              <w:ind w:left="498"/>
              <w:rPr>
                <w:rFonts w:ascii="Calibri" w:eastAsia="Calibri" w:hAnsi="Calibri" w:cs="Calibri"/>
              </w:rPr>
            </w:pPr>
            <w:r>
              <w:rPr>
                <w:color w:val="221E1F"/>
                <w:spacing w:val="-2"/>
              </w:rPr>
              <w:t>机器人</w:t>
            </w:r>
            <w:r>
              <w:rPr>
                <w:rFonts w:ascii="Calibri" w:eastAsia="Calibri" w:hAnsi="Calibri" w:cs="Calibri"/>
                <w:color w:val="221E1F"/>
                <w:spacing w:val="-2"/>
              </w:rPr>
              <w:t>1-4</w:t>
            </w:r>
          </w:p>
        </w:tc>
        <w:tc>
          <w:tcPr>
            <w:tcW w:w="1771" w:type="dxa"/>
            <w:vAlign w:val="top"/>
          </w:tcPr>
          <w:p>
            <w:pPr>
              <w:pStyle w:val="TableText"/>
              <w:spacing w:before="147" w:line="220" w:lineRule="auto"/>
              <w:ind w:left="262"/>
            </w:pPr>
            <w:r>
              <w:rPr>
                <w:color w:val="221E1F"/>
                <w:spacing w:val="-2"/>
              </w:rPr>
              <w:t>可观测制造元素</w:t>
            </w:r>
          </w:p>
        </w:tc>
        <w:tc>
          <w:tcPr>
            <w:tcW w:w="1634" w:type="dxa"/>
            <w:vAlign w:val="top"/>
          </w:tcPr>
          <w:p>
            <w:pPr>
              <w:spacing w:before="54" w:line="221" w:lineRule="auto"/>
              <w:ind w:left="709" w:right="139" w:hanging="553"/>
              <w:rPr>
                <w:rFonts w:ascii="Calibri" w:eastAsia="Calibri" w:hAnsi="Calibri" w:cs="Calibri"/>
                <w:sz w:val="18"/>
                <w:szCs w:val="18"/>
              </w:rPr>
            </w:pPr>
            <w:r>
              <w:rPr>
                <w:rFonts w:ascii="Calibri" w:eastAsia="Calibri" w:hAnsi="Calibri" w:cs="Calibri"/>
                <w:color w:val="221E1F"/>
                <w:spacing w:val="-2"/>
                <w:sz w:val="18"/>
                <w:szCs w:val="18"/>
              </w:rPr>
              <w:t>ISO</w:t>
            </w:r>
            <w:r>
              <w:rPr>
                <w:rFonts w:ascii="Calibri" w:eastAsia="Calibri" w:hAnsi="Calibri" w:cs="Calibri"/>
                <w:color w:val="221E1F"/>
                <w:spacing w:val="15"/>
                <w:w w:val="101"/>
                <w:sz w:val="18"/>
                <w:szCs w:val="18"/>
              </w:rPr>
              <w:t xml:space="preserve"> </w:t>
            </w:r>
            <w:r>
              <w:rPr>
                <w:rFonts w:ascii="Calibri" w:eastAsia="Calibri" w:hAnsi="Calibri" w:cs="Calibri"/>
                <w:color w:val="221E1F"/>
                <w:spacing w:val="-2"/>
                <w:sz w:val="18"/>
                <w:szCs w:val="18"/>
              </w:rPr>
              <w:t>23247-2:2021,</w:t>
            </w:r>
            <w:r>
              <w:rPr>
                <w:rFonts w:ascii="Calibri" w:eastAsia="Calibri" w:hAnsi="Calibri" w:cs="Calibri"/>
                <w:color w:val="221E1F"/>
                <w:sz w:val="18"/>
                <w:szCs w:val="18"/>
              </w:rPr>
              <w:t xml:space="preserve"> </w:t>
            </w:r>
            <w:r>
              <w:rPr>
                <w:rFonts w:ascii="Calibri" w:eastAsia="Calibri" w:hAnsi="Calibri" w:cs="Calibri"/>
                <w:color w:val="221E1F"/>
                <w:spacing w:val="-2"/>
                <w:sz w:val="18"/>
                <w:szCs w:val="18"/>
              </w:rPr>
              <w:t>3.2</w:t>
            </w:r>
          </w:p>
        </w:tc>
        <w:tc>
          <w:tcPr>
            <w:tcW w:w="1773" w:type="dxa"/>
            <w:vAlign w:val="top"/>
          </w:tcPr>
          <w:p>
            <w:pPr>
              <w:pStyle w:val="TableText"/>
              <w:spacing w:before="147" w:line="219" w:lineRule="auto"/>
              <w:ind w:left="378"/>
            </w:pPr>
            <w:r>
              <w:rPr>
                <w:rFonts w:ascii="Calibri" w:eastAsia="Calibri" w:hAnsi="Calibri" w:cs="Calibri"/>
                <w:color w:val="221E1F"/>
                <w:spacing w:val="-1"/>
              </w:rPr>
              <w:t>ABB</w:t>
            </w:r>
            <w:r>
              <w:rPr>
                <w:color w:val="221E1F"/>
                <w:spacing w:val="-1"/>
              </w:rPr>
              <w:t>机器人学</w:t>
            </w:r>
          </w:p>
        </w:tc>
        <w:tc>
          <w:tcPr>
            <w:tcW w:w="1811" w:type="dxa"/>
            <w:vAlign w:val="top"/>
          </w:tcPr>
          <w:p>
            <w:pPr>
              <w:pStyle w:val="TableText"/>
              <w:spacing w:before="30" w:line="224" w:lineRule="auto"/>
              <w:ind w:left="51" w:right="145" w:hanging="5"/>
            </w:pPr>
            <w:r>
              <w:rPr>
                <w:color w:val="221E1F"/>
                <w:spacing w:val="-1"/>
              </w:rPr>
              <w:t>超出数字孪生框架的</w:t>
            </w:r>
            <w:r>
              <w:rPr>
                <w:color w:val="221E1F"/>
                <w:spacing w:val="1"/>
              </w:rPr>
              <w:t xml:space="preserve"> </w:t>
            </w:r>
            <w:r>
              <w:rPr>
                <w:color w:val="221E1F"/>
                <w:spacing w:val="-9"/>
              </w:rPr>
              <w:t>范围。</w:t>
            </w:r>
          </w:p>
        </w:tc>
      </w:tr>
    </w:tbl>
    <w:p>
      <w:pPr>
        <w:spacing w:before="207" w:line="219" w:lineRule="auto"/>
        <w:ind w:left="9"/>
        <w:rPr>
          <w:rFonts w:ascii="SimHei" w:eastAsia="SimHei" w:hAnsi="SimHei" w:cs="SimHei"/>
          <w:sz w:val="21"/>
          <w:szCs w:val="21"/>
        </w:rPr>
      </w:pPr>
      <w:r>
        <w:rPr>
          <w:rFonts w:ascii="SimHei" w:eastAsia="SimHei" w:hAnsi="SimHei" w:cs="SimHei"/>
          <w:spacing w:val="-1"/>
          <w:sz w:val="21"/>
          <w:szCs w:val="21"/>
        </w:rPr>
        <w:t>B.3.3</w:t>
      </w:r>
      <w:r>
        <w:rPr>
          <w:rFonts w:ascii="SimHei" w:eastAsia="SimHei" w:hAnsi="SimHei" w:cs="SimHei"/>
          <w:spacing w:val="-1"/>
          <w:sz w:val="21"/>
          <w:szCs w:val="21"/>
        </w:rPr>
        <w:t xml:space="preserve">  </w:t>
      </w:r>
      <w:r>
        <w:rPr>
          <w:rFonts w:ascii="SimHei" w:eastAsia="SimHei" w:hAnsi="SimHei" w:cs="SimHei"/>
          <w:spacing w:val="-1"/>
          <w:sz w:val="21"/>
          <w:szCs w:val="21"/>
        </w:rPr>
        <w:t>机翼数字孪生到数字孪生实体的映射</w:t>
      </w:r>
    </w:p>
    <w:p>
      <w:pPr>
        <w:pStyle w:val="BodyText"/>
        <w:spacing w:before="218" w:line="220" w:lineRule="auto"/>
        <w:ind w:left="427"/>
      </w:pPr>
      <w:r>
        <w:t>机翼数字孪生映射到数字孪生实体的实现情况如图B.3和表B.</w:t>
      </w:r>
      <w:r>
        <w:rPr>
          <w:spacing w:val="-1"/>
        </w:rPr>
        <w:t>3所示。</w:t>
      </w:r>
    </w:p>
    <w:p>
      <w:pPr>
        <w:spacing w:line="220" w:lineRule="auto"/>
        <w:sectPr>
          <w:headerReference w:type="default" r:id="rId72"/>
          <w:footerReference w:type="default" r:id="rId73"/>
          <w:type w:val="nextPage"/>
          <w:pgSz w:w="11907" w:h="16839"/>
          <w:pgMar w:top="1659" w:right="1418" w:bottom="1311" w:left="1132" w:header="1448" w:footer="1133" w:gutter="0"/>
          <w:pgNumType w:start="28"/>
          <w:cols w:space="708"/>
          <w:titlePg w:val="0"/>
        </w:sectPr>
      </w:pPr>
    </w:p>
    <w:p>
      <w:pPr>
        <w:spacing w:line="374" w:lineRule="auto"/>
        <w:rPr>
          <w:rFonts w:ascii="Arial"/>
          <w:sz w:val="21"/>
        </w:rPr>
      </w:pPr>
      <w:r>
        <w:drawing>
          <wp:anchor distT="0" distB="0" distL="0" distR="0" simplePos="0" relativeHeight="251658240" behindDoc="0" locked="0" layoutInCell="0" allowOverlap="1">
            <wp:simplePos x="0" y="0"/>
            <wp:positionH relativeFrom="page">
              <wp:posOffset>1167130</wp:posOffset>
            </wp:positionH>
            <wp:positionV relativeFrom="page">
              <wp:posOffset>5836946</wp:posOffset>
            </wp:positionV>
            <wp:extent cx="483869" cy="713714"/>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74"/>
                    <a:stretch>
                      <a:fillRect/>
                    </a:stretch>
                  </pic:blipFill>
                  <pic:spPr>
                    <a:xfrm>
                      <a:off x="0" y="0"/>
                      <a:ext cx="483869" cy="713714"/>
                    </a:xfrm>
                    <a:prstGeom prst="rect">
                      <a:avLst/>
                    </a:prstGeom>
                  </pic:spPr>
                </pic:pic>
              </a:graphicData>
            </a:graphic>
          </wp:anchor>
        </w:drawing>
      </w:r>
    </w:p>
    <w:p>
      <w:pPr>
        <w:spacing w:line="6336" w:lineRule="exact"/>
        <w:ind w:firstLine="419"/>
      </w:pPr>
      <w:r>
        <w:rPr>
          <w:position w:val="-126"/>
        </w:rPr>
        <w:drawing>
          <wp:inline distT="0" distB="0" distL="0" distR="0">
            <wp:extent cx="5486400" cy="402336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75"/>
                    <a:stretch>
                      <a:fillRect/>
                    </a:stretch>
                  </pic:blipFill>
                  <pic:spPr>
                    <a:xfrm>
                      <a:off x="0" y="0"/>
                      <a:ext cx="5486400" cy="4023360"/>
                    </a:xfrm>
                    <a:prstGeom prst="rect">
                      <a:avLst/>
                    </a:prstGeom>
                  </pic:spPr>
                </pic:pic>
              </a:graphicData>
            </a:graphic>
          </wp:inline>
        </w:drawing>
      </w:r>
    </w:p>
    <w:p>
      <w:pPr>
        <w:spacing w:line="369" w:lineRule="auto"/>
        <w:rPr>
          <w:rFonts w:ascii="Arial"/>
          <w:sz w:val="21"/>
        </w:rPr>
      </w:pPr>
    </w:p>
    <w:p>
      <w:pPr>
        <w:pStyle w:val="BodyText"/>
        <w:spacing w:before="59" w:line="220" w:lineRule="auto"/>
        <w:ind w:left="24"/>
        <w:rPr>
          <w:sz w:val="18"/>
          <w:szCs w:val="18"/>
        </w:rPr>
      </w:pPr>
      <w:r>
        <w:rPr>
          <w:color w:val="221E1F"/>
          <w:spacing w:val="-6"/>
          <w:sz w:val="18"/>
          <w:szCs w:val="18"/>
          <w14:textOutline w14:w="3265">
            <w14:solidFill>
              <w14:srgbClr w14:val="221E1F"/>
            </w14:solidFill>
            <w14:prstDash w14:val="solid"/>
            <w14:miter w14:lim="10"/>
          </w14:textOutline>
        </w:rPr>
        <w:t>图标注释</w:t>
      </w:r>
    </w:p>
    <w:p>
      <w:pPr>
        <w:spacing w:line="294" w:lineRule="auto"/>
        <w:rPr>
          <w:rFonts w:ascii="Arial"/>
          <w:sz w:val="21"/>
        </w:rPr>
      </w:pPr>
    </w:p>
    <w:p>
      <w:pPr>
        <w:pStyle w:val="BodyText"/>
        <w:spacing w:before="58" w:line="220" w:lineRule="auto"/>
        <w:ind w:left="1370"/>
        <w:rPr>
          <w:sz w:val="18"/>
          <w:szCs w:val="18"/>
        </w:rPr>
      </w:pPr>
      <w:r>
        <w:rPr>
          <w:color w:val="221E1F"/>
          <w:spacing w:val="-1"/>
          <w:sz w:val="18"/>
          <w:szCs w:val="18"/>
        </w:rPr>
        <w:t>运营管理子实体</w:t>
      </w:r>
    </w:p>
    <w:p>
      <w:pPr>
        <w:pStyle w:val="BodyText"/>
        <w:spacing w:before="179" w:line="396" w:lineRule="exact"/>
        <w:ind w:left="1386"/>
        <w:rPr>
          <w:sz w:val="18"/>
          <w:szCs w:val="18"/>
        </w:rPr>
      </w:pPr>
      <w:r>
        <w:rPr>
          <w:spacing w:val="-1"/>
          <w:position w:val="16"/>
          <w:sz w:val="18"/>
          <w:szCs w:val="18"/>
        </w:rPr>
        <w:t>应用程序和服务子实体</w:t>
      </w:r>
    </w:p>
    <w:p>
      <w:pPr>
        <w:pStyle w:val="BodyText"/>
        <w:spacing w:line="220" w:lineRule="auto"/>
        <w:ind w:left="1375"/>
        <w:rPr>
          <w:sz w:val="18"/>
          <w:szCs w:val="18"/>
        </w:rPr>
      </w:pPr>
      <w:r>
        <w:rPr>
          <w:spacing w:val="-2"/>
          <w:sz w:val="18"/>
          <w:szCs w:val="18"/>
        </w:rPr>
        <w:t>资源访问和互换子实体</w:t>
      </w:r>
    </w:p>
    <w:p>
      <w:pPr>
        <w:spacing w:before="178" w:line="428" w:lineRule="exact"/>
        <w:ind w:left="2577"/>
        <w:rPr>
          <w:rFonts w:ascii="SimHei" w:eastAsia="SimHei" w:hAnsi="SimHei" w:cs="SimHei"/>
          <w:sz w:val="21"/>
          <w:szCs w:val="21"/>
        </w:rPr>
      </w:pPr>
      <w:r>
        <w:rPr>
          <w:rFonts w:ascii="SimHei" w:eastAsia="SimHei" w:hAnsi="SimHei" w:cs="SimHei"/>
          <w:spacing w:val="-1"/>
          <w:position w:val="16"/>
          <w:sz w:val="21"/>
          <w:szCs w:val="21"/>
        </w:rPr>
        <w:t>图B.3</w:t>
      </w:r>
      <w:r>
        <w:rPr>
          <w:rFonts w:ascii="SimHei" w:eastAsia="SimHei" w:hAnsi="SimHei" w:cs="SimHei"/>
          <w:spacing w:val="-39"/>
          <w:position w:val="16"/>
          <w:sz w:val="21"/>
          <w:szCs w:val="21"/>
        </w:rPr>
        <w:t xml:space="preserve"> </w:t>
      </w:r>
      <w:r>
        <w:rPr>
          <w:rFonts w:ascii="SimHei" w:eastAsia="SimHei" w:hAnsi="SimHei" w:cs="SimHei"/>
          <w:spacing w:val="-1"/>
          <w:position w:val="16"/>
          <w:sz w:val="21"/>
          <w:szCs w:val="21"/>
        </w:rPr>
        <w:t>机翼数字孪生到数字孪生实体的落实映射</w:t>
      </w:r>
    </w:p>
    <w:p>
      <w:pPr>
        <w:spacing w:line="219" w:lineRule="auto"/>
        <w:ind w:left="2988"/>
        <w:rPr>
          <w:rFonts w:ascii="SimHei" w:eastAsia="SimHei" w:hAnsi="SimHei" w:cs="SimHei"/>
          <w:sz w:val="21"/>
          <w:szCs w:val="21"/>
        </w:rPr>
      </w:pPr>
      <w:r>
        <w:rPr>
          <w:rFonts w:ascii="SimHei" w:eastAsia="SimHei" w:hAnsi="SimHei" w:cs="SimHei"/>
          <w:spacing w:val="-1"/>
          <w:sz w:val="21"/>
          <w:szCs w:val="21"/>
        </w:rPr>
        <w:t>表B.3</w:t>
      </w:r>
      <w:r>
        <w:rPr>
          <w:rFonts w:ascii="SimHei" w:eastAsia="SimHei" w:hAnsi="SimHei" w:cs="SimHei"/>
          <w:spacing w:val="-34"/>
          <w:sz w:val="21"/>
          <w:szCs w:val="21"/>
        </w:rPr>
        <w:t xml:space="preserve"> </w:t>
      </w:r>
      <w:r>
        <w:rPr>
          <w:rFonts w:ascii="SimHei" w:eastAsia="SimHei" w:hAnsi="SimHei" w:cs="SimHei"/>
          <w:spacing w:val="-1"/>
          <w:sz w:val="21"/>
          <w:szCs w:val="21"/>
        </w:rPr>
        <w:t>机翼数字孪生到功能实体的映射</w:t>
      </w:r>
    </w:p>
    <w:tbl>
      <w:tblPr>
        <w:tblStyle w:val="TableNormal4"/>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05"/>
        <w:gridCol w:w="2181"/>
        <w:gridCol w:w="1773"/>
        <w:gridCol w:w="1497"/>
        <w:gridCol w:w="2493"/>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7"/>
        </w:trPr>
        <w:tc>
          <w:tcPr>
            <w:tcW w:w="1405" w:type="dxa"/>
            <w:vAlign w:val="top"/>
          </w:tcPr>
          <w:p>
            <w:pPr>
              <w:pStyle w:val="TableText"/>
              <w:spacing w:before="30" w:line="224" w:lineRule="auto"/>
              <w:ind w:left="450" w:right="66" w:hanging="373"/>
            </w:pPr>
            <w:r>
              <w:rPr>
                <w:color w:val="221E1F"/>
                <w:spacing w:val="-1"/>
                <w14:textOutline w14:w="3265">
                  <w14:solidFill>
                    <w14:srgbClr w14:val="221E1F"/>
                  </w14:solidFill>
                  <w14:prstDash w14:val="solid"/>
                  <w14:miter w14:lim="10"/>
                </w14:textOutline>
              </w:rPr>
              <w:t>数字孪生实体中</w:t>
            </w:r>
            <w:r>
              <w:rPr>
                <w:color w:val="221E1F"/>
                <w:spacing w:val="1"/>
              </w:rPr>
              <w:t xml:space="preserve"> </w:t>
            </w:r>
            <w:r>
              <w:rPr>
                <w:color w:val="221E1F"/>
                <w:spacing w:val="-7"/>
                <w14:textOutline w14:w="3265">
                  <w14:solidFill>
                    <w14:srgbClr w14:val="221E1F"/>
                  </w14:solidFill>
                  <w14:prstDash w14:val="solid"/>
                  <w14:miter w14:lim="10"/>
                </w14:textOutline>
              </w:rPr>
              <w:t>的角色</w:t>
            </w:r>
          </w:p>
        </w:tc>
        <w:tc>
          <w:tcPr>
            <w:tcW w:w="2181" w:type="dxa"/>
            <w:vAlign w:val="top"/>
          </w:tcPr>
          <w:p>
            <w:pPr>
              <w:pStyle w:val="TableText"/>
              <w:spacing w:before="147" w:line="220" w:lineRule="auto"/>
              <w:ind w:left="735"/>
            </w:pPr>
            <w:r>
              <w:rPr>
                <w:color w:val="221E1F"/>
                <w:spacing w:val="-2"/>
                <w14:textOutline w14:w="3265">
                  <w14:solidFill>
                    <w14:srgbClr w14:val="221E1F"/>
                  </w14:solidFill>
                  <w14:prstDash w14:val="solid"/>
                  <w14:miter w14:lim="10"/>
                </w14:textOutline>
              </w:rPr>
              <w:t>功能实体</w:t>
            </w:r>
          </w:p>
        </w:tc>
        <w:tc>
          <w:tcPr>
            <w:tcW w:w="1773" w:type="dxa"/>
            <w:vAlign w:val="top"/>
          </w:tcPr>
          <w:p>
            <w:pPr>
              <w:pStyle w:val="TableText"/>
              <w:spacing w:before="147" w:line="220" w:lineRule="auto"/>
              <w:ind w:left="218"/>
            </w:pPr>
            <w:r>
              <w:rPr>
                <w:color w:val="221E1F"/>
                <w:spacing w:val="-2"/>
                <w14:textOutline w14:w="3265">
                  <w14:solidFill>
                    <w14:srgbClr w14:val="221E1F"/>
                  </w14:solidFill>
                  <w14:prstDash w14:val="solid"/>
                  <w14:miter w14:lim="10"/>
                </w14:textOutline>
              </w:rPr>
              <w:t>ISO</w:t>
            </w:r>
            <w:r>
              <w:rPr>
                <w:color w:val="221E1F"/>
                <w:spacing w:val="16"/>
              </w:rPr>
              <w:t xml:space="preserve"> </w:t>
            </w:r>
            <w:r>
              <w:rPr>
                <w:color w:val="221E1F"/>
                <w:spacing w:val="-2"/>
                <w14:textOutline w14:w="3265">
                  <w14:solidFill>
                    <w14:srgbClr w14:val="221E1F"/>
                  </w14:solidFill>
                  <w14:prstDash w14:val="solid"/>
                  <w14:miter w14:lim="10"/>
                </w14:textOutline>
              </w:rPr>
              <w:t>23247-2参考</w:t>
            </w:r>
          </w:p>
        </w:tc>
        <w:tc>
          <w:tcPr>
            <w:tcW w:w="1497" w:type="dxa"/>
            <w:vAlign w:val="top"/>
          </w:tcPr>
          <w:p>
            <w:pPr>
              <w:pStyle w:val="TableText"/>
              <w:spacing w:before="147" w:line="220" w:lineRule="auto"/>
              <w:ind w:left="393"/>
            </w:pPr>
            <w:r>
              <w:rPr>
                <w:color w:val="221E1F"/>
                <w:spacing w:val="-2"/>
                <w14:textOutline w14:w="3265">
                  <w14:solidFill>
                    <w14:srgbClr w14:val="221E1F"/>
                  </w14:solidFill>
                  <w14:prstDash w14:val="solid"/>
                  <w14:miter w14:lim="10"/>
                </w14:textOutline>
              </w:rPr>
              <w:t>数据类型</w:t>
            </w:r>
          </w:p>
        </w:tc>
        <w:tc>
          <w:tcPr>
            <w:tcW w:w="2493" w:type="dxa"/>
            <w:vAlign w:val="top"/>
          </w:tcPr>
          <w:p>
            <w:pPr>
              <w:pStyle w:val="TableText"/>
              <w:spacing w:before="147" w:line="221" w:lineRule="auto"/>
              <w:ind w:left="1072"/>
            </w:pPr>
            <w:r>
              <w:rPr>
                <w:color w:val="221E1F"/>
                <w:spacing w:val="-2"/>
                <w14:textOutline w14:w="3265">
                  <w14:solidFill>
                    <w14:srgbClr w14:val="221E1F"/>
                  </w14:solidFill>
                  <w14:prstDash w14:val="solid"/>
                  <w14:miter w14:lim="10"/>
                </w14:textOutline>
              </w:rPr>
              <w:t>备注</w:t>
            </w:r>
          </w:p>
        </w:tc>
      </w:tr>
      <w:tr>
        <w:tblPrEx>
          <w:tblW w:w="9349" w:type="dxa"/>
          <w:tblInd w:w="2" w:type="dxa"/>
          <w:tblLayout w:type="fixed"/>
        </w:tblPrEx>
        <w:trPr>
          <w:trHeight w:val="469"/>
        </w:trPr>
        <w:tc>
          <w:tcPr>
            <w:tcW w:w="1405" w:type="dxa"/>
            <w:vAlign w:val="top"/>
          </w:tcPr>
          <w:p>
            <w:pPr>
              <w:pStyle w:val="TableText"/>
              <w:spacing w:before="140" w:line="218" w:lineRule="auto"/>
              <w:ind w:left="346"/>
            </w:pPr>
            <w:r>
              <w:rPr>
                <w:color w:val="221E1F"/>
                <w:spacing w:val="-2"/>
              </w:rPr>
              <w:t>报告接口</w:t>
            </w:r>
          </w:p>
        </w:tc>
        <w:tc>
          <w:tcPr>
            <w:tcW w:w="2181" w:type="dxa"/>
            <w:vAlign w:val="top"/>
          </w:tcPr>
          <w:p>
            <w:pPr>
              <w:pStyle w:val="TableText"/>
              <w:spacing w:before="140" w:line="218" w:lineRule="auto"/>
              <w:ind w:left="551"/>
            </w:pPr>
            <w:r>
              <w:rPr>
                <w:color w:val="221E1F"/>
                <w:spacing w:val="-1"/>
              </w:rPr>
              <w:t>报告功能实体</w:t>
            </w:r>
          </w:p>
        </w:tc>
        <w:tc>
          <w:tcPr>
            <w:tcW w:w="1773" w:type="dxa"/>
            <w:vAlign w:val="top"/>
          </w:tcPr>
          <w:p>
            <w:pPr>
              <w:pStyle w:val="TableText"/>
              <w:spacing w:before="55" w:line="207" w:lineRule="auto"/>
              <w:ind w:left="574" w:right="121" w:hanging="442"/>
            </w:pPr>
            <w:r>
              <w:rPr>
                <w:color w:val="221E1F"/>
                <w:spacing w:val="-1"/>
              </w:rPr>
              <w:t>ISO 23247-2:2021,</w:t>
            </w:r>
            <w:r>
              <w:rPr>
                <w:color w:val="221E1F"/>
              </w:rPr>
              <w:t xml:space="preserve"> </w:t>
            </w:r>
            <w:hyperlink r:id="rId76" w:history="1">
              <w:r>
                <w:rPr>
                  <w:color w:val="221E1F"/>
                  <w:spacing w:val="-1"/>
                </w:rPr>
                <w:t>6.3.2.3</w:t>
              </w:r>
            </w:hyperlink>
          </w:p>
        </w:tc>
        <w:tc>
          <w:tcPr>
            <w:tcW w:w="1497" w:type="dxa"/>
            <w:vAlign w:val="top"/>
          </w:tcPr>
          <w:p>
            <w:pPr>
              <w:pStyle w:val="TableText"/>
              <w:spacing w:before="169" w:line="183" w:lineRule="auto"/>
              <w:ind w:left="520"/>
            </w:pPr>
            <w:r>
              <w:rPr>
                <w:color w:val="221E1F"/>
              </w:rPr>
              <w:t>AP242</w:t>
            </w:r>
          </w:p>
        </w:tc>
        <w:tc>
          <w:tcPr>
            <w:tcW w:w="2493" w:type="dxa"/>
            <w:vAlign w:val="top"/>
          </w:tcPr>
          <w:p>
            <w:pPr>
              <w:pStyle w:val="TableText"/>
              <w:spacing w:before="26" w:line="222" w:lineRule="auto"/>
              <w:ind w:left="51" w:right="193" w:hanging="5"/>
            </w:pPr>
            <w:r>
              <w:rPr>
                <w:color w:val="221E1F"/>
                <w:spacing w:val="-1"/>
              </w:rPr>
              <w:t>机翼结构CoA与</w:t>
            </w:r>
            <w:r>
              <w:rPr>
                <w:spacing w:val="-1"/>
              </w:rPr>
              <w:t>用户界面功能</w:t>
            </w:r>
            <w:r>
              <w:rPr>
                <w:spacing w:val="10"/>
              </w:rPr>
              <w:t xml:space="preserve"> </w:t>
            </w:r>
            <w:r>
              <w:rPr>
                <w:spacing w:val="-6"/>
              </w:rPr>
              <w:t>实体</w:t>
            </w:r>
            <w:r>
              <w:rPr>
                <w:color w:val="221E1F"/>
                <w:spacing w:val="-6"/>
              </w:rPr>
              <w:t>的接口。</w:t>
            </w:r>
          </w:p>
        </w:tc>
      </w:tr>
      <w:tr>
        <w:tblPrEx>
          <w:tblW w:w="9349" w:type="dxa"/>
          <w:tblInd w:w="2" w:type="dxa"/>
          <w:tblLayout w:type="fixed"/>
        </w:tblPrEx>
        <w:trPr>
          <w:trHeight w:val="472"/>
        </w:trPr>
        <w:tc>
          <w:tcPr>
            <w:tcW w:w="1405" w:type="dxa"/>
            <w:vAlign w:val="top"/>
          </w:tcPr>
          <w:p>
            <w:pPr>
              <w:pStyle w:val="TableText"/>
              <w:spacing w:before="143" w:line="220" w:lineRule="auto"/>
              <w:ind w:left="169"/>
            </w:pPr>
            <w:r>
              <w:rPr>
                <w:color w:val="221E1F"/>
                <w:spacing w:val="-2"/>
              </w:rPr>
              <w:t>数字孪生接口</w:t>
            </w:r>
          </w:p>
        </w:tc>
        <w:tc>
          <w:tcPr>
            <w:tcW w:w="2181" w:type="dxa"/>
            <w:vAlign w:val="top"/>
          </w:tcPr>
          <w:p>
            <w:pPr>
              <w:pStyle w:val="TableText"/>
              <w:spacing w:before="143" w:line="220" w:lineRule="auto"/>
              <w:ind w:left="372"/>
            </w:pPr>
            <w:r>
              <w:rPr>
                <w:color w:val="221E1F"/>
                <w:spacing w:val="-1"/>
              </w:rPr>
              <w:t>对等界面功能实体</w:t>
            </w:r>
          </w:p>
        </w:tc>
        <w:tc>
          <w:tcPr>
            <w:tcW w:w="1773" w:type="dxa"/>
            <w:vAlign w:val="top"/>
          </w:tcPr>
          <w:p>
            <w:pPr>
              <w:pStyle w:val="TableText"/>
              <w:spacing w:before="58" w:line="207" w:lineRule="auto"/>
              <w:ind w:left="574" w:right="121" w:hanging="442"/>
            </w:pPr>
            <w:r>
              <w:rPr>
                <w:color w:val="221E1F"/>
                <w:spacing w:val="-1"/>
              </w:rPr>
              <w:t>ISO 23247-2:2021,</w:t>
            </w:r>
            <w:r>
              <w:rPr>
                <w:color w:val="221E1F"/>
              </w:rPr>
              <w:t xml:space="preserve"> </w:t>
            </w:r>
            <w:hyperlink r:id="rId77" w:history="1">
              <w:r>
                <w:rPr>
                  <w:color w:val="221E1F"/>
                  <w:spacing w:val="-1"/>
                </w:rPr>
                <w:t>6.3.3.4</w:t>
              </w:r>
            </w:hyperlink>
          </w:p>
        </w:tc>
        <w:tc>
          <w:tcPr>
            <w:tcW w:w="1497" w:type="dxa"/>
            <w:vAlign w:val="top"/>
          </w:tcPr>
          <w:p>
            <w:pPr>
              <w:pStyle w:val="TableText"/>
              <w:spacing w:before="57" w:line="239" w:lineRule="auto"/>
              <w:ind w:left="477"/>
            </w:pPr>
            <w:r>
              <w:rPr>
                <w:color w:val="221E1F"/>
              </w:rPr>
              <w:t>AP242,</w:t>
            </w:r>
          </w:p>
          <w:p>
            <w:pPr>
              <w:pStyle w:val="TableText"/>
              <w:spacing w:line="175" w:lineRule="auto"/>
              <w:ind w:left="520"/>
            </w:pPr>
            <w:r>
              <w:rPr>
                <w:color w:val="221E1F"/>
              </w:rPr>
              <w:t>AP238</w:t>
            </w:r>
          </w:p>
        </w:tc>
        <w:tc>
          <w:tcPr>
            <w:tcW w:w="2493" w:type="dxa"/>
            <w:vAlign w:val="top"/>
          </w:tcPr>
          <w:p>
            <w:pPr>
              <w:pStyle w:val="TableText"/>
              <w:spacing w:before="144" w:line="219" w:lineRule="auto"/>
              <w:ind w:left="64"/>
            </w:pPr>
            <w:r>
              <w:rPr>
                <w:color w:val="221E1F"/>
                <w:spacing w:val="-4"/>
              </w:rPr>
              <w:t>同步机翼与过程数字孪生。</w:t>
            </w:r>
          </w:p>
        </w:tc>
      </w:tr>
    </w:tbl>
    <w:p>
      <w:pPr>
        <w:sectPr>
          <w:headerReference w:type="default" r:id="rId78"/>
          <w:footerReference w:type="default" r:id="rId79"/>
          <w:pgSz w:w="11907" w:h="16839"/>
          <w:pgMar w:top="1659" w:right="1128" w:bottom="1311" w:left="1418" w:header="1448" w:footer="1133" w:gutter="0"/>
          <w:pgNumType w:start="29"/>
          <w:cols w:space="708"/>
        </w:sectPr>
      </w:pPr>
    </w:p>
    <w:tbl>
      <w:tblPr>
        <w:tblStyle w:val="TableNormal5"/>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05"/>
        <w:gridCol w:w="2181"/>
        <w:gridCol w:w="1773"/>
        <w:gridCol w:w="1497"/>
        <w:gridCol w:w="2493"/>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2"/>
        </w:trPr>
        <w:tc>
          <w:tcPr>
            <w:tcW w:w="1405" w:type="dxa"/>
            <w:vAlign w:val="top"/>
          </w:tcPr>
          <w:p>
            <w:pPr>
              <w:pStyle w:val="TableText"/>
              <w:spacing w:before="145" w:line="220" w:lineRule="auto"/>
              <w:ind w:left="440"/>
            </w:pPr>
            <w:r>
              <w:rPr>
                <w:color w:val="221E1F"/>
                <w:spacing w:val="-3"/>
              </w:rPr>
              <w:t>查看器</w:t>
            </w:r>
          </w:p>
        </w:tc>
        <w:tc>
          <w:tcPr>
            <w:tcW w:w="2181" w:type="dxa"/>
            <w:vAlign w:val="top"/>
          </w:tcPr>
          <w:p>
            <w:pPr>
              <w:pStyle w:val="TableText"/>
              <w:spacing w:before="145" w:line="220" w:lineRule="auto"/>
              <w:ind w:left="552"/>
            </w:pPr>
            <w:r>
              <w:rPr>
                <w:color w:val="221E1F"/>
                <w:spacing w:val="-1"/>
              </w:rPr>
              <w:t>表示功能实体</w:t>
            </w:r>
          </w:p>
        </w:tc>
        <w:tc>
          <w:tcPr>
            <w:tcW w:w="1773" w:type="dxa"/>
            <w:vAlign w:val="top"/>
          </w:tcPr>
          <w:p>
            <w:pPr>
              <w:pStyle w:val="TableText"/>
              <w:spacing w:before="56" w:line="208" w:lineRule="auto"/>
              <w:ind w:left="574" w:right="121" w:hanging="442"/>
            </w:pPr>
            <w:r>
              <w:rPr>
                <w:color w:val="221E1F"/>
                <w:spacing w:val="-1"/>
              </w:rPr>
              <w:t>ISO 23247-2:2021,</w:t>
            </w:r>
            <w:r>
              <w:rPr>
                <w:color w:val="221E1F"/>
              </w:rPr>
              <w:t xml:space="preserve"> </w:t>
            </w:r>
            <w:hyperlink r:id="rId80" w:history="1">
              <w:r>
                <w:rPr>
                  <w:color w:val="221E1F"/>
                  <w:spacing w:val="-1"/>
                </w:rPr>
                <w:t>6.3.1.2</w:t>
              </w:r>
            </w:hyperlink>
          </w:p>
        </w:tc>
        <w:tc>
          <w:tcPr>
            <w:tcW w:w="1497" w:type="dxa"/>
            <w:vAlign w:val="top"/>
          </w:tcPr>
          <w:p>
            <w:pPr>
              <w:pStyle w:val="TableText"/>
              <w:spacing w:before="27" w:line="223" w:lineRule="auto"/>
              <w:ind w:left="481" w:right="257" w:hanging="230"/>
            </w:pPr>
            <w:r>
              <w:rPr>
                <w:color w:val="221E1F"/>
                <w:spacing w:val="-1"/>
              </w:rPr>
              <w:t>AP242，现代</w:t>
            </w:r>
            <w:r>
              <w:rPr>
                <w:color w:val="221E1F"/>
              </w:rPr>
              <w:t xml:space="preserve"> </w:t>
            </w:r>
            <w:r>
              <w:rPr>
                <w:color w:val="221E1F"/>
                <w:spacing w:val="-1"/>
              </w:rPr>
              <w:t>OpenGL</w:t>
            </w:r>
          </w:p>
        </w:tc>
        <w:tc>
          <w:tcPr>
            <w:tcW w:w="2493" w:type="dxa"/>
            <w:vAlign w:val="top"/>
          </w:tcPr>
          <w:p>
            <w:pPr>
              <w:pStyle w:val="TableText"/>
              <w:spacing w:before="145" w:line="219" w:lineRule="auto"/>
              <w:ind w:left="51"/>
            </w:pPr>
            <w:r>
              <w:rPr>
                <w:color w:val="221E1F"/>
                <w:spacing w:val="-3"/>
              </w:rPr>
              <w:t>显示机翼结构CoA的变化。</w:t>
            </w:r>
          </w:p>
        </w:tc>
      </w:tr>
      <w:tr>
        <w:tblPrEx>
          <w:tblW w:w="9349" w:type="dxa"/>
          <w:tblInd w:w="2" w:type="dxa"/>
          <w:tblLayout w:type="fixed"/>
        </w:tblPrEx>
        <w:trPr>
          <w:trHeight w:val="469"/>
        </w:trPr>
        <w:tc>
          <w:tcPr>
            <w:tcW w:w="1405" w:type="dxa"/>
            <w:vAlign w:val="top"/>
          </w:tcPr>
          <w:p>
            <w:pPr>
              <w:pStyle w:val="TableText"/>
              <w:spacing w:before="145" w:line="220" w:lineRule="auto"/>
              <w:ind w:left="80"/>
            </w:pPr>
            <w:r>
              <w:rPr>
                <w:color w:val="221E1F"/>
                <w:spacing w:val="-2"/>
              </w:rPr>
              <w:t>数字孪生管理器</w:t>
            </w:r>
          </w:p>
        </w:tc>
        <w:tc>
          <w:tcPr>
            <w:tcW w:w="2181" w:type="dxa"/>
            <w:vAlign w:val="top"/>
          </w:tcPr>
          <w:p>
            <w:pPr>
              <w:pStyle w:val="TableText"/>
              <w:spacing w:before="146" w:line="220" w:lineRule="auto"/>
              <w:ind w:left="555"/>
            </w:pPr>
            <w:r>
              <w:rPr>
                <w:color w:val="221E1F"/>
                <w:spacing w:val="-2"/>
              </w:rPr>
              <w:t>维护功能实体</w:t>
            </w:r>
          </w:p>
        </w:tc>
        <w:tc>
          <w:tcPr>
            <w:tcW w:w="1773" w:type="dxa"/>
            <w:vAlign w:val="top"/>
          </w:tcPr>
          <w:p>
            <w:pPr>
              <w:pStyle w:val="TableText"/>
              <w:spacing w:before="57" w:line="206" w:lineRule="auto"/>
              <w:ind w:left="574" w:right="121" w:hanging="442"/>
            </w:pPr>
            <w:r>
              <w:rPr>
                <w:color w:val="221E1F"/>
                <w:spacing w:val="-1"/>
              </w:rPr>
              <w:t>ISO 23247-2:2021,</w:t>
            </w:r>
            <w:r>
              <w:rPr>
                <w:color w:val="221E1F"/>
              </w:rPr>
              <w:t xml:space="preserve"> </w:t>
            </w:r>
            <w:hyperlink r:id="rId81" w:history="1">
              <w:r>
                <w:rPr>
                  <w:color w:val="221E1F"/>
                  <w:spacing w:val="-1"/>
                </w:rPr>
                <w:t>6.3.1.4</w:t>
              </w:r>
            </w:hyperlink>
          </w:p>
        </w:tc>
        <w:tc>
          <w:tcPr>
            <w:tcW w:w="1497" w:type="dxa"/>
            <w:vAlign w:val="top"/>
          </w:tcPr>
          <w:p>
            <w:pPr>
              <w:pStyle w:val="TableText"/>
              <w:spacing w:before="174" w:line="183" w:lineRule="auto"/>
              <w:ind w:left="520"/>
            </w:pPr>
            <w:r>
              <w:rPr>
                <w:color w:val="221E1F"/>
              </w:rPr>
              <w:t>AP242</w:t>
            </w:r>
          </w:p>
        </w:tc>
        <w:tc>
          <w:tcPr>
            <w:tcW w:w="2493" w:type="dxa"/>
            <w:vAlign w:val="top"/>
          </w:tcPr>
          <w:p>
            <w:pPr>
              <w:pStyle w:val="TableText"/>
              <w:spacing w:before="28" w:line="221" w:lineRule="auto"/>
              <w:ind w:left="47" w:right="108" w:firstLine="3"/>
            </w:pPr>
            <w:r>
              <w:rPr>
                <w:color w:val="221E1F"/>
                <w:spacing w:val="-1"/>
              </w:rPr>
              <w:t>管理数字孪生表示的更新与共</w:t>
            </w:r>
            <w:r>
              <w:rPr>
                <w:color w:val="221E1F"/>
              </w:rPr>
              <w:t xml:space="preserve"> </w:t>
            </w:r>
            <w:r>
              <w:rPr>
                <w:color w:val="221E1F"/>
                <w:spacing w:val="-9"/>
              </w:rPr>
              <w:t>享。</w:t>
            </w:r>
          </w:p>
        </w:tc>
      </w:tr>
      <w:tr>
        <w:tblPrEx>
          <w:tblW w:w="9349" w:type="dxa"/>
          <w:tblInd w:w="2" w:type="dxa"/>
          <w:tblLayout w:type="fixed"/>
        </w:tblPrEx>
        <w:trPr>
          <w:trHeight w:val="472"/>
        </w:trPr>
        <w:tc>
          <w:tcPr>
            <w:tcW w:w="1405" w:type="dxa"/>
            <w:vAlign w:val="top"/>
          </w:tcPr>
          <w:p>
            <w:pPr>
              <w:pStyle w:val="TableText"/>
              <w:spacing w:before="146" w:line="220" w:lineRule="auto"/>
              <w:ind w:left="169"/>
            </w:pPr>
            <w:r>
              <w:rPr>
                <w:color w:val="221E1F"/>
                <w:spacing w:val="-2"/>
              </w:rPr>
              <w:t>数字孪生表示</w:t>
            </w:r>
          </w:p>
        </w:tc>
        <w:tc>
          <w:tcPr>
            <w:tcW w:w="2181" w:type="dxa"/>
            <w:vAlign w:val="top"/>
          </w:tcPr>
          <w:p>
            <w:pPr>
              <w:pStyle w:val="TableText"/>
              <w:spacing w:before="146" w:line="220" w:lineRule="auto"/>
              <w:ind w:left="374"/>
            </w:pPr>
            <w:r>
              <w:rPr>
                <w:color w:val="221E1F"/>
                <w:spacing w:val="-1"/>
              </w:rPr>
              <w:t>数字表示功能实体</w:t>
            </w:r>
          </w:p>
        </w:tc>
        <w:tc>
          <w:tcPr>
            <w:tcW w:w="1773" w:type="dxa"/>
            <w:vAlign w:val="top"/>
          </w:tcPr>
          <w:p>
            <w:pPr>
              <w:pStyle w:val="TableText"/>
              <w:spacing w:before="62" w:line="205" w:lineRule="auto"/>
              <w:ind w:left="574" w:right="121" w:hanging="442"/>
            </w:pPr>
            <w:r>
              <w:rPr>
                <w:color w:val="221E1F"/>
                <w:spacing w:val="-1"/>
              </w:rPr>
              <w:t>ISO 23247-2:2021,</w:t>
            </w:r>
            <w:r>
              <w:rPr>
                <w:color w:val="221E1F"/>
              </w:rPr>
              <w:t xml:space="preserve"> </w:t>
            </w:r>
            <w:hyperlink r:id="rId82" w:history="1">
              <w:r>
                <w:rPr>
                  <w:color w:val="221E1F"/>
                  <w:spacing w:val="-1"/>
                </w:rPr>
                <w:t>6.3.1.3</w:t>
              </w:r>
            </w:hyperlink>
          </w:p>
        </w:tc>
        <w:tc>
          <w:tcPr>
            <w:tcW w:w="1497" w:type="dxa"/>
            <w:vAlign w:val="top"/>
          </w:tcPr>
          <w:p>
            <w:pPr>
              <w:pStyle w:val="TableText"/>
              <w:spacing w:before="175" w:line="183" w:lineRule="auto"/>
              <w:ind w:left="520"/>
            </w:pPr>
            <w:r>
              <w:rPr>
                <w:color w:val="221E1F"/>
              </w:rPr>
              <w:t>AP242</w:t>
            </w:r>
          </w:p>
        </w:tc>
        <w:tc>
          <w:tcPr>
            <w:tcW w:w="2493" w:type="dxa"/>
            <w:vAlign w:val="top"/>
          </w:tcPr>
          <w:p>
            <w:pPr>
              <w:pStyle w:val="TableText"/>
              <w:spacing w:before="147" w:line="219" w:lineRule="auto"/>
              <w:ind w:left="46"/>
            </w:pPr>
            <w:r>
              <w:rPr>
                <w:color w:val="221E1F"/>
                <w:spacing w:val="-3"/>
              </w:rPr>
              <w:t>包含机翼结构的数字模型。</w:t>
            </w:r>
          </w:p>
        </w:tc>
      </w:tr>
      <w:tr>
        <w:tblPrEx>
          <w:tblW w:w="9349" w:type="dxa"/>
          <w:tblInd w:w="2" w:type="dxa"/>
          <w:tblLayout w:type="fixed"/>
        </w:tblPrEx>
        <w:trPr>
          <w:trHeight w:val="477"/>
        </w:trPr>
        <w:tc>
          <w:tcPr>
            <w:tcW w:w="1405" w:type="dxa"/>
            <w:vAlign w:val="top"/>
          </w:tcPr>
          <w:p>
            <w:pPr>
              <w:pStyle w:val="TableText"/>
              <w:spacing w:before="148" w:line="220" w:lineRule="auto"/>
              <w:ind w:left="259"/>
            </w:pPr>
            <w:r>
              <w:rPr>
                <w:color w:val="221E1F"/>
                <w:spacing w:val="-2"/>
              </w:rPr>
              <w:t>孔洞更新器</w:t>
            </w:r>
          </w:p>
        </w:tc>
        <w:tc>
          <w:tcPr>
            <w:tcW w:w="2181" w:type="dxa"/>
            <w:vAlign w:val="top"/>
          </w:tcPr>
          <w:p>
            <w:pPr>
              <w:pStyle w:val="TableText"/>
              <w:spacing w:before="147" w:line="220" w:lineRule="auto"/>
              <w:ind w:left="570"/>
            </w:pPr>
            <w:r>
              <w:rPr>
                <w:color w:val="221E1F"/>
                <w:spacing w:val="-4"/>
              </w:rPr>
              <w:t>同步功能实体</w:t>
            </w:r>
          </w:p>
        </w:tc>
        <w:tc>
          <w:tcPr>
            <w:tcW w:w="1773" w:type="dxa"/>
            <w:vAlign w:val="top"/>
          </w:tcPr>
          <w:p>
            <w:pPr>
              <w:pStyle w:val="TableText"/>
              <w:spacing w:before="59" w:line="209" w:lineRule="auto"/>
              <w:ind w:left="574" w:right="121" w:hanging="442"/>
            </w:pPr>
            <w:r>
              <w:rPr>
                <w:color w:val="221E1F"/>
                <w:spacing w:val="-1"/>
              </w:rPr>
              <w:t>ISO 23247-2:2021,</w:t>
            </w:r>
            <w:r>
              <w:rPr>
                <w:color w:val="221E1F"/>
              </w:rPr>
              <w:t xml:space="preserve"> </w:t>
            </w:r>
            <w:hyperlink r:id="rId83" w:history="1">
              <w:r>
                <w:rPr>
                  <w:color w:val="221E1F"/>
                  <w:spacing w:val="-1"/>
                </w:rPr>
                <w:t>6.3.1.1</w:t>
              </w:r>
            </w:hyperlink>
          </w:p>
        </w:tc>
        <w:tc>
          <w:tcPr>
            <w:tcW w:w="1497" w:type="dxa"/>
            <w:vAlign w:val="top"/>
          </w:tcPr>
          <w:p>
            <w:pPr>
              <w:pStyle w:val="TableText"/>
              <w:spacing w:before="61" w:line="208" w:lineRule="auto"/>
              <w:ind w:left="520" w:right="295" w:hanging="223"/>
            </w:pPr>
            <w:r>
              <w:rPr>
                <w:color w:val="221E1F"/>
                <w:spacing w:val="-1"/>
              </w:rPr>
              <w:t>MTConnect,</w:t>
            </w:r>
            <w:r>
              <w:rPr>
                <w:color w:val="221E1F"/>
                <w:spacing w:val="7"/>
              </w:rPr>
              <w:t xml:space="preserve"> </w:t>
            </w:r>
            <w:r>
              <w:rPr>
                <w:color w:val="221E1F"/>
              </w:rPr>
              <w:t>AP238</w:t>
            </w:r>
          </w:p>
        </w:tc>
        <w:tc>
          <w:tcPr>
            <w:tcW w:w="2493" w:type="dxa"/>
            <w:vAlign w:val="top"/>
          </w:tcPr>
          <w:p>
            <w:pPr>
              <w:pStyle w:val="TableText"/>
              <w:spacing w:before="30" w:line="224" w:lineRule="auto"/>
              <w:ind w:left="52" w:right="108" w:hanging="3"/>
            </w:pPr>
            <w:r>
              <w:rPr>
                <w:color w:val="221E1F"/>
                <w:spacing w:val="-1"/>
              </w:rPr>
              <w:t>更新钻孔时机翼结构的数字模</w:t>
            </w:r>
            <w:r>
              <w:rPr>
                <w:color w:val="221E1F"/>
                <w:spacing w:val="2"/>
              </w:rPr>
              <w:t xml:space="preserve"> </w:t>
            </w:r>
            <w:r>
              <w:rPr>
                <w:color w:val="221E1F"/>
                <w:spacing w:val="-10"/>
              </w:rPr>
              <w:t>型。</w:t>
            </w:r>
          </w:p>
        </w:tc>
      </w:tr>
    </w:tbl>
    <w:p>
      <w:pPr>
        <w:spacing w:before="208" w:line="219" w:lineRule="auto"/>
        <w:ind w:left="9"/>
        <w:rPr>
          <w:rFonts w:ascii="SimHei" w:eastAsia="SimHei" w:hAnsi="SimHei" w:cs="SimHei"/>
          <w:sz w:val="21"/>
          <w:szCs w:val="21"/>
        </w:rPr>
      </w:pPr>
      <w:r>
        <w:rPr>
          <w:rFonts w:ascii="SimHei" w:eastAsia="SimHei" w:hAnsi="SimHei" w:cs="SimHei"/>
          <w:spacing w:val="-1"/>
          <w:sz w:val="21"/>
          <w:szCs w:val="21"/>
        </w:rPr>
        <w:t>B.3.4</w:t>
      </w:r>
      <w:r>
        <w:rPr>
          <w:rFonts w:ascii="SimHei" w:eastAsia="SimHei" w:hAnsi="SimHei" w:cs="SimHei"/>
          <w:spacing w:val="-1"/>
          <w:sz w:val="21"/>
          <w:szCs w:val="21"/>
        </w:rPr>
        <w:t xml:space="preserve">  </w:t>
      </w:r>
      <w:r>
        <w:rPr>
          <w:rFonts w:ascii="SimHei" w:eastAsia="SimHei" w:hAnsi="SimHei" w:cs="SimHei"/>
          <w:spacing w:val="-1"/>
          <w:sz w:val="21"/>
          <w:szCs w:val="21"/>
        </w:rPr>
        <w:t>过程数字孪生到数字孪生实体的映射</w:t>
      </w:r>
    </w:p>
    <w:p>
      <w:pPr>
        <w:spacing w:line="219" w:lineRule="auto"/>
        <w:rPr>
          <w:rFonts w:ascii="SimHei" w:eastAsia="SimHei" w:hAnsi="SimHei" w:cs="SimHei"/>
          <w:sz w:val="21"/>
          <w:szCs w:val="21"/>
        </w:rPr>
      </w:pPr>
      <w:r>
        <w:rPr>
          <w:rFonts w:ascii="SimHei" w:eastAsia="SimHei" w:hAnsi="SimHei" w:cs="SimHei"/>
          <w:sz w:val="21"/>
          <w:szCs w:val="21"/>
        </w:rPr>
        <w:br/>
      </w:r>
      <w:r>
        <w:rPr>
          <w:rFonts w:ascii="SimHei" w:eastAsia="SimHei" w:hAnsi="SimHei" w:cs="SimHei"/>
          <w:sz w:val="21"/>
          <w:szCs w:val="21"/>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84" w:history="1">
        <w:r>
          <w:rPr>
            <w:rFonts w:ascii="SimSun" w:eastAsia="SimSun" w:hAnsi="SimSun" w:cs="SimSun"/>
            <w:b/>
            <w:bCs/>
            <w:noProof w:val="0"/>
            <w:snapToGrid/>
            <w:color w:val="0000EE"/>
            <w:kern w:val="0"/>
            <w:sz w:val="30"/>
            <w:szCs w:val="30"/>
            <w:u w:val="single" w:color="0000EE"/>
          </w:rPr>
          <w:t>https://d.book118.com/138114102132006046</w:t>
        </w:r>
      </w:hyperlink>
    </w:p>
    <w:p>
      <w:pPr>
        <w:spacing w:line="219" w:lineRule="auto"/>
        <w:rPr>
          <w:rFonts w:ascii="SimHei" w:eastAsia="SimHei" w:hAnsi="SimHei" w:cs="SimHei"/>
          <w:sz w:val="21"/>
          <w:szCs w:val="21"/>
        </w:rPr>
      </w:pPr>
    </w:p>
    <w:sectPr>
      <w:headerReference w:type="default" r:id="rId85"/>
      <w:footerReference w:type="default" r:id="rId86"/>
      <w:type w:val="nextPage"/>
      <w:pgSz w:w="11907" w:h="16839"/>
      <w:pgMar w:top="1659" w:right="1128" w:bottom="1311" w:left="1418" w:header="1448" w:footer="1133" w:gutter="0"/>
      <w:pgNumType w:start="3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9053"/>
      <w:rPr>
        <w:sz w:val="18"/>
        <w:szCs w:val="18"/>
      </w:rPr>
    </w:pPr>
    <w:r>
      <w:rPr>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9053"/>
      <w:rPr>
        <w:sz w:val="18"/>
        <w:szCs w:val="18"/>
      </w:rPr>
    </w:pPr>
    <w:r>
      <w:rPr>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205"/>
      <w:rPr>
        <w:sz w:val="18"/>
        <w:szCs w:val="18"/>
      </w:rPr>
    </w:pPr>
    <w:r>
      <w:rPr>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205"/>
      <w:rPr>
        <w:sz w:val="18"/>
        <w:szCs w:val="18"/>
      </w:rPr>
    </w:pPr>
    <w:r>
      <w:rPr>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9048"/>
      <w:rPr>
        <w:sz w:val="18"/>
        <w:szCs w:val="18"/>
      </w:rPr>
    </w:pPr>
    <w:r>
      <w:rPr>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9048"/>
      <w:rPr>
        <w:sz w:val="18"/>
        <w:szCs w:val="18"/>
      </w:rPr>
    </w:pPr>
    <w:r>
      <w:rPr>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205"/>
      <w:rPr>
        <w:sz w:val="18"/>
        <w:szCs w:val="18"/>
      </w:rPr>
    </w:pPr>
    <w:r>
      <w:rPr>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205"/>
      <w:rPr>
        <w:sz w:val="18"/>
        <w:szCs w:val="18"/>
      </w:rPr>
    </w:pPr>
    <w:r>
      <w:rPr>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9" w:lineRule="auto"/>
      <w:ind w:left="9043"/>
      <w:rPr>
        <w:sz w:val="18"/>
        <w:szCs w:val="18"/>
      </w:rPr>
    </w:pPr>
    <w:r>
      <w:rPr>
        <w:sz w:val="18"/>
        <w:szCs w:val="18"/>
      </w:rPr>
      <w:t>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9" w:lineRule="auto"/>
      <w:ind w:left="9043"/>
      <w:rPr>
        <w:sz w:val="18"/>
        <w:szCs w:val="18"/>
      </w:rPr>
    </w:pPr>
    <w:r>
      <w:rPr>
        <w:sz w:val="18"/>
        <w:szCs w:val="18"/>
      </w:rPr>
      <w:t>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198"/>
      <w:rPr>
        <w:sz w:val="18"/>
        <w:szCs w:val="18"/>
      </w:rPr>
    </w:pPr>
    <w:r>
      <w:rPr>
        <w:sz w:val="18"/>
        <w:szCs w:val="18"/>
      </w:rPr>
      <w:t>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9" w:lineRule="auto"/>
      <w:ind w:left="9046"/>
      <w:rPr>
        <w:sz w:val="18"/>
        <w:szCs w:val="18"/>
      </w:rPr>
    </w:pPr>
    <w:r>
      <w:rPr>
        <w:sz w:val="18"/>
        <w:szCs w:val="18"/>
      </w:rPr>
      <w:t>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9" w:lineRule="auto"/>
      <w:ind w:left="9046"/>
      <w:rPr>
        <w:sz w:val="18"/>
        <w:szCs w:val="18"/>
      </w:rPr>
    </w:pPr>
    <w:r>
      <w:rPr>
        <w:sz w:val="18"/>
        <w:szCs w:val="18"/>
      </w:rPr>
      <w:t>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202"/>
      <w:rPr>
        <w:sz w:val="18"/>
        <w:szCs w:val="18"/>
      </w:rPr>
    </w:pPr>
    <w:r>
      <w:rPr>
        <w:sz w:val="18"/>
        <w:szCs w:val="18"/>
      </w:rPr>
      <w:t>8</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202"/>
      <w:rPr>
        <w:sz w:val="18"/>
        <w:szCs w:val="18"/>
      </w:rPr>
    </w:pPr>
    <w:r>
      <w:rPr>
        <w:sz w:val="18"/>
        <w:szCs w:val="18"/>
      </w:rPr>
      <w:t>8</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202"/>
      <w:rPr>
        <w:sz w:val="18"/>
        <w:szCs w:val="18"/>
      </w:rPr>
    </w:pPr>
    <w:r>
      <w:rPr>
        <w:sz w:val="18"/>
        <w:szCs w:val="18"/>
      </w:rPr>
      <w:t>8</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9042"/>
      <w:rPr>
        <w:sz w:val="18"/>
        <w:szCs w:val="18"/>
      </w:rPr>
    </w:pPr>
    <w:r>
      <w:rPr>
        <w:sz w:val="18"/>
        <w:szCs w:val="18"/>
      </w:rPr>
      <w:t>9</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9042"/>
      <w:rPr>
        <w:sz w:val="18"/>
        <w:szCs w:val="18"/>
      </w:rPr>
    </w:pPr>
    <w:r>
      <w:rPr>
        <w:sz w:val="18"/>
        <w:szCs w:val="18"/>
      </w:rPr>
      <w:t>9</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215"/>
      <w:rPr>
        <w:sz w:val="18"/>
        <w:szCs w:val="18"/>
      </w:rPr>
    </w:pPr>
    <w:r>
      <w:rPr>
        <w:spacing w:val="-5"/>
        <w:sz w:val="18"/>
        <w:szCs w:val="18"/>
      </w:rPr>
      <w:t>10</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8969"/>
      <w:rPr>
        <w:sz w:val="18"/>
        <w:szCs w:val="18"/>
      </w:rPr>
    </w:pPr>
    <w:r>
      <w:rPr>
        <w:spacing w:val="-5"/>
        <w:sz w:val="18"/>
        <w:szCs w:val="18"/>
      </w:rPr>
      <w:t>11</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8969"/>
      <w:rPr>
        <w:sz w:val="18"/>
        <w:szCs w:val="18"/>
      </w:rPr>
    </w:pPr>
    <w:r>
      <w:rPr>
        <w:spacing w:val="-5"/>
        <w:sz w:val="18"/>
        <w:szCs w:val="18"/>
      </w:rPr>
      <w:t>11</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210"/>
      <w:rPr>
        <w:sz w:val="18"/>
        <w:szCs w:val="18"/>
      </w:rPr>
    </w:pPr>
    <w:r>
      <w:rPr>
        <w:spacing w:val="-5"/>
        <w:sz w:val="18"/>
        <w:szCs w:val="18"/>
      </w:rPr>
      <w:t>12</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210"/>
      <w:rPr>
        <w:sz w:val="18"/>
        <w:szCs w:val="18"/>
      </w:rPr>
    </w:pPr>
    <w:r>
      <w:rPr>
        <w:spacing w:val="-5"/>
        <w:sz w:val="18"/>
        <w:szCs w:val="18"/>
      </w:rPr>
      <w:t>12</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8959"/>
      <w:rPr>
        <w:sz w:val="18"/>
        <w:szCs w:val="18"/>
      </w:rPr>
    </w:pPr>
    <w:r>
      <w:rPr>
        <w:spacing w:val="-5"/>
        <w:sz w:val="18"/>
        <w:szCs w:val="18"/>
      </w:rPr>
      <w:t>13</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8959"/>
      <w:rPr>
        <w:sz w:val="18"/>
        <w:szCs w:val="18"/>
      </w:rPr>
    </w:pPr>
    <w:r>
      <w:rPr>
        <w:spacing w:val="-5"/>
        <w:sz w:val="18"/>
        <w:szCs w:val="18"/>
      </w:rPr>
      <w:t>13</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8959"/>
      <w:rPr>
        <w:sz w:val="18"/>
        <w:szCs w:val="18"/>
      </w:rPr>
    </w:pPr>
    <w:r>
      <w:rPr>
        <w:spacing w:val="-5"/>
        <w:sz w:val="18"/>
        <w:szCs w:val="18"/>
      </w:rPr>
      <w:t>13</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217"/>
      <w:rPr>
        <w:sz w:val="18"/>
        <w:szCs w:val="18"/>
      </w:rPr>
    </w:pPr>
    <w:r>
      <w:rPr>
        <w:spacing w:val="-5"/>
        <w:sz w:val="18"/>
        <w:szCs w:val="18"/>
      </w:rPr>
      <w:t>14</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217"/>
      <w:rPr>
        <w:sz w:val="18"/>
        <w:szCs w:val="18"/>
      </w:rPr>
    </w:pPr>
    <w:r>
      <w:rPr>
        <w:spacing w:val="-5"/>
        <w:sz w:val="18"/>
        <w:szCs w:val="18"/>
      </w:rPr>
      <w:t>14</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8969"/>
      <w:rPr>
        <w:sz w:val="18"/>
        <w:szCs w:val="18"/>
      </w:rPr>
    </w:pPr>
    <w:r>
      <w:rPr>
        <w:spacing w:val="-5"/>
        <w:sz w:val="18"/>
        <w:szCs w:val="18"/>
      </w:rPr>
      <w:t>15</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8969"/>
      <w:rPr>
        <w:sz w:val="18"/>
        <w:szCs w:val="18"/>
      </w:rPr>
    </w:pPr>
    <w:r>
      <w:rPr>
        <w:spacing w:val="-5"/>
        <w:sz w:val="18"/>
        <w:szCs w:val="18"/>
      </w:rPr>
      <w:t>15</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7679"/>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7679"/>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6"/>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6"/>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7684"/>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7684"/>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9"/>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9"/>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7679"/>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7679"/>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7681"/>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7681"/>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jc w:val="right"/>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jc w:val="right"/>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jc w:val="right"/>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jc w:val="right"/>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jc w:val="right"/>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jc w:val="right"/>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jc w:val="right"/>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7"/>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7"/>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jc w:val="right"/>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jc w:val="right"/>
      <w:rPr>
        <w:rFonts w:ascii="SimHei" w:eastAsia="SimHei" w:hAnsi="SimHei" w:cs="SimHei"/>
      </w:rPr>
    </w:pPr>
    <w:r>
      <w:rPr>
        <w:rFonts w:ascii="SimHei" w:eastAsia="SimHei" w:hAnsi="SimHei" w:cs="SimHei"/>
        <w:spacing w:val="-1"/>
      </w:rPr>
      <w:t>GB/T</w:t>
    </w:r>
    <w:r>
      <w:rPr>
        <w:rFonts w:ascii="SimHei" w:eastAsia="SimHei" w:hAnsi="SimHei" w:cs="SimHei"/>
        <w:spacing w:val="-1"/>
      </w:rPr>
      <w:t xml:space="preserve"> </w:t>
    </w:r>
    <w:r>
      <w:rPr>
        <w:rFonts w:ascii="SimHei" w:eastAsia="SimHei" w:hAnsi="SimHei" w:cs="SimHei"/>
        <w:spacing w:val="-1"/>
      </w:rPr>
      <w:t>XXXXX</w:t>
    </w:r>
    <w:r>
      <w:rPr>
        <w:spacing w:val="-1"/>
      </w:rPr>
      <w:t>—</w:t>
    </w:r>
    <w:r>
      <w:rPr>
        <w:rFonts w:ascii="SimHei" w:eastAsia="SimHei" w:hAnsi="SimHei" w:cs="SimHei"/>
        <w:spacing w:val="-1"/>
      </w:rPr>
      <w:t>XXXX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1"/>
      <w:szCs w:val="21"/>
      <w:lang w:val="en-US" w:eastAsia="en-US" w:bidi="ar-SA"/>
    </w:rPr>
  </w:style>
  <w:style w:type="paragraph" w:customStyle="1" w:styleId="TableText">
    <w:name w:val="Table Text"/>
    <w:basedOn w:val="Normal"/>
    <w:semiHidden/>
    <w:qFormat/>
    <w:rPr>
      <w:rFonts w:ascii="SimSun" w:eastAsia="SimSun" w:hAnsi="SimSun" w:cs="SimSun"/>
      <w:sz w:val="18"/>
      <w:szCs w:val="18"/>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image" Target="media/image1.jpeg"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image" Target="media/image2.jpeg"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footer" Target="footer7.xml" /><Relationship Id="rId22" Type="http://schemas.openxmlformats.org/officeDocument/2006/relationships/hyperlink" Target="192.168.0.1" TargetMode="External" /><Relationship Id="rId23" Type="http://schemas.openxmlformats.org/officeDocument/2006/relationships/header" Target="header8.xml" /><Relationship Id="rId24" Type="http://schemas.openxmlformats.org/officeDocument/2006/relationships/footer" Target="footer8.xml" /><Relationship Id="rId25" Type="http://schemas.openxmlformats.org/officeDocument/2006/relationships/header" Target="header9.xml" /><Relationship Id="rId26" Type="http://schemas.openxmlformats.org/officeDocument/2006/relationships/footer" Target="footer9.xml" /><Relationship Id="rId27" Type="http://schemas.openxmlformats.org/officeDocument/2006/relationships/header" Target="header10.xml" /><Relationship Id="rId28" Type="http://schemas.openxmlformats.org/officeDocument/2006/relationships/footer" Target="footer10.xml" /><Relationship Id="rId29" Type="http://schemas.openxmlformats.org/officeDocument/2006/relationships/header" Target="header11.xml" /><Relationship Id="rId3" Type="http://schemas.openxmlformats.org/officeDocument/2006/relationships/fontTable" Target="fontTable.xml" /><Relationship Id="rId30" Type="http://schemas.openxmlformats.org/officeDocument/2006/relationships/footer" Target="footer11.xml" /><Relationship Id="rId31" Type="http://schemas.openxmlformats.org/officeDocument/2006/relationships/header" Target="header12.xml" /><Relationship Id="rId32" Type="http://schemas.openxmlformats.org/officeDocument/2006/relationships/footer" Target="footer12.xml" /><Relationship Id="rId33" Type="http://schemas.openxmlformats.org/officeDocument/2006/relationships/header" Target="header13.xml" /><Relationship Id="rId34" Type="http://schemas.openxmlformats.org/officeDocument/2006/relationships/footer" Target="footer13.xml" /><Relationship Id="rId35" Type="http://schemas.openxmlformats.org/officeDocument/2006/relationships/image" Target="media/image3.jpeg" /><Relationship Id="rId36" Type="http://schemas.openxmlformats.org/officeDocument/2006/relationships/header" Target="header14.xml" /><Relationship Id="rId37" Type="http://schemas.openxmlformats.org/officeDocument/2006/relationships/footer" Target="footer14.xml" /><Relationship Id="rId38" Type="http://schemas.openxmlformats.org/officeDocument/2006/relationships/image" Target="media/image4.jpeg" /><Relationship Id="rId39" Type="http://schemas.openxmlformats.org/officeDocument/2006/relationships/image" Target="media/image5.jpeg" /><Relationship Id="rId4" Type="http://schemas.openxmlformats.org/officeDocument/2006/relationships/header" Target="header1.xml" /><Relationship Id="rId40" Type="http://schemas.openxmlformats.org/officeDocument/2006/relationships/header" Target="header15.xml" /><Relationship Id="rId41" Type="http://schemas.openxmlformats.org/officeDocument/2006/relationships/footer" Target="footer15.xml" /><Relationship Id="rId42" Type="http://schemas.openxmlformats.org/officeDocument/2006/relationships/header" Target="header16.xml" /><Relationship Id="rId43" Type="http://schemas.openxmlformats.org/officeDocument/2006/relationships/footer" Target="footer16.xml" /><Relationship Id="rId44" Type="http://schemas.openxmlformats.org/officeDocument/2006/relationships/header" Target="header17.xml" /><Relationship Id="rId45" Type="http://schemas.openxmlformats.org/officeDocument/2006/relationships/footer" Target="footer17.xml" /><Relationship Id="rId46" Type="http://schemas.openxmlformats.org/officeDocument/2006/relationships/header" Target="header18.xml" /><Relationship Id="rId47" Type="http://schemas.openxmlformats.org/officeDocument/2006/relationships/footer" Target="footer18.xml" /><Relationship Id="rId48" Type="http://schemas.openxmlformats.org/officeDocument/2006/relationships/header" Target="header19.xml" /><Relationship Id="rId49" Type="http://schemas.openxmlformats.org/officeDocument/2006/relationships/footer" Target="footer19.xml" /><Relationship Id="rId5" Type="http://schemas.openxmlformats.org/officeDocument/2006/relationships/footer" Target="footer1.xml" /><Relationship Id="rId50" Type="http://schemas.openxmlformats.org/officeDocument/2006/relationships/header" Target="header20.xml" /><Relationship Id="rId51" Type="http://schemas.openxmlformats.org/officeDocument/2006/relationships/footer" Target="footer20.xml" /><Relationship Id="rId52" Type="http://schemas.openxmlformats.org/officeDocument/2006/relationships/header" Target="header21.xml" /><Relationship Id="rId53" Type="http://schemas.openxmlformats.org/officeDocument/2006/relationships/footer" Target="footer21.xml" /><Relationship Id="rId54" Type="http://schemas.openxmlformats.org/officeDocument/2006/relationships/image" Target="media/image6.jpeg" /><Relationship Id="rId55" Type="http://schemas.openxmlformats.org/officeDocument/2006/relationships/header" Target="header22.xml" /><Relationship Id="rId56" Type="http://schemas.openxmlformats.org/officeDocument/2006/relationships/footer" Target="footer22.xml" /><Relationship Id="rId57" Type="http://schemas.openxmlformats.org/officeDocument/2006/relationships/header" Target="header23.xml" /><Relationship Id="rId58" Type="http://schemas.openxmlformats.org/officeDocument/2006/relationships/footer" Target="footer23.xml" /><Relationship Id="rId59" Type="http://schemas.openxmlformats.org/officeDocument/2006/relationships/image" Target="media/image7.jpeg" /><Relationship Id="rId6" Type="http://schemas.openxmlformats.org/officeDocument/2006/relationships/hyperlink" Target="https://www.iso.org/obp" TargetMode="External" /><Relationship Id="rId60" Type="http://schemas.openxmlformats.org/officeDocument/2006/relationships/header" Target="header24.xml" /><Relationship Id="rId61" Type="http://schemas.openxmlformats.org/officeDocument/2006/relationships/footer" Target="footer24.xml" /><Relationship Id="rId62" Type="http://schemas.openxmlformats.org/officeDocument/2006/relationships/image" Target="media/image8.jpeg" /><Relationship Id="rId63" Type="http://schemas.openxmlformats.org/officeDocument/2006/relationships/image" Target="media/image9.jpeg" /><Relationship Id="rId64" Type="http://schemas.openxmlformats.org/officeDocument/2006/relationships/image" Target="media/image10.jpeg" /><Relationship Id="rId65" Type="http://schemas.openxmlformats.org/officeDocument/2006/relationships/header" Target="header25.xml" /><Relationship Id="rId66" Type="http://schemas.openxmlformats.org/officeDocument/2006/relationships/footer" Target="footer25.xml" /><Relationship Id="rId67" Type="http://schemas.openxmlformats.org/officeDocument/2006/relationships/header" Target="header26.xml" /><Relationship Id="rId68" Type="http://schemas.openxmlformats.org/officeDocument/2006/relationships/footer" Target="footer26.xml" /><Relationship Id="rId69" Type="http://schemas.openxmlformats.org/officeDocument/2006/relationships/hyperlink" Target="6.2.1.2" TargetMode="External" /><Relationship Id="rId7" Type="http://schemas.openxmlformats.org/officeDocument/2006/relationships/hyperlink" Target="http://www.electropedia.org" TargetMode="External" /><Relationship Id="rId70" Type="http://schemas.openxmlformats.org/officeDocument/2006/relationships/header" Target="header27.xml" /><Relationship Id="rId71" Type="http://schemas.openxmlformats.org/officeDocument/2006/relationships/footer" Target="footer27.xml" /><Relationship Id="rId72" Type="http://schemas.openxmlformats.org/officeDocument/2006/relationships/header" Target="header28.xml" /><Relationship Id="rId73" Type="http://schemas.openxmlformats.org/officeDocument/2006/relationships/footer" Target="footer28.xml" /><Relationship Id="rId74" Type="http://schemas.openxmlformats.org/officeDocument/2006/relationships/image" Target="media/image11.png" /><Relationship Id="rId75" Type="http://schemas.openxmlformats.org/officeDocument/2006/relationships/image" Target="media/image12.jpeg" /><Relationship Id="rId76" Type="http://schemas.openxmlformats.org/officeDocument/2006/relationships/hyperlink" Target="6.3.2.3" TargetMode="External" /><Relationship Id="rId77" Type="http://schemas.openxmlformats.org/officeDocument/2006/relationships/hyperlink" Target="6.3.3.4" TargetMode="External" /><Relationship Id="rId78" Type="http://schemas.openxmlformats.org/officeDocument/2006/relationships/header" Target="header29.xml" /><Relationship Id="rId79" Type="http://schemas.openxmlformats.org/officeDocument/2006/relationships/footer" Target="footer29.xml" /><Relationship Id="rId8" Type="http://schemas.openxmlformats.org/officeDocument/2006/relationships/header" Target="header2.xml" /><Relationship Id="rId80" Type="http://schemas.openxmlformats.org/officeDocument/2006/relationships/hyperlink" Target="6.3.1.2" TargetMode="External" /><Relationship Id="rId81" Type="http://schemas.openxmlformats.org/officeDocument/2006/relationships/hyperlink" Target="6.3.1.4" TargetMode="External" /><Relationship Id="rId82" Type="http://schemas.openxmlformats.org/officeDocument/2006/relationships/hyperlink" Target="6.3.1.3" TargetMode="External" /><Relationship Id="rId83" Type="http://schemas.openxmlformats.org/officeDocument/2006/relationships/hyperlink" Target="6.3.1.1" TargetMode="External" /><Relationship Id="rId84" Type="http://schemas.openxmlformats.org/officeDocument/2006/relationships/hyperlink" Target="https://d.book118.com/138114102132006046" TargetMode="External" /><Relationship Id="rId85" Type="http://schemas.openxmlformats.org/officeDocument/2006/relationships/header" Target="header30.xml" /><Relationship Id="rId86" Type="http://schemas.openxmlformats.org/officeDocument/2006/relationships/footer" Target="footer30.xml" /><Relationship Id="rId87" Type="http://schemas.openxmlformats.org/officeDocument/2006/relationships/theme" Target="theme/theme1.xml" /><Relationship Id="rId88" Type="http://schemas.openxmlformats.org/officeDocument/2006/relationships/styles" Target="style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国家标准</dc:title>
  <dc:creator>刘守华</dc:creator>
  <cp:revision>0</cp:revision>
  <dcterms:created xsi:type="dcterms:W3CDTF">2024-03-18T10:33:26Z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2024-03-18T10:54:05Z</vt:filetime>
  </property>
  <property fmtid="{D5CDD505-2E9C-101B-9397-08002B2CF9AE}" pid="3" name="CRO">
    <vt:lpwstr>wqlLaW5nc29mdCBQREYgdG8gV1BTIDkw</vt:lpwstr>
  </property>
</Properties>
</file>