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速冻调理肉制品相关行业公司成立方案及可行性研究报告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_Toc11191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(七)、速冻调理肉制品项目建设必要性分析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二、速冻调理肉制品筹建公司基本信息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4" w:history="1">
        <w:r>
          <w:rPr>
            <w:rFonts w:ascii="仿宋" w:eastAsia="仿宋" w:hAnsi="仿宋" w:cs="仿宋" w:hint="eastAsia"/>
            <w:lang w:eastAsia="zh-CN"/>
          </w:rPr>
          <w:t>三、速冻调理肉制品项目概况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(二)、速冻调理肉制品项目提出的理由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(三)、速冻调理肉制品项目选址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(六)、速冻调理肉制品项目投资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(七)、速冻调理肉制品项目进度规划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_Toc4674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(九)、速冻调理肉制品项目综合评价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(五)、速冻调理肉制品项目总投资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_Toc17291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(一)、速冻调理肉制品项目背景分析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(二)、速冻调理肉制品项目建设必要性分析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4" w:history="1">
        <w:r>
          <w:rPr>
            <w:rFonts w:ascii="仿宋" w:eastAsia="仿宋" w:hAnsi="仿宋" w:cs="仿宋" w:hint="eastAsia"/>
            <w:lang w:eastAsia="zh-CN"/>
          </w:rPr>
          <w:t>(一)、速冻调理肉制品项目进度安排</w:t>
        </w:r>
        <w:r>
          <w:tab/>
        </w:r>
        <w:r>
          <w:fldChar w:fldCharType="begin"/>
        </w:r>
        <w:r>
          <w:instrText xml:space="preserve"> PAGEREF _Toc14774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(二)、速冻调理肉制品项目实施保障措施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5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6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7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https://d.book118.com/145001040342011100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速冻调理肉制品相关行业公司成立方案及可行性研究报告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速冻调理肉制品相关行业公司成立方案及可行性研究报告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速冻调理肉制品相关行业公司成立方案及可行性研究报告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速冻调理肉制品相关行业公司成立方案及可行性研究报告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速冻调理肉制品相关行业公司成立方案及可行性研究报告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500104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2024-01-23T13:16:00Z</dcterms:created>
  <dcterms:modified xsi:type="dcterms:W3CDTF">2024-01-23T13:16:33Z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2612083411C24A57B33A898C9B9673BC_11</vt:lpwstr>
  </property>
  <property fmtid="{D5CDD505-2E9C-101B-9397-08002B2CF9AE}" pid="3" name="KSOProductBuildVer">
    <vt:lpwstr>2052-12.1.0.16120</vt:lpwstr>
  </property>
</Properties>
</file>